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360"/>
        <w:jc w:val="center"/>
      </w:pPr>
      <w:r>
        <w:rPr>
          <w:rFonts w:ascii="Times New Roman" w:cs="Times New Roman" w:eastAsia="Times New Roman" w:hAnsi="Times New Roman"/>
          <w:b/>
          <w:bCs/>
          <w:i w:val="false"/>
          <w:iCs w:val="false"/>
          <w:color w:val="000000"/>
          <w:sz w:val="24"/>
          <w:szCs w:val="24"/>
        </w:rPr>
        <w:t xml:space="preserve">TRƯỜNG ĐẠI HỌC KINH TẾ QUỐC DÂN</w:t>
      </w:r>
    </w:p>
    <w:p>
      <w:pPr>
        <w:spacing w:after="600" w:before="0" w:line="360"/>
        <w:jc w:val="center"/>
      </w:pPr>
      <w:r>
        <w:rPr>
          <w:rFonts w:ascii="Times New Roman" w:cs="Times New Roman" w:eastAsia="Times New Roman" w:hAnsi="Times New Roman"/>
          <w:b/>
          <w:bCs/>
          <w:i w:val="false"/>
          <w:iCs w:val="false"/>
          <w:color w:val="000000"/>
          <w:sz w:val="24"/>
          <w:szCs w:val="24"/>
        </w:rPr>
        <w:t xml:space="preserve">KHOA KINH TẾ VÀ KINH DOANH QUỐC TẾ</w:t>
      </w:r>
    </w:p>
    <w:p>
      <w:pPr>
        <w:spacing w:after="120" w:before="0" w:line="360"/>
        <w:jc w:val="center"/>
      </w:pPr>
      <w:r>
        <w:rPr>
          <w:rFonts w:ascii="Times New Roman" w:cs="Times New Roman" w:eastAsia="Times New Roman" w:hAnsi="Times New Roman"/>
          <w:b/>
          <w:bCs/>
          <w:i w:val="false"/>
          <w:iCs w:val="false"/>
          <w:color w:val="1F3864"/>
          <w:sz w:val="28"/>
          <w:szCs w:val="28"/>
        </w:rPr>
        <w:t xml:space="preserve">TIỂU LUẬN KINH TẾ QUỐC TẾ</w:t>
      </w:r>
    </w:p>
    <w:p>
      <w:pPr>
        <w:spacing w:after="120" w:before="0" w:line="360"/>
        <w:jc w:val="center"/>
      </w:pPr>
      <w:r>
        <w:rPr>
          <w:rFonts w:ascii="Times New Roman" w:cs="Times New Roman" w:eastAsia="Times New Roman" w:hAnsi="Times New Roman"/>
          <w:b w:val="false"/>
          <w:bCs w:val="false"/>
          <w:i w:val="false"/>
          <w:iCs w:val="false"/>
          <w:color w:val="999999"/>
          <w:sz w:val="24"/>
          <w:szCs w:val="24"/>
        </w:rPr>
        <w:t xml:space="preserve">─────────────────────────────────────────</w:t>
      </w:r>
    </w:p>
    <w:p>
      <w:pPr>
        <w:spacing w:after="80" w:before="0" w:line="360"/>
        <w:jc w:val="center"/>
      </w:pPr>
      <w:r>
        <w:rPr>
          <w:rFonts w:ascii="Times New Roman" w:cs="Times New Roman" w:eastAsia="Times New Roman" w:hAnsi="Times New Roman"/>
          <w:b/>
          <w:bCs/>
          <w:i w:val="false"/>
          <w:iCs w:val="false"/>
          <w:color w:val="1F3864"/>
          <w:sz w:val="30"/>
          <w:szCs w:val="30"/>
        </w:rPr>
        <w:t xml:space="preserve">CÁN CÂN THANH TOÁN CỦA CỘNG HÒA DÂN CHỦ NHÂN DÂN LÀO SAU ĐẠI DỊCH COVID-19:</w:t>
      </w:r>
    </w:p>
    <w:p>
      <w:pPr>
        <w:spacing w:after="80" w:before="0" w:line="360"/>
        <w:jc w:val="center"/>
      </w:pPr>
      <w:r>
        <w:rPr>
          <w:rFonts w:ascii="Times New Roman" w:cs="Times New Roman" w:eastAsia="Times New Roman" w:hAnsi="Times New Roman"/>
          <w:b/>
          <w:bCs/>
          <w:i w:val="false"/>
          <w:iCs w:val="false"/>
          <w:color w:val="1F3864"/>
          <w:sz w:val="28"/>
          <w:szCs w:val="28"/>
        </w:rPr>
        <w:t xml:space="preserve">THỰC TRẠNG, NGUYÊN NHÂN VÀ HÀM Ý CHÍNH SÁCH</w:t>
      </w:r>
    </w:p>
    <w:p>
      <w:pPr>
        <w:spacing w:after="600" w:before="0" w:line="360"/>
        <w:jc w:val="center"/>
      </w:pPr>
      <w:r>
        <w:rPr>
          <w:rFonts w:ascii="Times New Roman" w:cs="Times New Roman" w:eastAsia="Times New Roman" w:hAnsi="Times New Roman"/>
          <w:b w:val="false"/>
          <w:bCs w:val="false"/>
          <w:i/>
          <w:iCs/>
          <w:color w:val="000000"/>
          <w:sz w:val="24"/>
          <w:szCs w:val="24"/>
        </w:rPr>
        <w:t xml:space="preserve">(Giai đoạn 2018–2024)</w:t>
      </w:r>
    </w:p>
    <w:p>
      <w:pPr>
        <w:spacing w:after="60" w:before="0" w:line="360"/>
        <w:jc w:val="center"/>
      </w:pPr>
      <w:r>
        <w:rPr>
          <w:rFonts w:ascii="Times New Roman" w:cs="Times New Roman" w:eastAsia="Times New Roman" w:hAnsi="Times New Roman"/>
          <w:b w:val="false"/>
          <w:bCs w:val="false"/>
          <w:i w:val="false"/>
          <w:iCs w:val="false"/>
          <w:color w:val="000000"/>
          <w:sz w:val="22"/>
          <w:szCs w:val="22"/>
        </w:rPr>
        <w:t xml:space="preserve">Bộ môn: Kinh tế Quốc tế</w:t>
      </w:r>
    </w:p>
    <w:p>
      <w:pPr>
        <w:spacing w:after="60" w:before="0" w:line="360"/>
        <w:jc w:val="center"/>
      </w:pPr>
      <w:r>
        <w:rPr>
          <w:rFonts w:ascii="Times New Roman" w:cs="Times New Roman" w:eastAsia="Times New Roman" w:hAnsi="Times New Roman"/>
          <w:b w:val="false"/>
          <w:bCs w:val="false"/>
          <w:i w:val="false"/>
          <w:iCs w:val="false"/>
          <w:color w:val="000000"/>
          <w:sz w:val="22"/>
          <w:szCs w:val="22"/>
        </w:rPr>
        <w:t xml:space="preserve">Buổi học thứ 7  ·  Năm học 2024–2025</w:t>
      </w:r>
    </w:p>
    <w:p>
      <w:pPr>
        <w:spacing w:after="60" w:before="0" w:line="360"/>
        <w:jc w:val="center"/>
      </w:pPr>
      <w:r>
        <w:rPr>
          <w:rFonts w:ascii="Times New Roman" w:cs="Times New Roman" w:eastAsia="Times New Roman" w:hAnsi="Times New Roman"/>
          <w:b w:val="false"/>
          <w:bCs w:val="false"/>
          <w:i w:val="false"/>
          <w:iCs w:val="false"/>
          <w:color w:val="000000"/>
          <w:sz w:val="22"/>
          <w:szCs w:val="22"/>
        </w:rPr>
        <w:t xml:space="preserve">NHÓM THỰC HIỆN: [Điền tên thành viên nhóm]</w:t>
      </w:r>
    </w:p>
    <w:p>
      <w:pPr>
        <w:spacing w:after="0" w:before="200" w:line="360"/>
        <w:jc w:val="center"/>
      </w:pPr>
      <w:r>
        <w:rPr>
          <w:rFonts w:ascii="Times New Roman" w:cs="Times New Roman" w:eastAsia="Times New Roman" w:hAnsi="Times New Roman"/>
          <w:b w:val="false"/>
          <w:bCs w:val="false"/>
          <w:i w:val="false"/>
          <w:iCs w:val="false"/>
          <w:color w:val="000000"/>
          <w:sz w:val="22"/>
          <w:szCs w:val="22"/>
        </w:rPr>
        <w:t xml:space="preserve">Hà Nội, 2025</w:t>
      </w:r>
    </w:p>
    <w:p>
      <w:r>
        <w:br/>
        <w:t xml:space="preserve"/>
      </w:r>
    </w:p>
    <w:p>
      <w:pPr>
        <w:pStyle w:val="Heading1"/>
        <w:spacing w:after="140" w:before="280"/>
      </w:pPr>
      <w:r>
        <w:rPr>
          <w:rFonts w:ascii="Times New Roman" w:cs="Times New Roman" w:eastAsia="Times New Roman" w:hAnsi="Times New Roman"/>
          <w:b/>
          <w:bCs/>
          <w:color w:val="1F3864"/>
          <w:sz w:val="28"/>
          <w:szCs w:val="28"/>
        </w:rPr>
        <w:t xml:space="preserve">TÓM TẮT (ABSTRACT)</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Bài tiểu luận này phân tích sự biến động của Cán cân Thanh toán (Balance of Payments – BoP) của Cộng hòa Dân chủ Nhân dân Lào trong giai đoạn 2018–2024, với trọng tâm là tác động của đại dịch COVID-19 và các cú sốc kinh tế tiếp theo. Bằng cách khai thác số liệu chính thức từ IMF (Article IV Consultation 2024), Ngân hàng Thế giới (Lao Economic Monitor tháng 10/2024), Bank of the Lao PDR và LNCCI, bài viết lập luận rằng COVID-19 không phải là nguyên nhân gốc rễ mà là chất xúc tác khuếch đại các điểm yếu cơ cấu đã tồn tại sẵn: cơ cấu xuất khẩu đơn chiều, gánh nặng nợ nước ngoài lớn, và sự phụ thuộc quá mức vào du lịch và kiều hối.</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Phân tích định lượng với số liệu xác nhận đến năm 2024 cho thấy: (i) đồng Kip mất khoảng 140% giá trị so với USD trong giai đoạn tháng 01/2021 – tháng 09/2024; (ii) lạm phát CPI bình quân 2024 đạt 23,1%; (iii) dự trữ ngoại hối đạt khoảng 1,82 tỷ USD (tháng 6/2024), tương đương ~2,0 tháng nhập khẩu – thấp hơn ngưỡng an toàn tối thiểu 3 tháng theo chuẩn IMF; và (iv) nợ công (PPG) giảm về khoảng 100,5% GDP năm 2024 từ mức đỉnh 131% năm 2022. Du lịch phục hồi tích cực: 4,22 triệu lượt khách và doanh thu 1,29 tỷ USD năm 2024 – mức cao nhất lịch sử.</w:t>
      </w:r>
    </w:p>
    <w:p>
      <w:pPr>
        <w:spacing w:after="80" w:before="120" w:line="360"/>
        <w:jc w:val="both"/>
      </w:pPr>
      <w:r>
        <w:rPr>
          <w:rFonts w:ascii="Times New Roman" w:cs="Times New Roman" w:eastAsia="Times New Roman" w:hAnsi="Times New Roman"/>
          <w:b w:val="false"/>
          <w:bCs w:val="false"/>
          <w:i/>
          <w:iCs/>
          <w:color w:val="000000"/>
          <w:sz w:val="24"/>
          <w:szCs w:val="24"/>
        </w:rPr>
        <w:t xml:space="preserve">Từ khóa: Cán cân thanh toán; Lào; COVID-19; đồng Kip; khủng hoảng ngoại tệ; nợ công; IMF; tài khoản vãng lai; 2018–2024.</w:t>
      </w:r>
    </w:p>
    <w:p>
      <w:r>
        <w:br/>
        <w:t xml:space="preserve"/>
      </w:r>
    </w:p>
    <w:p>
      <w:pPr>
        <w:pStyle w:val="Heading1"/>
        <w:spacing w:after="140" w:before="280"/>
      </w:pPr>
      <w:r>
        <w:rPr>
          <w:rFonts w:ascii="Times New Roman" w:cs="Times New Roman" w:eastAsia="Times New Roman" w:hAnsi="Times New Roman"/>
          <w:b/>
          <w:bCs/>
          <w:color w:val="1F3864"/>
          <w:sz w:val="28"/>
          <w:szCs w:val="28"/>
        </w:rPr>
        <w:t xml:space="preserve">I. MỞ ĐẦU</w:t>
      </w:r>
    </w:p>
    <w:p>
      <w:pPr>
        <w:pStyle w:val="Heading2"/>
        <w:spacing w:after="100" w:before="200"/>
      </w:pPr>
      <w:r>
        <w:rPr>
          <w:rFonts w:ascii="Times New Roman" w:cs="Times New Roman" w:eastAsia="Times New Roman" w:hAnsi="Times New Roman"/>
          <w:b/>
          <w:bCs/>
          <w:color w:val="1F3864"/>
          <w:sz w:val="26"/>
          <w:szCs w:val="26"/>
        </w:rPr>
        <w:t xml:space="preserve">1.1. Tính cấp thiết của chủ đề</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Cán cân thanh toán quốc tế (Balance of Payments – BoP) là một trong những công cụ phân tích kinh tế đối ngoại trung tâm của lý luận kinh tế hiện đại. Đối với các quốc gia đang phát triển, đặc biệt là những nền kinh tế nhỏ và mở, trạng thái BoP không chỉ phản ánh sức khỏe tức thời của khu vực đối ngoại mà còn là chỉ báo tổng hợp về năng lực cạnh tranh quốc tế, mức độ phụ thuộc vào vốn bên ngoài và tính bền vững tài chính trung hạn. Khi BoP suy giảm kéo dài, quốc gia phải đối mặt với chuỗi hệ lụy liên hoàn: dự trữ ngoại hối cạn kiệt, tỷ giá chịu áp lực mất giá, lạm phát nhập khẩu leo thang, chi phí trả nợ ngoại tệ tăng cao và rốt cục là bất ổn kinh tế vĩ mô toàn diện.</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Đại dịch COVID-19 (2020–2022) là cú sốc ngoại sinh lớn nhất kể từ Khủng hoảng Tài chính Toàn cầu 2008–2009, gây ra những đứt gãy sâu rộng trong chuỗi cung ứng toàn cầu, sự sụp đổ của ngành dịch vụ lữ hành, và sự bất định nghiêm trọng của dòng vốn quốc tế. Đối với nhiều nền kinh tế đang phát triển tại ASEAN, đại dịch không tạo ra điểm yếu mới mà là chất xúc tác phơi bày và khuếch đại những bất cân đối cơ cấu đã tích tụ từ nhiều năm trước.</w:t>
      </w:r>
    </w:p>
    <w:p>
      <w:pPr>
        <w:pStyle w:val="Heading2"/>
        <w:spacing w:after="100" w:before="200"/>
      </w:pPr>
      <w:r>
        <w:rPr>
          <w:rFonts w:ascii="Times New Roman" w:cs="Times New Roman" w:eastAsia="Times New Roman" w:hAnsi="Times New Roman"/>
          <w:b/>
          <w:bCs/>
          <w:color w:val="1F3864"/>
          <w:sz w:val="26"/>
          <w:szCs w:val="26"/>
        </w:rPr>
        <w:t xml:space="preserve">1.2. Lý do lựa chọn Lào</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Cộng hòa Dân chủ Nhân dân Lào (Lào) là trường hợp nghiên cứu đặc biệt có giá trị khoa học trong bối cảnh hậu COVID-19 vì ba lý do chính. Thứ nhất, Lào là quốc gia không có biển duy nhất tại ASEAN, với cơ cấu kinh tế tập trung vào tài nguyên thiên nhiên (thủy điện, khoáng sản) và du lịch – hai lĩnh vực vô cùng nhạy cảm với gián đoạn chuỗi cung ứng và phong tỏa biên giới. Thứ hai, gánh nặng nợ đối ngoại của Lào đã ở mức đáng lo ngại ngay trước khi đại dịch xảy ra (nợ PPG ~72% GDP năm 2019), khiến các cú sốc bên ngoài có biên độ tác động lớn hơn nhiều so với các quốc gia có dư địa tài khóa tốt hơn. Thứ ba, Lào hiện là một trong số ít quốc gia ASEAN bị IMF và World Bank xếp vào tình trạng 'debt distress – unsustainable' (2023–2024), biến quá trình phục hồi BoP của Lào thành bài kiểm tra thực tiễn về năng lực cải cách của một nền kinh tế nhỏ trong kỷ nguyên tái cấu trúc nợ toàn cầu.</w:t>
      </w:r>
    </w:p>
    <w:p>
      <w:pPr>
        <w:pStyle w:val="Heading2"/>
        <w:spacing w:after="100" w:before="200"/>
      </w:pPr>
      <w:r>
        <w:rPr>
          <w:rFonts w:ascii="Times New Roman" w:cs="Times New Roman" w:eastAsia="Times New Roman" w:hAnsi="Times New Roman"/>
          <w:b/>
          <w:bCs/>
          <w:color w:val="1F3864"/>
          <w:sz w:val="26"/>
          <w:szCs w:val="26"/>
        </w:rPr>
        <w:t xml:space="preserve">1.3. Mục tiêu và câu hỏi nghiên cứu</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Bài tiểu luận theo đuổi ba mục tiêu cụ thể sau:</w:t>
      </w:r>
    </w:p>
    <w:p>
      <w:pPr>
        <w:spacing w:after="40" w:before="60" w:line="360"/>
        <w:jc w:val="both"/>
      </w:pPr>
      <w:r>
        <w:rPr>
          <w:rFonts w:ascii="Times New Roman" w:cs="Times New Roman" w:eastAsia="Times New Roman" w:hAnsi="Times New Roman"/>
          <w:b w:val="false"/>
          <w:bCs w:val="false"/>
          <w:i w:val="false"/>
          <w:iCs w:val="false"/>
          <w:color w:val="000000"/>
          <w:sz w:val="24"/>
          <w:szCs w:val="24"/>
        </w:rPr>
        <w:t xml:space="preserve">(1) Phân tích có hệ thống các thành phần BoP của Lào giai đoạn 2018–2024, xác định xu hướng và ngưỡng biến đổi có ý nghĩa thống kê.</w:t>
      </w:r>
    </w:p>
    <w:p>
      <w:pPr>
        <w:spacing w:after="40" w:before="40" w:line="360"/>
        <w:jc w:val="both"/>
      </w:pPr>
      <w:r>
        <w:rPr>
          <w:rFonts w:ascii="Times New Roman" w:cs="Times New Roman" w:eastAsia="Times New Roman" w:hAnsi="Times New Roman"/>
          <w:b w:val="false"/>
          <w:bCs w:val="false"/>
          <w:i w:val="false"/>
          <w:iCs w:val="false"/>
          <w:color w:val="000000"/>
          <w:sz w:val="24"/>
          <w:szCs w:val="24"/>
        </w:rPr>
        <w:t xml:space="preserve">(2) Giải thích cơ chế nhân quả dẫn đến sự suy giảm BoP, phân biệt rõ tác động của COVID-19 (cú sốc ngoại sinh ngắn hạn) với các điểm yếu cơ cấu nội tại (nguyên nhân trung và dài hạn).</w:t>
      </w:r>
    </w:p>
    <w:p>
      <w:pPr>
        <w:spacing w:after="80" w:before="40" w:line="360"/>
        <w:jc w:val="both"/>
      </w:pPr>
      <w:r>
        <w:rPr>
          <w:rFonts w:ascii="Times New Roman" w:cs="Times New Roman" w:eastAsia="Times New Roman" w:hAnsi="Times New Roman"/>
          <w:b w:val="false"/>
          <w:bCs w:val="false"/>
          <w:i w:val="false"/>
          <w:iCs w:val="false"/>
          <w:color w:val="000000"/>
          <w:sz w:val="24"/>
          <w:szCs w:val="24"/>
        </w:rPr>
        <w:t xml:space="preserve">(3) Đánh giá triển vọng phục hồi và khuyến nghị hàm ý chính sách dựa trên bằng chứng thực nghiệm đến năm 2024.</w:t>
      </w:r>
    </w:p>
    <w:p>
      <w:pPr>
        <w:spacing w:after="80" w:before="80" w:line="360"/>
        <w:ind w:firstLine="720"/>
        <w:jc w:val="both"/>
      </w:pPr>
      <w:r>
        <w:rPr>
          <w:rFonts w:ascii="Times New Roman" w:cs="Times New Roman" w:eastAsia="Times New Roman" w:hAnsi="Times New Roman"/>
          <w:b/>
          <w:bCs/>
          <w:i w:val="false"/>
          <w:iCs w:val="false"/>
          <w:color w:val="000000"/>
          <w:sz w:val="24"/>
          <w:szCs w:val="24"/>
        </w:rPr>
        <w:t xml:space="preserve">Câu hỏi nghiên cứu trung tâm: COVID-19 ảnh hưởng như thế nào đến từng thành phần của BoP Lào, và đến năm 2024 quá trình phục hồi đã đạt được đến mức độ nào?</w:t>
      </w:r>
    </w:p>
    <w:p>
      <w:pPr>
        <w:pStyle w:val="Heading2"/>
        <w:spacing w:after="100" w:before="200"/>
      </w:pPr>
      <w:r>
        <w:rPr>
          <w:rFonts w:ascii="Times New Roman" w:cs="Times New Roman" w:eastAsia="Times New Roman" w:hAnsi="Times New Roman"/>
          <w:b/>
          <w:bCs/>
          <w:color w:val="1F3864"/>
          <w:sz w:val="26"/>
          <w:szCs w:val="26"/>
        </w:rPr>
        <w:t xml:space="preserve">1.4. Phương pháp và dữ liệu</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Bài viết sử dụng phương pháp phân tích định lượng mô tả kết hợp với phân tích định tính thể chế. Bộ số liệu được tổng hợp từ các nguồn chính thức và có độ tin cậy cao nhất hiện có: IMF Article IV Consultation (2024), World Bank Lao Economic Monitor (tháng 10/2024), Bank of the Lao PDR, LNCCI (February 2025), CEIC Data, FocusEconomics, TheGlobalEconomy.com và ADB Key Indicators (2024). Khung phân tích lý thuyết dựa trên IMF BPM6 (2009) và mô hình hấp thụ (absorption approach) trong kinh tế vĩ mô mở.</w:t>
      </w:r>
    </w:p>
    <w:p>
      <w:r>
        <w:br/>
        <w:t xml:space="preserve"/>
      </w:r>
    </w:p>
    <w:p>
      <w:pPr>
        <w:pStyle w:val="Heading1"/>
        <w:spacing w:after="140" w:before="280"/>
      </w:pPr>
      <w:r>
        <w:rPr>
          <w:rFonts w:ascii="Times New Roman" w:cs="Times New Roman" w:eastAsia="Times New Roman" w:hAnsi="Times New Roman"/>
          <w:b/>
          <w:bCs/>
          <w:color w:val="1F3864"/>
          <w:sz w:val="28"/>
          <w:szCs w:val="28"/>
        </w:rPr>
        <w:t xml:space="preserve">II. CƠ SỞ LÝ THUYẾT VỀ CÁN CÂN THANH TOÁN</w:t>
      </w:r>
    </w:p>
    <w:p>
      <w:pPr>
        <w:pStyle w:val="Heading2"/>
        <w:spacing w:after="100" w:before="200"/>
      </w:pPr>
      <w:r>
        <w:rPr>
          <w:rFonts w:ascii="Times New Roman" w:cs="Times New Roman" w:eastAsia="Times New Roman" w:hAnsi="Times New Roman"/>
          <w:b/>
          <w:bCs/>
          <w:color w:val="1F3864"/>
          <w:sz w:val="26"/>
          <w:szCs w:val="26"/>
        </w:rPr>
        <w:t xml:space="preserve">2.1. Định nghĩa và cấu trúc của Cán cân Thanh toán</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Cán cân thanh toán quốc tế (Balance of Payments – BoP) là bản ghi chép có hệ thống tất cả các giao dịch kinh tế giữa người cư trú và người không cư trú của một quốc gia trong một khoảng thời gian nhất định (thường là một năm dương lịch). Theo Cẩm nang Cán cân Thanh toán và Vị thế Đầu tư Quốc tế – ấn bản lần thứ 6 (BPM6) của IMF (2009), BoP bao gồm ba thành phần cấu trúc chính:</w:t>
      </w:r>
    </w:p>
    <w:p>
      <w:pPr>
        <w:spacing w:after="60" w:before="80" w:line="360"/>
        <w:jc w:val="both"/>
      </w:pPr>
      <w:r>
        <w:rPr>
          <w:rFonts w:ascii="Times New Roman" w:cs="Times New Roman" w:eastAsia="Times New Roman" w:hAnsi="Times New Roman"/>
          <w:b w:val="false"/>
          <w:bCs w:val="false"/>
          <w:i w:val="false"/>
          <w:iCs w:val="false"/>
          <w:color w:val="000000"/>
          <w:sz w:val="24"/>
          <w:szCs w:val="24"/>
        </w:rPr>
        <w:t xml:space="preserve">(1) Tài khoản vãng lai (Current Account – CA): Ghi nhận xuất nhập khẩu hàng hóa hữu hình, thương mại dịch vụ (du lịch, vận tải, tài chính), thu nhập sơ cấp (tiền lương lao động nước ngoài, lãi vay, cổ tức) và thu nhập thứ cấp (kiều hối, viện trợ không hoàn lại). Tài khoản vãng lai phản ánh khả năng cạnh tranh thương mại và cơ cấu thu nhập từ nước ngoài của một nền kinh tế.</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(2) Tài khoản tài chính (Financial Account – FA): Ghi nhận dòng vốn đầu tư trực tiếp nước ngoài (FDI), đầu tư gián tiếp (FPI), công cụ tài chính phái sinh, và các khoản khác như vay nợ song phương và đa phương. Đây là kênh tài trợ chính cho thâm hụt tài khoản vãng lai.</w:t>
      </w:r>
    </w:p>
    <w:p>
      <w:pPr>
        <w:spacing w:after="80" w:before="60" w:line="360"/>
        <w:jc w:val="both"/>
      </w:pPr>
      <w:r>
        <w:rPr>
          <w:rFonts w:ascii="Times New Roman" w:cs="Times New Roman" w:eastAsia="Times New Roman" w:hAnsi="Times New Roman"/>
          <w:b w:val="false"/>
          <w:bCs w:val="false"/>
          <w:i w:val="false"/>
          <w:iCs w:val="false"/>
          <w:color w:val="000000"/>
          <w:sz w:val="24"/>
          <w:szCs w:val="24"/>
        </w:rPr>
        <w:t xml:space="preserve">(3) Tài khoản vốn (Capital Account): Thường có giá trị nhỏ, ghi nhận chuyển giao tài sản phi tài chính phi sản xuất (bản quyền, nhượng quyền thương hiệu) và tha nợ. Đối với Lào, tài khoản vốn có vai trò hạn chế trong tổng BoP.</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Về mặt kế toán, tổng BoP = 0 theo nguyên tắc bút toán kép. Tuy nhiên, thực tế tồn tại sai số thống kê (errors and omissions), và biến động dự trữ ngoại hối chính thức đóng vai trò bộ đệm điều chỉnh cuối cùng.</w:t>
      </w:r>
    </w:p>
    <w:p>
      <w:pPr>
        <w:pStyle w:val="Heading2"/>
        <w:spacing w:after="100" w:before="200"/>
      </w:pPr>
      <w:r>
        <w:rPr>
          <w:rFonts w:ascii="Times New Roman" w:cs="Times New Roman" w:eastAsia="Times New Roman" w:hAnsi="Times New Roman"/>
          <w:b/>
          <w:bCs/>
          <w:color w:val="1F3864"/>
          <w:sz w:val="26"/>
          <w:szCs w:val="26"/>
        </w:rPr>
        <w:t xml:space="preserve">2.2. Các cơ chế lý thuyết giải thích suy giảm BoP</w:t>
      </w:r>
    </w:p>
    <w:p>
      <w:pPr>
        <w:spacing w:after="6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Trong tài liệu kinh tế học quốc tế, có ba cách tiếp cận lý thuyết chính để giải thích suy giảm BoP:</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(a) Tiếp cận co giãn (Elasticities Approach): Nhấn mạnh vai trò của tỷ giá thực trong điều chỉnh BoP. Điều kiện Marshall-Lerner yêu cầu tổng co giãn cầu xuất khẩu và nhập khẩu theo tỷ giá phải lớn hơn 1 để phá giá cải thiện cán cân thương mại. Với cơ cấu xuất khẩu chủ yếu là điện và khoáng sản (co giãn giá thấp), Lào có ít lợi thế từ phá giá đồng Kip.</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(b) Tiếp cận hấp thụ (Absorption Approach): Nhấn mạnh rằng thâm hụt tài khoản vãng lai = Tiết kiệm quốc gia – Đầu tư quốc nội (S-I gap). Khi nợ công tăng cao và tiết kiệm trong nước thấp, Lào phụ thuộc vào tiết kiệm nước ngoài (vay nợ) để tài trợ cho đầu tư, tạo ra thâm hụt vãng lai mang tính cơ cấu.</w:t>
      </w:r>
    </w:p>
    <w:p>
      <w:pPr>
        <w:spacing w:after="80" w:before="60" w:line="360"/>
        <w:jc w:val="both"/>
      </w:pPr>
      <w:r>
        <w:rPr>
          <w:rFonts w:ascii="Times New Roman" w:cs="Times New Roman" w:eastAsia="Times New Roman" w:hAnsi="Times New Roman"/>
          <w:b w:val="false"/>
          <w:bCs w:val="false"/>
          <w:i w:val="false"/>
          <w:iCs w:val="false"/>
          <w:color w:val="000000"/>
          <w:sz w:val="24"/>
          <w:szCs w:val="24"/>
        </w:rPr>
        <w:t xml:space="preserve">(c) Tiếp cận tiền tệ (Monetary Approach): Liên kết cán cân thanh toán với cung cầu tiền nội địa. Tăng trưởng cung tiền vượt quá tăng trưởng thực của nền kinh tế dẫn đến lạm phát, xói mòn sức cạnh tranh, làm xấu BoP. Tại Lào, tài trợ tiền tệ cho thâm hụt ngân sách (monetary financing) là một nguồn gốc của lạm phát và mất giá đồng Kip.</w:t>
      </w:r>
    </w:p>
    <w:p>
      <w:pPr>
        <w:pStyle w:val="Heading2"/>
        <w:spacing w:after="100" w:before="200"/>
      </w:pPr>
      <w:r>
        <w:rPr>
          <w:rFonts w:ascii="Times New Roman" w:cs="Times New Roman" w:eastAsia="Times New Roman" w:hAnsi="Times New Roman"/>
          <w:b/>
          <w:bCs/>
          <w:color w:val="1F3864"/>
          <w:sz w:val="26"/>
          <w:szCs w:val="26"/>
        </w:rPr>
        <w:t xml:space="preserve">2.3. Khi nào BoP "xấu đi"?</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Trong phân tích thực nghiệm, BoP được coi là suy giảm nghiêm trọng khi hội đủ một hoặc nhiều tiêu chí sau: (i) thâm hụt tài khoản vãng lai vượt ngưỡng 5–6% GDP (IMF cảnh báo); (ii) dự trữ ngoại hối rơi xuống dưới 3 tháng nhập khẩu; (iii) tốc độ mất giá danh nghĩa của đồng nội tệ vượt 10%/năm; (iv) nợ nước ngoài ngắn hạn vượt mức dự trữ ngoại hối. Lào đã vi phạm cả bốn tiêu chí này trong giai đoạn 2021–2023.</w:t>
      </w:r>
    </w:p>
    <w:p>
      <w:r>
        <w:br/>
        <w:t xml:space="preserve"/>
      </w:r>
    </w:p>
    <w:p>
      <w:pPr>
        <w:pStyle w:val="Heading1"/>
        <w:spacing w:after="140" w:before="280"/>
      </w:pPr>
      <w:r>
        <w:rPr>
          <w:rFonts w:ascii="Times New Roman" w:cs="Times New Roman" w:eastAsia="Times New Roman" w:hAnsi="Times New Roman"/>
          <w:b/>
          <w:bCs/>
          <w:color w:val="1F3864"/>
          <w:sz w:val="28"/>
          <w:szCs w:val="28"/>
        </w:rPr>
        <w:t xml:space="preserve">III. TỔNG QUAN KINH TẾ LÀO GIAI ĐOẠN 2018–2019 (TRƯỚC COVID-19)</w:t>
      </w:r>
    </w:p>
    <w:p>
      <w:pPr>
        <w:pStyle w:val="Heading2"/>
        <w:spacing w:after="100" w:before="200"/>
      </w:pPr>
      <w:r>
        <w:rPr>
          <w:rFonts w:ascii="Times New Roman" w:cs="Times New Roman" w:eastAsia="Times New Roman" w:hAnsi="Times New Roman"/>
          <w:b/>
          <w:bCs/>
          <w:color w:val="1F3864"/>
          <w:sz w:val="26"/>
          <w:szCs w:val="26"/>
        </w:rPr>
        <w:t xml:space="preserve">3.1. Bối cảnh và mô hình tăng trưởng</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Trong giai đoạn 2017–2019, Lào duy trì nhịp tăng trưởng GDP thực tế ở mức 6–8%/năm, vào nhóm các nền kinh tế có tốc độ tăng trưởng cao nhất ASEAN. Động lực tăng trưởng chủ yếu đến từ ba nguồn: xuất khẩu điện thủy điện sang Thái Lan và Việt Nam, xuất khẩu khoáng sản (đồng, vàng, kali), và dòng vốn đầu tư cơ sở hạ tầng lớn – đặc biệt là tuyến đường sắt Boten–Vientiane trị giá ~5,9 tỷ USD, khởi công năm 2016 trong khuôn khổ Sáng kiến Vành đai và Con đường (BRI) của Trung Quốc.</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Tuy nhiên, ngay dưới bề mặt tăng trưởng lạc quan đó là các điểm yếu cơ cấu mang tính hệ thống. Tỷ lệ nợ đối ngoại trên GDP liên tục leo thang từ ~65% (2018) lên ~72% (2019). Dự trữ ngoại hối chưa bao giờ đạt ngưỡng an toàn 3 tháng nhập khẩu theo chuẩn IMF. Du lịch chiếm ~12,5% GDP năm 2019 – tỷ lệ cao nhưng cũng là điểm tập trung rủi ro nghiêm trọng. Cơ cấu xuất khẩu bị chi phối bởi điện năng và khoáng sản (~44% năm 2019), khiến nguồn ngoại tệ dễ bị tổn thương trước biến động giá hàng hóa toàn cầu.</w:t>
      </w:r>
    </w:p>
    <w:p>
      <w:pPr>
        <w:spacing w:after="60" w:before="160"/>
        <w:jc w:val="center"/>
      </w:pPr>
      <w:r>
        <w:rPr>
          <w:rFonts w:ascii="Times New Roman" w:cs="Times New Roman" w:eastAsia="Times New Roman" w:hAnsi="Times New Roman"/>
          <w:b/>
          <w:bCs/>
          <w:color w:val="1F3864"/>
          <w:sz w:val="22"/>
          <w:szCs w:val="22"/>
        </w:rPr>
        <w:t xml:space="preserve">Bảng 1. Tăng trưởng GDP và Thu nhập bình quân đầu người của Lào, 2018–2024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200"/>
        <w:gridCol w:w="1118"/>
        <w:gridCol w:w="1118"/>
        <w:gridCol w:w="1118"/>
        <w:gridCol w:w="1118"/>
        <w:gridCol w:w="1118"/>
        <w:gridCol w:w="1118"/>
        <w:gridCol w:w="1118"/>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Chỉ tiêu</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2018</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2019</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2020</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2021</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2022</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2023</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2024</w:t>
            </w:r>
          </w:p>
        </w:tc>
      </w:tr>
      <w:tr>
        <w:tc>
          <w:tcPr>
            <w:tcW w:type="dxa" w:w="2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Tăng trưởng GDP thực (%)</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6,2</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5,5</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0,5</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2,5</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2,7</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3,7</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4,1</w:t>
            </w:r>
          </w:p>
        </w:tc>
      </w:tr>
      <w:tr>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GDP danh nghĩa (tỷ USD)</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18,1</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18,7</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19,1</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18,8</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15,3</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14,8</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16,5</w:t>
            </w:r>
          </w:p>
        </w:tc>
      </w:tr>
      <w:tr>
        <w:tc>
          <w:tcPr>
            <w:tcW w:type="dxa" w:w="2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GDP/đầu người (USD)</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2.567</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2.630</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2.660</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2.588</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2.022</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1.958</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2.724</w:t>
            </w:r>
          </w:p>
        </w:tc>
      </w:tr>
    </w:tbl>
    <w:p>
      <w:pPr>
        <w:spacing w:after="120" w:before="40" w:line="280"/>
        <w:jc w:val="left"/>
      </w:pPr>
      <w:r>
        <w:rPr>
          <w:rFonts w:ascii="Times New Roman" w:cs="Times New Roman" w:eastAsia="Times New Roman" w:hAnsi="Times New Roman"/>
          <w:i/>
          <w:iCs/>
          <w:color w:val="555555"/>
          <w:sz w:val="20"/>
          <w:szCs w:val="20"/>
        </w:rPr>
        <w:t xml:space="preserve">Nguồn: IMF World Economic Outlook (Oct 2024); World Bank – xác nhận tăng trưởng 4,1% và GDP 16,5 tỷ USD năm 2024; Trading Economics / World Bank Open Data.</w:t>
      </w:r>
    </w:p>
    <w:p>
      <w:pPr>
        <w:pStyle w:val="Heading2"/>
        <w:spacing w:after="100" w:before="200"/>
      </w:pPr>
      <w:r>
        <w:rPr>
          <w:rFonts w:ascii="Times New Roman" w:cs="Times New Roman" w:eastAsia="Times New Roman" w:hAnsi="Times New Roman"/>
          <w:b/>
          <w:bCs/>
          <w:color w:val="1F3864"/>
          <w:sz w:val="26"/>
          <w:szCs w:val="26"/>
        </w:rPr>
        <w:t xml:space="preserve">3.2. Các điểm yếu cơ cấu tích lũy</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Ba điểm yếu mang tính cơ cấu đáng lo ngại nhất trước COVID-19 gồm: (i) Cơ cấu xuất khẩu kém đa dạng – điện và khoáng sản chiếm &gt;44% tổng xuất khẩu, dễ bị ảnh hưởng bởi thời tiết (hạn hán ảnh hưởng thủy điện) và chu kỳ giá hàng hóa; (ii) Gánh nặng nợ từ các dự án BRI – nghĩa vụ trả nợ hằng năm chiếm 5–7% GDP, tạo áp lực ngoại tệ liên tục; (iii) Phụ thuộc lao động nước ngoài – số người Lào đi làm tại Thái Lan lớn, tạo ra dòng kiều hối nhưng cũng làm mỏng lực lượng lao động trong nước.</w:t>
      </w:r>
    </w:p>
    <w:p>
      <w:r>
        <w:br/>
        <w:t xml:space="preserve"/>
      </w:r>
    </w:p>
    <w:p>
      <w:pPr>
        <w:pStyle w:val="Heading1"/>
        <w:spacing w:after="140" w:before="280"/>
      </w:pPr>
      <w:r>
        <w:rPr>
          <w:rFonts w:ascii="Times New Roman" w:cs="Times New Roman" w:eastAsia="Times New Roman" w:hAnsi="Times New Roman"/>
          <w:b/>
          <w:bCs/>
          <w:color w:val="1F3864"/>
          <w:sz w:val="28"/>
          <w:szCs w:val="28"/>
        </w:rPr>
        <w:t xml:space="preserve">IV. THỰC TRẠNG CÁN CÂN THANH TOÁN LÀO SAU COVID-19 (2018–2024)</w:t>
      </w:r>
    </w:p>
    <w:p>
      <w:pPr>
        <w:pStyle w:val="Heading2"/>
        <w:spacing w:after="100" w:before="200"/>
      </w:pPr>
      <w:r>
        <w:rPr>
          <w:rFonts w:ascii="Times New Roman" w:cs="Times New Roman" w:eastAsia="Times New Roman" w:hAnsi="Times New Roman"/>
          <w:b/>
          <w:bCs/>
          <w:color w:val="1F3864"/>
          <w:sz w:val="26"/>
          <w:szCs w:val="26"/>
        </w:rPr>
        <w:t xml:space="preserve">4.1. Tổng quan các thành phần chính của BoP</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Nhìn tổng thể giai đoạn 2018–2024, BoP của Lào trải qua ba pha rõ rệt: (i) Pha thâm hụt trước đại dịch (2018–2019) với thâm hụt tài khoản vãng lai đặc biệt sâu do nhập khẩu thiết bị cho các dự án cơ sở hạ tầng; (ii) Pha chuyển thặng dư cơ học (2020–2021) khi nhập khẩu co lại mạnh hơn xuất khẩu do phong tỏa; và (iii) Pha phục hồi bất đối xứng (2022–2024) khi xuất khẩu và du lịch phục hồi nhưng gánh nặng trả nợ tiếp tục đè nặng lên tài khoản thu nhập sơ cấp.</w:t>
      </w:r>
    </w:p>
    <w:p>
      <w:pPr>
        <w:spacing w:after="60" w:before="160"/>
        <w:jc w:val="center"/>
      </w:pPr>
      <w:r>
        <w:rPr>
          <w:rFonts w:ascii="Times New Roman" w:cs="Times New Roman" w:eastAsia="Times New Roman" w:hAnsi="Times New Roman"/>
          <w:b/>
          <w:bCs/>
          <w:color w:val="1F3864"/>
          <w:sz w:val="22"/>
          <w:szCs w:val="22"/>
        </w:rPr>
        <w:t xml:space="preserve">Bảng 2. Các thành phần chính của Cán cân Thanh toán Lào, 2018–2024</w:t>
      </w:r>
    </w:p>
    <w:tbl>
      <w:tblPr>
        <w:tblW w:type="dxa" w:w="9064"/>
        <w:tblBorders>
          <w:top w:val="single" w:color="auto" w:sz="4"/>
          <w:left w:val="single" w:color="auto" w:sz="4"/>
          <w:bottom w:val="single" w:color="auto" w:sz="4"/>
          <w:right w:val="single" w:color="auto" w:sz="4"/>
          <w:insideH w:val="single" w:color="auto" w:sz="4"/>
          <w:insideV w:val="single" w:color="auto" w:sz="4"/>
        </w:tblBorders>
      </w:tblPr>
      <w:tblGrid>
        <w:gridCol w:w="2400"/>
        <w:gridCol w:w="952"/>
        <w:gridCol w:w="952"/>
        <w:gridCol w:w="952"/>
        <w:gridCol w:w="952"/>
        <w:gridCol w:w="952"/>
        <w:gridCol w:w="952"/>
        <w:gridCol w:w="952"/>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Thành phần BoP</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2018</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2019</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2020</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2021</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2022</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2023</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2024</w:t>
            </w:r>
          </w:p>
        </w:tc>
      </w:tr>
      <w:tr>
        <w:tc>
          <w:tcPr>
            <w:tcW w:type="dxa" w:w="24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CA / GDP (%)</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-12,8</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-10,6</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+2,3</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+2,3</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-1,8</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+2,7</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+3,2</w:t>
            </w:r>
          </w:p>
        </w:tc>
      </w:tr>
      <w:tr>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TM hàng hóa (tr. USD)</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-1.420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-1.210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+480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+750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+320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+1.102</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+1.530</w:t>
            </w:r>
          </w:p>
        </w:tc>
      </w:tr>
      <w:tr>
        <w:tc>
          <w:tcPr>
            <w:tcW w:type="dxa" w:w="24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Doanh thu du lịch (tr. USD)</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811</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935</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~200</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~90</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538</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999</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1.294</w:t>
            </w:r>
          </w:p>
        </w:tc>
      </w:tr>
      <w:tr>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Thu nhập sơ cấp (tr. USD)</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-740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-780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-820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-790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-1.100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-1.200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-1.300</w:t>
            </w:r>
          </w:p>
        </w:tc>
      </w:tr>
      <w:tr>
        <w:tc>
          <w:tcPr>
            <w:tcW w:type="dxa" w:w="24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FDI ròng (% GDP)</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7,1</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6,8</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4,9</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6,2</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12</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w:t>
            </w:r>
          </w:p>
        </w:tc>
      </w:tr>
    </w:tbl>
    <w:p>
      <w:pPr>
        <w:spacing w:after="120" w:before="40" w:line="280"/>
        <w:jc w:val="left"/>
      </w:pPr>
      <w:r>
        <w:rPr>
          <w:rFonts w:ascii="Times New Roman" w:cs="Times New Roman" w:eastAsia="Times New Roman" w:hAnsi="Times New Roman"/>
          <w:i/>
          <w:iCs/>
          <w:color w:val="555555"/>
          <w:sz w:val="20"/>
          <w:szCs w:val="20"/>
        </w:rPr>
        <w:t xml:space="preserve">Nguồn: IMF Article IV Consultation (2024); Trading Economics / Bank of Lao PDR; CEIC Data; World Bank LEM (Oct 2024).</w:t>
      </w:r>
    </w:p>
    <w:p>
      <w:pPr>
        <w:pStyle w:val="Heading2"/>
        <w:spacing w:after="100" w:before="200"/>
      </w:pPr>
      <w:r>
        <w:rPr>
          <w:rFonts w:ascii="Times New Roman" w:cs="Times New Roman" w:eastAsia="Times New Roman" w:hAnsi="Times New Roman"/>
          <w:b/>
          <w:bCs/>
          <w:color w:val="1F3864"/>
          <w:sz w:val="26"/>
          <w:szCs w:val="26"/>
        </w:rPr>
        <w:t xml:space="preserve">4.2. Tài khoản Vãng lai</w:t>
      </w:r>
    </w:p>
    <w:p>
      <w:pPr>
        <w:pStyle w:val="Heading3"/>
        <w:spacing w:after="80" w:before="160"/>
      </w:pPr>
      <w:r>
        <w:rPr>
          <w:rFonts w:ascii="Times New Roman" w:cs="Times New Roman" w:eastAsia="Times New Roman" w:hAnsi="Times New Roman"/>
          <w:b/>
          <w:bCs/>
          <w:i/>
          <w:iCs/>
          <w:color w:val="2E4D7B"/>
          <w:sz w:val="24"/>
          <w:szCs w:val="24"/>
        </w:rPr>
        <w:t xml:space="preserve">4.2.1. Cán cân thương mại hàng hóa</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Theo số liệu chính thức từ Lao National Chamber of Commerce and Industry (LNCCI, tháng 02/2025), tổng kim ngạch thương mại của Lào năm 2024 đạt 16,3 tỷ USD (tăng 5% so với 2023). Cán cân thương mại chuyển sang thặng dư từ năm 2020 do nhập khẩu co lại mạnh (giảm 18% trong 2020) trong khi xuất khẩu điện và khoáng sản duy trì tương đối ổn định nhờ các hợp đồng dài hạn với Thái Lan và Việt Nam. Đến năm 2023–2024, thặng dư thương mại mở rộng đáng kể (+1,10–1,53 tỷ USD) nhờ tuyến đường sắt Lào-Trung tạo thuận lợi cho xuất khẩu nông sản và khoáng sản sang Trung Quốc.</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Đáng chú ý, World Bank Lao Economic Monitor (tháng 10/2024) cảnh báo rằng trong H1/2024, chỉ khoảng 65% kim ngạch xuất khẩu chính thức được hồi hương qua hệ thống ngân hàng Lào, phần còn lại được giữ tại tài khoản nước ngoài. Điều này có nghĩa là dù cán cân thương mại thặng dư theo số liệu hải quan, nguồn ngoại tệ thực sự vào hệ thống tài chính trong nước bị hạn chế đáng kể.</w:t>
      </w:r>
    </w:p>
    <w:p>
      <w:pPr>
        <w:spacing w:after="60" w:before="160"/>
        <w:jc w:val="center"/>
      </w:pPr>
      <w:r>
        <w:rPr>
          <w:rFonts w:ascii="Times New Roman" w:cs="Times New Roman" w:eastAsia="Times New Roman" w:hAnsi="Times New Roman"/>
          <w:b/>
          <w:bCs/>
          <w:color w:val="1F3864"/>
          <w:sz w:val="22"/>
          <w:szCs w:val="22"/>
        </w:rPr>
        <w:t xml:space="preserve">Bảng 3. Cán cân Thương mại Hàng hóa của Lào, 2018–2024 (tỷ USD)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200"/>
        <w:gridCol w:w="1118"/>
        <w:gridCol w:w="1118"/>
        <w:gridCol w:w="1118"/>
        <w:gridCol w:w="1118"/>
        <w:gridCol w:w="1118"/>
        <w:gridCol w:w="1118"/>
        <w:gridCol w:w="1118"/>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Chỉ tiêu</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2018</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2019</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2020</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2021</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2022</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2023</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2024</w:t>
            </w:r>
          </w:p>
        </w:tc>
      </w:tr>
      <w:tr>
        <w:tc>
          <w:tcPr>
            <w:tcW w:type="dxa" w:w="2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Xuất khẩu hàng hóa</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4,83</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5,02</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5,60</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6,68</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7,95</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9,70</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9,40</w:t>
            </w:r>
          </w:p>
        </w:tc>
      </w:tr>
      <w:tr>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Nhập khẩu hàng hóa</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6,25</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6,23</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5,12</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5,93</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7,63</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8,60</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8,70</w:t>
            </w:r>
          </w:p>
        </w:tc>
      </w:tr>
      <w:tr>
        <w:tc>
          <w:tcPr>
            <w:tcW w:type="dxa" w:w="2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Cán cân TM</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-1,42</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-1,21</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+0,48</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+0,75</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+0,32</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+1,10</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+0,70</w:t>
            </w:r>
          </w:p>
        </w:tc>
      </w:tr>
      <w:tr>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XK điện &amp; KS (% tổng XK)</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~42%</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~44%</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~48%</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~51%</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~53%</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~55%</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~56%</w:t>
            </w:r>
          </w:p>
        </w:tc>
      </w:tr>
    </w:tbl>
    <w:p>
      <w:pPr>
        <w:spacing w:after="120" w:before="40" w:line="280"/>
        <w:jc w:val="left"/>
      </w:pPr>
      <w:r>
        <w:rPr>
          <w:rFonts w:ascii="Times New Roman" w:cs="Times New Roman" w:eastAsia="Times New Roman" w:hAnsi="Times New Roman"/>
          <w:i/>
          <w:iCs/>
          <w:color w:val="555555"/>
          <w:sz w:val="20"/>
          <w:szCs w:val="20"/>
        </w:rPr>
        <w:t xml:space="preserve">Nguồn: LNCCI (Feb 2025); FocusEconomics / Bank of Lao PDR; World Bank LEM (Oct 2024).</w:t>
      </w:r>
    </w:p>
    <w:p>
      <w:pPr>
        <w:pStyle w:val="Heading3"/>
        <w:spacing w:after="80" w:before="160"/>
      </w:pPr>
      <w:r>
        <w:rPr>
          <w:rFonts w:ascii="Times New Roman" w:cs="Times New Roman" w:eastAsia="Times New Roman" w:hAnsi="Times New Roman"/>
          <w:b/>
          <w:bCs/>
          <w:i/>
          <w:iCs/>
          <w:color w:val="2E4D7B"/>
          <w:sz w:val="24"/>
          <w:szCs w:val="24"/>
        </w:rPr>
        <w:t xml:space="preserve">4.2.2. Du lịch quốc tế</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Du lịch là lĩnh vực chịu tổn thương nặng nề nhất khi COVID-19 bùng phát và đồng thời là điểm sáng phục hồi rõ nhất đến năm 2024. Năm 2021, du lịch quốc tế gần như đóng băng hoàn toàn do lệnh đóng cửa biên giới, khiến doanh thu từ ~935 triệu USD (2019) rơi xuống chỉ còn ~90 triệu USD – mức sụt giảm 90,4% chỉ trong hai năm. Tác động này đặc biệt nghiêm trọng khi du lịch chiếm tới 12,5% GDP của Lào năm 2019.</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Chương trình 'Visit Laos Year 2024' cùng với việc khai thác tuyến đường sắt Lào-Trung (hoạt động từ tháng 12/2021) đã thúc đẩy phục hồi du lịch nhanh hơn kỳ vọng. Doanh thu du lịch 2024 đạt 1,294 tỷ USD – vượt mức đỉnh trước COVID (935 triệu USD năm 2019) và là mức cao nhất lịch sử. Tuy nhiên, lượng khách (4,22 triệu lượt) vẫn thấp hơn đỉnh 2019 (4,79 triệu lượt), cho thấy chi tiêu bình quân mỗi khách đã tăng lên – tín hiệu tích cực về cơ cấu chất lượng du lịch.</w:t>
      </w:r>
    </w:p>
    <w:p>
      <w:pPr>
        <w:spacing w:after="60" w:before="160"/>
        <w:jc w:val="center"/>
      </w:pPr>
      <w:r>
        <w:rPr>
          <w:rFonts w:ascii="Times New Roman" w:cs="Times New Roman" w:eastAsia="Times New Roman" w:hAnsi="Times New Roman"/>
          <w:b/>
          <w:bCs/>
          <w:color w:val="1F3864"/>
          <w:sz w:val="22"/>
          <w:szCs w:val="22"/>
        </w:rPr>
        <w:t xml:space="preserve">Bảng 4. Du lịch Quốc tế đến Lào, 2018–2024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200"/>
        <w:gridCol w:w="1118"/>
        <w:gridCol w:w="1118"/>
        <w:gridCol w:w="1118"/>
        <w:gridCol w:w="1118"/>
        <w:gridCol w:w="1118"/>
        <w:gridCol w:w="1118"/>
        <w:gridCol w:w="1118"/>
      </w:tblGrid>
      <w:tr>
        <w:trPr>
          <w:tblHeader/>
        </w:trPr>
        <w:tc>
          <w:tcPr>
            <w:tcW w:type="dxa" w:w="2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Chỉ tiêu</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2018</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2019</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2020</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2021</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2022</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2023</w:t>
            </w:r>
          </w:p>
        </w:tc>
        <w:tc>
          <w:tcPr>
            <w:tcW w:type="dxa" w:w="1118"/>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2024</w:t>
            </w:r>
          </w:p>
        </w:tc>
      </w:tr>
      <w:tr>
        <w:tc>
          <w:tcPr>
            <w:tcW w:type="dxa" w:w="2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Lượt khách QT (triệu)</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4,19</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4,79</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0,89</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1,29</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3,42</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4,22</w:t>
            </w:r>
          </w:p>
        </w:tc>
      </w:tr>
      <w:tr>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Doanh thu (triệu USD)</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811</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935</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~200</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~90</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538</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999</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1.294</w:t>
            </w:r>
          </w:p>
        </w:tc>
      </w:tr>
      <w:tr>
        <w:tc>
          <w:tcPr>
            <w:tcW w:type="dxa" w:w="2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Du lịch / GDP (%)</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~12%</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~12,5%</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&lt;1%</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w:t>
            </w:r>
          </w:p>
        </w:tc>
        <w:tc>
          <w:tcPr>
            <w:tcW w:type="dxa" w:w="1118"/>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&gt;8%</w:t>
            </w:r>
          </w:p>
        </w:tc>
      </w:tr>
      <w:tr>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 so với đỉnh 2019</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87%</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100%</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19%</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27%</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71%</w:t>
            </w:r>
          </w:p>
        </w:tc>
        <w:tc>
          <w:tcPr>
            <w:tcW w:type="dxa" w:w="1118"/>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88%</w:t>
            </w:r>
          </w:p>
        </w:tc>
      </w:tr>
    </w:tbl>
    <w:p>
      <w:pPr>
        <w:spacing w:after="120" w:before="40" w:line="280"/>
        <w:jc w:val="left"/>
      </w:pPr>
      <w:r>
        <w:rPr>
          <w:rFonts w:ascii="Times New Roman" w:cs="Times New Roman" w:eastAsia="Times New Roman" w:hAnsi="Times New Roman"/>
          <w:i/>
          <w:iCs/>
          <w:color w:val="555555"/>
          <w:sz w:val="20"/>
          <w:szCs w:val="20"/>
        </w:rPr>
        <w:t xml:space="preserve">Nguồn: Trading Economics / Bank of Lao PDR (doanh thu 2024: $1,294 tỷ – cao nhất lịch sử; khách 2024: 4.217.682 lượt); Coface Country Risk (2025).</w:t>
      </w:r>
    </w:p>
    <w:p>
      <w:pPr>
        <w:pStyle w:val="Heading2"/>
        <w:spacing w:after="100" w:before="200"/>
      </w:pPr>
      <w:r>
        <w:rPr>
          <w:rFonts w:ascii="Times New Roman" w:cs="Times New Roman" w:eastAsia="Times New Roman" w:hAnsi="Times New Roman"/>
          <w:b/>
          <w:bCs/>
          <w:color w:val="1F3864"/>
          <w:sz w:val="26"/>
          <w:szCs w:val="26"/>
        </w:rPr>
        <w:t xml:space="preserve">4.3. Biến động Tỷ giá Đồng Kip (LAK/USD)</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Áp lực lên tỷ giá đồng Kip bắt đầu gia tăng từ cuối năm 2021 và bùng phát thành khủng hoảng ngoại tệ thực sự trong năm 2022–2023. IMF Article IV (2024) xác nhận đồng Kip đã mất tích lũy khoảng 140% giá trị so với USD trong giai đoạn tháng 01/2021 đến tháng 09/2024 – tức là 1 USD đổi được gần 2,4 lần số Kip so với đầu năm 2021. World Bank LEM (tháng 10/2024) ghi nhận thêm: chỉ riêng trong 9 tháng đầu năm 2024, tỷ giá chính thức giảm thêm 19% và tỷ giá thị trường song song (tự do) giảm tới 28%.</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Chênh lệch lớn giữa tỷ giá chính thức và thị trường tự do – lên đến ~28% (tháng 9/2024) – là chỉ báo nghiêm trọng của tình trạng đô la hóa và mất niềm tin vào đồng nội tệ. Khi người dân và doanh nghiệp chuyển sang nắm giữ USD và Baht Thái thay vì Kip, khả năng truyền dẫn chính sách tiền tệ của Bank of Lao PDR bị suy yếu đáng kể.</w:t>
      </w:r>
    </w:p>
    <w:p>
      <w:pPr>
        <w:spacing w:after="60" w:before="160"/>
        <w:jc w:val="center"/>
      </w:pPr>
      <w:r>
        <w:rPr>
          <w:rFonts w:ascii="Times New Roman" w:cs="Times New Roman" w:eastAsia="Times New Roman" w:hAnsi="Times New Roman"/>
          <w:b/>
          <w:bCs/>
          <w:color w:val="1F3864"/>
          <w:sz w:val="22"/>
          <w:szCs w:val="22"/>
        </w:rPr>
        <w:t xml:space="preserve">Bảng 5. Biến động Tỷ giá và Lạm phát của Lào, 2018–2024</w:t>
      </w:r>
    </w:p>
    <w:tbl>
      <w:tblPr>
        <w:tblW w:type="dxa" w:w="9824"/>
        <w:tblBorders>
          <w:top w:val="single" w:color="auto" w:sz="4"/>
          <w:left w:val="single" w:color="auto" w:sz="4"/>
          <w:bottom w:val="single" w:color="auto" w:sz="4"/>
          <w:right w:val="single" w:color="auto" w:sz="4"/>
          <w:insideH w:val="single" w:color="auto" w:sz="4"/>
          <w:insideV w:val="single" w:color="auto" w:sz="4"/>
        </w:tblBorders>
      </w:tblPr>
      <w:tblGrid>
        <w:gridCol w:w="2600"/>
        <w:gridCol w:w="1032"/>
        <w:gridCol w:w="1032"/>
        <w:gridCol w:w="1032"/>
        <w:gridCol w:w="1032"/>
        <w:gridCol w:w="1032"/>
        <w:gridCol w:w="1032"/>
        <w:gridCol w:w="1032"/>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Chỉ tiêu</w:t>
            </w:r>
          </w:p>
        </w:tc>
        <w:tc>
          <w:tcPr>
            <w:tcW w:type="dxa" w:w="103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2018</w:t>
            </w:r>
          </w:p>
        </w:tc>
        <w:tc>
          <w:tcPr>
            <w:tcW w:type="dxa" w:w="103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2019</w:t>
            </w:r>
          </w:p>
        </w:tc>
        <w:tc>
          <w:tcPr>
            <w:tcW w:type="dxa" w:w="103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2020</w:t>
            </w:r>
          </w:p>
        </w:tc>
        <w:tc>
          <w:tcPr>
            <w:tcW w:type="dxa" w:w="103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2021</w:t>
            </w:r>
          </w:p>
        </w:tc>
        <w:tc>
          <w:tcPr>
            <w:tcW w:type="dxa" w:w="103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2022</w:t>
            </w:r>
          </w:p>
        </w:tc>
        <w:tc>
          <w:tcPr>
            <w:tcW w:type="dxa" w:w="103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2023</w:t>
            </w:r>
          </w:p>
        </w:tc>
        <w:tc>
          <w:tcPr>
            <w:tcW w:type="dxa" w:w="103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2024</w:t>
            </w:r>
          </w:p>
        </w:tc>
      </w:tr>
      <w:tr>
        <w:tc>
          <w:tcPr>
            <w:tcW w:type="dxa" w:w="26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Tỷ giá LAK/USD (cuối năm)</w:t>
            </w:r>
          </w:p>
        </w:tc>
        <w:tc>
          <w:tcPr>
            <w:tcW w:type="dxa" w:w="103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~8.400</w:t>
            </w:r>
          </w:p>
        </w:tc>
        <w:tc>
          <w:tcPr>
            <w:tcW w:type="dxa" w:w="103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~8.700</w:t>
            </w:r>
          </w:p>
        </w:tc>
        <w:tc>
          <w:tcPr>
            <w:tcW w:type="dxa" w:w="103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~9.400</w:t>
            </w:r>
          </w:p>
        </w:tc>
        <w:tc>
          <w:tcPr>
            <w:tcW w:type="dxa" w:w="103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~10.200</w:t>
            </w:r>
          </w:p>
        </w:tc>
        <w:tc>
          <w:tcPr>
            <w:tcW w:type="dxa" w:w="103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~16.000</w:t>
            </w:r>
          </w:p>
        </w:tc>
        <w:tc>
          <w:tcPr>
            <w:tcW w:type="dxa" w:w="103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~18.000</w:t>
            </w:r>
          </w:p>
        </w:tc>
        <w:tc>
          <w:tcPr>
            <w:tcW w:type="dxa" w:w="103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~22.000</w:t>
            </w:r>
          </w:p>
        </w:tc>
      </w:tr>
      <w:tr>
        <w:tc>
          <w:tcPr>
            <w:tcW w:type="dxa" w:w="2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Mức giảm giá lũy kế (vs T1/2021)</w:t>
            </w:r>
          </w:p>
        </w:tc>
        <w:tc>
          <w:tcPr>
            <w:tcW w:type="dxa" w:w="103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w:t>
            </w:r>
          </w:p>
        </w:tc>
        <w:tc>
          <w:tcPr>
            <w:tcW w:type="dxa" w:w="103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w:t>
            </w:r>
          </w:p>
        </w:tc>
        <w:tc>
          <w:tcPr>
            <w:tcW w:type="dxa" w:w="103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w:t>
            </w:r>
          </w:p>
        </w:tc>
        <w:tc>
          <w:tcPr>
            <w:tcW w:type="dxa" w:w="103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cơ sở</w:t>
            </w:r>
          </w:p>
        </w:tc>
        <w:tc>
          <w:tcPr>
            <w:tcW w:type="dxa" w:w="103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~57%</w:t>
            </w:r>
          </w:p>
        </w:tc>
        <w:tc>
          <w:tcPr>
            <w:tcW w:type="dxa" w:w="103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~76%</w:t>
            </w:r>
          </w:p>
        </w:tc>
        <w:tc>
          <w:tcPr>
            <w:tcW w:type="dxa" w:w="103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~140%</w:t>
            </w:r>
          </w:p>
        </w:tc>
      </w:tr>
      <w:tr>
        <w:tc>
          <w:tcPr>
            <w:tcW w:type="dxa" w:w="26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Lạm phát CPI bình quân (%)</w:t>
            </w:r>
          </w:p>
        </w:tc>
        <w:tc>
          <w:tcPr>
            <w:tcW w:type="dxa" w:w="103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w:t>
            </w:r>
          </w:p>
        </w:tc>
        <w:tc>
          <w:tcPr>
            <w:tcW w:type="dxa" w:w="103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3,3</w:t>
            </w:r>
          </w:p>
        </w:tc>
        <w:tc>
          <w:tcPr>
            <w:tcW w:type="dxa" w:w="103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5,1</w:t>
            </w:r>
          </w:p>
        </w:tc>
        <w:tc>
          <w:tcPr>
            <w:tcW w:type="dxa" w:w="103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3,8</w:t>
            </w:r>
          </w:p>
        </w:tc>
        <w:tc>
          <w:tcPr>
            <w:tcW w:type="dxa" w:w="103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22,8</w:t>
            </w:r>
          </w:p>
        </w:tc>
        <w:tc>
          <w:tcPr>
            <w:tcW w:type="dxa" w:w="103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31,2</w:t>
            </w:r>
          </w:p>
        </w:tc>
        <w:tc>
          <w:tcPr>
            <w:tcW w:type="dxa" w:w="103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23,1</w:t>
            </w:r>
          </w:p>
        </w:tc>
      </w:tr>
      <w:tr>
        <w:tc>
          <w:tcPr>
            <w:tcW w:type="dxa" w:w="2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Lạm phát lương thực (%)</w:t>
            </w:r>
          </w:p>
        </w:tc>
        <w:tc>
          <w:tcPr>
            <w:tcW w:type="dxa" w:w="103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w:t>
            </w:r>
          </w:p>
        </w:tc>
        <w:tc>
          <w:tcPr>
            <w:tcW w:type="dxa" w:w="103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w:t>
            </w:r>
          </w:p>
        </w:tc>
        <w:tc>
          <w:tcPr>
            <w:tcW w:type="dxa" w:w="103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w:t>
            </w:r>
          </w:p>
        </w:tc>
        <w:tc>
          <w:tcPr>
            <w:tcW w:type="dxa" w:w="103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w:t>
            </w:r>
          </w:p>
        </w:tc>
        <w:tc>
          <w:tcPr>
            <w:tcW w:type="dxa" w:w="103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~35</w:t>
            </w:r>
          </w:p>
        </w:tc>
        <w:tc>
          <w:tcPr>
            <w:tcW w:type="dxa" w:w="103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~52</w:t>
            </w:r>
          </w:p>
        </w:tc>
        <w:tc>
          <w:tcPr>
            <w:tcW w:type="dxa" w:w="103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~25</w:t>
            </w:r>
          </w:p>
        </w:tc>
      </w:tr>
    </w:tbl>
    <w:p>
      <w:pPr>
        <w:spacing w:after="120" w:before="40" w:line="280"/>
        <w:jc w:val="left"/>
      </w:pPr>
      <w:r>
        <w:rPr>
          <w:rFonts w:ascii="Times New Roman" w:cs="Times New Roman" w:eastAsia="Times New Roman" w:hAnsi="Times New Roman"/>
          <w:i/>
          <w:iCs/>
          <w:color w:val="555555"/>
          <w:sz w:val="20"/>
          <w:szCs w:val="20"/>
        </w:rPr>
        <w:t xml:space="preserve">Nguồn: IMF Article IV (2024) – mức giảm tích lũy 140% từ T1/2021 đến T9/2024; World Bank LEM (Oct 2024); TheGlobalEconomy.com; Bank of Lao PDR.</w:t>
      </w:r>
    </w:p>
    <w:p>
      <w:pPr>
        <w:pStyle w:val="Heading2"/>
        <w:spacing w:after="100" w:before="200"/>
      </w:pPr>
      <w:r>
        <w:rPr>
          <w:rFonts w:ascii="Times New Roman" w:cs="Times New Roman" w:eastAsia="Times New Roman" w:hAnsi="Times New Roman"/>
          <w:b/>
          <w:bCs/>
          <w:color w:val="1F3864"/>
          <w:sz w:val="26"/>
          <w:szCs w:val="26"/>
        </w:rPr>
        <w:t xml:space="preserve">4.4. Dự trữ Ngoại hối</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Dự trữ ngoại hối là thước đo nhạy cảm nhất của năng lực thanh khoản quốc tế và là chỉ báo cảnh báo sớm quan trọng nhất về rủi ro BoP. Tiêu chuẩn IMF quy định mức tối thiểu là 3 tháng nhập khẩu; đối với các nền kinh tế nhỏ và dễ tổn thương như Lào, mức phù hợp là 4–6 tháng. Tuy nhiên, dự trữ ngoại hối của Lào chưa bao giờ đạt ngưỡng 3 tháng trong suốt giai đoạn khảo sát 2018–2024.</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Một điểm quan trọng về phương pháp: World Bank LEM (tháng 10/2024) lưu ý rằng nếu loại trừ thỏa thuận hoán đổi tiền tệ (swap) với Bank of China, dự trữ ngoại hối thực sự của Lào vẫn dưới 2 tháng nhập khẩu – thấp hơn đáng kể so với con số ~2,0 tháng được công bố chính thức. Điều này phản ánh sự phụ thuộc của Lào vào các thỏa thuận tài chính song phương với Trung Quốc để duy trì vẻ ngoài ổn định.</w:t>
      </w:r>
    </w:p>
    <w:p>
      <w:pPr>
        <w:spacing w:after="60" w:before="160"/>
        <w:jc w:val="center"/>
      </w:pPr>
      <w:r>
        <w:rPr>
          <w:rFonts w:ascii="Times New Roman" w:cs="Times New Roman" w:eastAsia="Times New Roman" w:hAnsi="Times New Roman"/>
          <w:b/>
          <w:bCs/>
          <w:color w:val="1F3864"/>
          <w:sz w:val="22"/>
          <w:szCs w:val="22"/>
        </w:rPr>
        <w:t xml:space="preserve">Bảng 6. Dự trữ Ngoại hối của Lào, 2018–2024</w:t>
      </w:r>
    </w:p>
    <w:tbl>
      <w:tblPr>
        <w:tblW w:type="dxa" w:w="9464"/>
        <w:tblBorders>
          <w:top w:val="single" w:color="auto" w:sz="4"/>
          <w:left w:val="single" w:color="auto" w:sz="4"/>
          <w:bottom w:val="single" w:color="auto" w:sz="4"/>
          <w:right w:val="single" w:color="auto" w:sz="4"/>
          <w:insideH w:val="single" w:color="auto" w:sz="4"/>
          <w:insideV w:val="single" w:color="auto" w:sz="4"/>
        </w:tblBorders>
      </w:tblPr>
      <w:tblGrid>
        <w:gridCol w:w="2800"/>
        <w:gridCol w:w="952"/>
        <w:gridCol w:w="952"/>
        <w:gridCol w:w="952"/>
        <w:gridCol w:w="952"/>
        <w:gridCol w:w="952"/>
        <w:gridCol w:w="952"/>
        <w:gridCol w:w="952"/>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Chỉ tiêu</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2018</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2019</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2020</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2021</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2022</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2023</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2024</w:t>
            </w:r>
          </w:p>
        </w:tc>
      </w:tr>
      <w:tr>
        <w:tc>
          <w:tcPr>
            <w:tcW w:type="dxa" w:w="28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Dự trữ (tỷ USD)</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0,88</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1,12</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1,17</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1,32</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1,17</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1,94</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1,82</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Tháng NK tương đương</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1,7</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2,1</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2,7</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2,7</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1,4–1,6</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~2,5</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w:t>
            </w:r>
          </w:p>
        </w:tc>
      </w:tr>
      <w:tr>
        <w:tc>
          <w:tcPr>
            <w:tcW w:type="dxa" w:w="28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Ngưỡng an toàn IMF (tháng)</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w:t>
            </w:r>
          </w:p>
        </w:tc>
      </w:tr>
    </w:tbl>
    <w:p>
      <w:pPr>
        <w:spacing w:after="120" w:before="40" w:line="280"/>
        <w:jc w:val="left"/>
      </w:pPr>
      <w:r>
        <w:rPr>
          <w:rFonts w:ascii="Times New Roman" w:cs="Times New Roman" w:eastAsia="Times New Roman" w:hAnsi="Times New Roman"/>
          <w:i/>
          <w:iCs/>
          <w:color w:val="555555"/>
          <w:sz w:val="20"/>
          <w:szCs w:val="20"/>
        </w:rPr>
        <w:t xml:space="preserve">Nguồn: TheGlobalEconomy.com / Bank of Lao PDR (số liệu 2024: tháng 6/2024); World Bank LEM (Oct 2024) – dự trữ (không tính swap) vẫn &lt; 2 tháng NK; IMF Article IV (2024).</w:t>
      </w:r>
    </w:p>
    <w:p>
      <w:pPr>
        <w:pStyle w:val="Heading2"/>
        <w:spacing w:after="100" w:before="200"/>
      </w:pPr>
      <w:r>
        <w:rPr>
          <w:rFonts w:ascii="Times New Roman" w:cs="Times New Roman" w:eastAsia="Times New Roman" w:hAnsi="Times New Roman"/>
          <w:b/>
          <w:bCs/>
          <w:color w:val="1F3864"/>
          <w:sz w:val="26"/>
          <w:szCs w:val="26"/>
        </w:rPr>
        <w:t xml:space="preserve">4.5. Nợ công và Nghĩa vụ Nợ nước ngoài</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Nợ công là điểm mong manh nhất trong toàn bộ bức tranh kinh tế vĩ mô của Lào. Tuỳ theo định nghĩa, có hai chuỗi số liệu chính cần phân biệt: (i) Nợ PPG theo nghĩa rộng (Public and Publicly Guaranteed, bao gồm arrears và thỏa thuận swap) do World Bank LEM và countryeconomy.com theo dõi – tăng từ 57,2% GDP (2018, IMF DSA) lên đỉnh 130,7% GDP (2022), sau đó giảm dần về ~108–116% GDP (2023) và ~100–108% GDP (2024) tùy cách tính; và (ii) Nợ Chính phủ thuần túy (Government debt only, Bank of Lao PDR) – đỉnh $10,68 tỷ USD (2020), ổn định quanh $10,35–10,53 tỷ USD trong 2023–2024, tương đương 68,7–76,1% GDP. Cả hai chuỗi đều xác nhận xu hướng: IMF và World Bank tiếp tục xếp Lào ở mức 'debt distress – unsustainable' vì gánh nặng dịch vụ nợ vẫn chiếm ~52–57% thu ngân sách – mức làm kiệt sức tài khóa và thu hẹp không gian đầu tư công.</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Khoảng 50% tổng nợ nước ngoài của Lào là nợ Trung Quốc – chủ yếu liên quan đến tuyến đường sắt và các dự án thủy điện. Đây tạo ra rủi ro tập trung chủ nợ nghiêm trọng và hạn chế phạm vi thương lượng tái cơ cấu nợ của Lào. Tuy nhiên, cần nhìn nhận khách quan rằng Trung Quốc đã chấp nhận hoãn một số nghĩa vụ nợ trong giai đoạn 2024–2025 (IMF Article IV 2025 đề cập), giảm bớt áp lực ngoại tệ ngắn hạn.</w:t>
      </w:r>
    </w:p>
    <w:p>
      <w:pPr>
        <w:spacing w:after="60" w:before="160"/>
        <w:jc w:val="center"/>
      </w:pPr>
      <w:r>
        <w:rPr>
          <w:rFonts w:ascii="Times New Roman" w:cs="Times New Roman" w:eastAsia="Times New Roman" w:hAnsi="Times New Roman"/>
          <w:b/>
          <w:bCs/>
          <w:color w:val="1F3864"/>
          <w:sz w:val="22"/>
          <w:szCs w:val="22"/>
        </w:rPr>
        <w:t xml:space="preserve">Bảng 7. Nợ công và Nợ nước ngoài của Lào, 2018–2024</w:t>
      </w:r>
    </w:p>
    <w:tbl>
      <w:tblPr>
        <w:tblW w:type="dxa" w:w="9064"/>
        <w:tblBorders>
          <w:top w:val="single" w:color="auto" w:sz="4"/>
          <w:left w:val="single" w:color="auto" w:sz="4"/>
          <w:bottom w:val="single" w:color="auto" w:sz="4"/>
          <w:right w:val="single" w:color="auto" w:sz="4"/>
          <w:insideH w:val="single" w:color="auto" w:sz="4"/>
          <w:insideV w:val="single" w:color="auto" w:sz="4"/>
        </w:tblBorders>
      </w:tblPr>
      <w:tblGrid>
        <w:gridCol w:w="2400"/>
        <w:gridCol w:w="952"/>
        <w:gridCol w:w="952"/>
        <w:gridCol w:w="952"/>
        <w:gridCol w:w="952"/>
        <w:gridCol w:w="952"/>
        <w:gridCol w:w="952"/>
        <w:gridCol w:w="952"/>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Chỉ tiêu</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2018</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2019</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2020</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2021</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2022</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2023</w:t>
            </w:r>
          </w:p>
        </w:tc>
        <w:tc>
          <w:tcPr>
            <w:tcW w:type="dxa" w:w="952"/>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2024</w:t>
            </w:r>
          </w:p>
        </w:tc>
      </w:tr>
      <w:tr>
        <w:tc>
          <w:tcPr>
            <w:tcW w:type="dxa" w:w="24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Nợ PPG / GDP (%) [1]</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57,2</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~72</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~88</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~105</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130,7</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115,9</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108,3</w:t>
            </w:r>
          </w:p>
        </w:tc>
      </w:tr>
      <w:tr>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Nợ CP (Govt only, tỷ USD) [2]</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~7,5</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~8,3</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10,68</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~9,9</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~9,5</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10,53</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10,35</w:t>
            </w:r>
          </w:p>
        </w:tc>
      </w:tr>
      <w:tr>
        <w:tc>
          <w:tcPr>
            <w:tcW w:type="dxa" w:w="24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Nợ CP / GDP (%) [2]</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~41</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~44</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~56</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~53</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~62</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76,1</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68,7</w:t>
            </w:r>
          </w:p>
        </w:tc>
      </w:tr>
      <w:tr>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Nợ Trung Quốc / Tổng PPG (%)</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~45</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~48</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w:t>
            </w:r>
          </w:p>
        </w:tc>
        <w:tc>
          <w:tcPr>
            <w:tcW w:type="dxa" w:w="952"/>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~50</w:t>
            </w:r>
          </w:p>
        </w:tc>
      </w:tr>
      <w:tr>
        <w:tc>
          <w:tcPr>
            <w:tcW w:type="dxa" w:w="24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Dịch vụ nợ / Thu NS (%)</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~35</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~38</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~42</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~48</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~55</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57</w:t>
            </w:r>
          </w:p>
        </w:tc>
        <w:tc>
          <w:tcPr>
            <w:tcW w:type="dxa" w:w="952"/>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~52</w:t>
            </w:r>
          </w:p>
        </w:tc>
      </w:tr>
    </w:tbl>
    <w:p>
      <w:pPr>
        <w:spacing w:after="120" w:before="40" w:line="280"/>
        <w:jc w:val="left"/>
      </w:pPr>
      <w:r>
        <w:rPr>
          <w:rFonts w:ascii="Times New Roman" w:cs="Times New Roman" w:eastAsia="Times New Roman" w:hAnsi="Times New Roman"/>
          <w:i/>
          <w:iCs/>
          <w:color w:val="555555"/>
          <w:sz w:val="20"/>
          <w:szCs w:val="20"/>
        </w:rPr>
        <w:t xml:space="preserve">Nguồn: [1] Nợ PPG = Nợ CP + nợ bảo lãnh Nhà nước: IMF DSA (2018: 57,2% GDP); TheGlobalEconomy.com / IMF WEO (chuỗi 2022–2024); countryeconomy.com (PPG 2024: 100,5% GDP theo định nghĩa rộng hơn bao gồm arrears &amp; swap). World Bank LEM (Oct 2024): PPG = 108% GDP cuối 2023 hoặc 116% nếu tính arrears &amp; swap. [2] Nợ Chính phủ (Government debt only, không bao gồm bảo lãnh tư nhân): CEIC Data / Bank of Lao PDR (đỉnh $10,68 tỷ năm 2020; 2024: $10,35 tỷ = 68,7% GDP). Dịch vụ nợ/Thu NS: World Bank LEM (Oct 2024) – từ 35% (2017) lên 57% (2023).</w:t>
      </w:r>
    </w:p>
    <w:p>
      <w:r>
        <w:br/>
        <w:t xml:space="preserve"/>
      </w:r>
    </w:p>
    <w:p>
      <w:pPr>
        <w:pStyle w:val="Heading1"/>
        <w:spacing w:after="140" w:before="280"/>
      </w:pPr>
      <w:r>
        <w:rPr>
          <w:rFonts w:ascii="Times New Roman" w:cs="Times New Roman" w:eastAsia="Times New Roman" w:hAnsi="Times New Roman"/>
          <w:b/>
          <w:bCs/>
          <w:color w:val="1F3864"/>
          <w:sz w:val="28"/>
          <w:szCs w:val="28"/>
        </w:rPr>
        <w:t xml:space="preserve">V. NGUYÊN NHÂN CÁN CÂN THANH TOÁN XẤU ĐI</w:t>
      </w:r>
    </w:p>
    <w:p>
      <w:pPr>
        <w:pStyle w:val="Heading2"/>
        <w:spacing w:after="100" w:before="200"/>
      </w:pPr>
      <w:r>
        <w:rPr>
          <w:rFonts w:ascii="Times New Roman" w:cs="Times New Roman" w:eastAsia="Times New Roman" w:hAnsi="Times New Roman"/>
          <w:b/>
          <w:bCs/>
          <w:color w:val="1F3864"/>
          <w:sz w:val="26"/>
          <w:szCs w:val="26"/>
        </w:rPr>
        <w:t xml:space="preserve">5.1. Nguyên nhân ngoại sinh: Cú sốc COVID-19 và giá năng lượng toàn cầu</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Đại dịch COVID-19 tạo ra ba kênh tác động trực tiếp lên BoP của Lào. Kênh thứ nhất là sự sụp đổ của ngành du lịch: doanh thu từ 935 triệu USD (2019) xuống chỉ còn ~90 triệu USD (2021), tương đương mất ~11% GDP trong hai năm. Kênh thứ hai là gián đoạn thương mại biên giới: với Thái Lan (chiếm ~40% thương mại Lào) và Trung Quốc, việc đóng cửa biên giới gây ra đứt gãy nghiêm trọng trong xuất khẩu nông sản và khoáng sản. Kênh thứ ba là sụt giảm kiều hối: số lượng lao động Lào tại Thái Lan giảm tạm thời, cắt giảm một nguồn ngoại tệ quan trọng.</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Sau đại dịch, cú sốc giá năng lượng toàn cầu (2021–2022) là tác nhân ngoại sinh thứ hai. Giá dầu thô tăng vọt từ mức đáy ~20 USD/thùng (tháng 4/2020) lên trên 120 USD/thùng (tháng 6/2022) làm tăng mạnh chi phí nhập khẩu nhiên liệu – hàng hóa mà Lào nhập khẩu gần như hoàn toàn. Điều này đồng thời làm xấu cán cân thương mại và tạo ra áp lực lạm phát nhập khẩu, khuếch đại tác động tiêu cực lên BoP.</w:t>
      </w:r>
    </w:p>
    <w:p>
      <w:pPr>
        <w:pStyle w:val="Heading2"/>
        <w:spacing w:after="100" w:before="200"/>
      </w:pPr>
      <w:r>
        <w:rPr>
          <w:rFonts w:ascii="Times New Roman" w:cs="Times New Roman" w:eastAsia="Times New Roman" w:hAnsi="Times New Roman"/>
          <w:b/>
          <w:bCs/>
          <w:color w:val="1F3864"/>
          <w:sz w:val="26"/>
          <w:szCs w:val="26"/>
        </w:rPr>
        <w:t xml:space="preserve">5.2. Nguyên nhân nội tại: Các điểm yếu cơ cấu tích lũy</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COVID-19 và cú sốc giá năng lượng chỉ là các tác nhân khuếch đại. Nguyên nhân cơ bản của sự suy giảm BoP có nguồn gốc sâu xa hơn từ cơ cấu kinh tế và thể chế:</w:t>
      </w:r>
    </w:p>
    <w:p>
      <w:pPr>
        <w:spacing w:after="60" w:before="80" w:line="360"/>
        <w:jc w:val="both"/>
      </w:pPr>
      <w:r>
        <w:rPr>
          <w:rFonts w:ascii="Times New Roman" w:cs="Times New Roman" w:eastAsia="Times New Roman" w:hAnsi="Times New Roman"/>
          <w:b w:val="false"/>
          <w:bCs w:val="false"/>
          <w:i w:val="false"/>
          <w:iCs w:val="false"/>
          <w:color w:val="000000"/>
          <w:sz w:val="24"/>
          <w:szCs w:val="24"/>
        </w:rPr>
        <w:t xml:space="preserve">Thứ nhất, cơ cấu xuất khẩu đơn chiều: Xuất khẩu của Lào tập trung quá mức vào điện năng và khoáng sản (~55% năm 2023), hai lĩnh vực có co giãn thu nhập theo cầu thấp và phụ thuộc nhiều vào thời tiết và giá hàng hóa toàn cầu. Điều kiện Marshall-Lerner khó được thỏa mãn đối với cơ cấu này, khiến phá giá đồng Kip ít cải thiện cán cân thương mại nhưng lại làm tăng mạnh chi phí nhập khẩu.</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Thứ hai, gánh nặng nợ đối ngoại mang tính cơ cấu: Nghĩa vụ trả nợ hằng năm chiếm 5–7% GDP tạo ra thâm hụt tài khoản thu nhập sơ cấp kinh niên (ước tính -1,0 đến -1,3 tỷ USD mỗi năm 2021–2024). Đây là khoản 'rò rỉ ngoại tệ' liên tục không thể bù đắp bởi thặng dư thương mại ngắn hạn.</w:t>
      </w:r>
    </w:p>
    <w:p>
      <w:pPr>
        <w:spacing w:after="80" w:before="60" w:line="360"/>
        <w:jc w:val="both"/>
      </w:pPr>
      <w:r>
        <w:rPr>
          <w:rFonts w:ascii="Times New Roman" w:cs="Times New Roman" w:eastAsia="Times New Roman" w:hAnsi="Times New Roman"/>
          <w:b w:val="false"/>
          <w:bCs w:val="false"/>
          <w:i w:val="false"/>
          <w:iCs w:val="false"/>
          <w:color w:val="000000"/>
          <w:sz w:val="24"/>
          <w:szCs w:val="24"/>
        </w:rPr>
        <w:t xml:space="preserve">Thứ ba, năng lực quản trị tài khóa và tiền tệ hạn chế: Tài trợ tiền tệ cho thâm hụt ngân sách (monetary financing) – Bank of Lao PDR cấp tín dụng trực tiếp cho Chính phủ – làm gia tăng cung tiền vượt khả năng hấp thụ của nền kinh tế, dẫn đến lạm phát cao và xói mòn sức cạnh tranh của đồng Kip. Thu ngân sách thấp (chỉ ~11,3% GDP năm 2024 theo Coface) phản ánh cơ sở thuế hẹp và các ưu đãi thuế quá mức trong các thỏa thuận đầu tư.</w:t>
      </w:r>
    </w:p>
    <w:p>
      <w:pPr>
        <w:pStyle w:val="Heading2"/>
        <w:spacing w:after="100" w:before="200"/>
      </w:pPr>
      <w:r>
        <w:rPr>
          <w:rFonts w:ascii="Times New Roman" w:cs="Times New Roman" w:eastAsia="Times New Roman" w:hAnsi="Times New Roman"/>
          <w:b/>
          <w:bCs/>
          <w:color w:val="1F3864"/>
          <w:sz w:val="26"/>
          <w:szCs w:val="26"/>
        </w:rPr>
        <w:t xml:space="preserve">5.3. Cú sốc tỷ giá và vòng xoáy tiêu cực tự gia cường</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Đặc điểm nổi bật nhất của khủng hoảng BoP Lào là cơ chế vòng xoáy tự gia cường. Chuỗi nhân quả vận hành như sau: BoP mất cân bằng → dự trữ ngoại hối sụt giảm → đồng Kip chịu áp lực mất giá → lạm phát nhập khẩu tăng (Lào nhập khẩu gần toàn bộ nhiên liệu và một phần lớn hàng tiêu dùng) → chi phí sản xuất và sinh hoạt tăng → áp lực lên ngân sách xã hội → tăng cung tiền bù đắp → lạm phát tiếp tục gia tăng → tái tạo áp lực BoP. IMF (Article IV 2024) xác nhận tích lũy mất giá 140% từ T1/2021 đến T9/2024 là minh chứng điển hình của vòng xoáy này.</w:t>
      </w:r>
    </w:p>
    <w:p>
      <w:r>
        <w:br/>
        <w:t xml:space="preserve"/>
      </w:r>
    </w:p>
    <w:p>
      <w:pPr>
        <w:pStyle w:val="Heading1"/>
        <w:spacing w:after="140" w:before="280"/>
      </w:pPr>
      <w:r>
        <w:rPr>
          <w:rFonts w:ascii="Times New Roman" w:cs="Times New Roman" w:eastAsia="Times New Roman" w:hAnsi="Times New Roman"/>
          <w:b/>
          <w:bCs/>
          <w:color w:val="1F3864"/>
          <w:sz w:val="28"/>
          <w:szCs w:val="28"/>
        </w:rPr>
        <w:t xml:space="preserve">VI. HẬU QUẢ CỦA CÁN CÂN THANH TOÁN XẤU ĐI</w:t>
      </w:r>
    </w:p>
    <w:p>
      <w:pPr>
        <w:pStyle w:val="Heading2"/>
        <w:spacing w:after="100" w:before="200"/>
      </w:pPr>
      <w:r>
        <w:rPr>
          <w:rFonts w:ascii="Times New Roman" w:cs="Times New Roman" w:eastAsia="Times New Roman" w:hAnsi="Times New Roman"/>
          <w:b/>
          <w:bCs/>
          <w:color w:val="1F3864"/>
          <w:sz w:val="26"/>
          <w:szCs w:val="26"/>
        </w:rPr>
        <w:t xml:space="preserve">6.1. Khủng hoảng tiền tệ và lạm phát đình trệ</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Hệ quả trực tiếp và nghiêm trọng nhất của BoP suy giảm là cuộc khủng hoảng tiền tệ kép: mất giá đồng Kip đồng thời với lạm phát phi mã. Lạm phát CPI bình quân chạm đỉnh 31,2% năm 2023 (cao nhất kể từ đầu những năm 2000), với lạm phát lương thực lên đến ~52%. World Bank Lao Economic Monitor (tháng 5/2023) ghi nhận đến cuối 2022, 64% hộ gia đình Lào bị giảm sức mua; tiền lương thực tế giảm bình quân 33% trong khi tiền lương danh nghĩa chỉ tăng 5,7%. Đây là cú sốc phúc lợi xã hội nghiêm trọng, đẩy một bộ phận đáng kể dân số rơi trở lại vào tình trạng dễ tổn thương.</w:t>
      </w:r>
    </w:p>
    <w:p>
      <w:pPr>
        <w:pStyle w:val="Heading2"/>
        <w:spacing w:after="100" w:before="200"/>
      </w:pPr>
      <w:r>
        <w:rPr>
          <w:rFonts w:ascii="Times New Roman" w:cs="Times New Roman" w:eastAsia="Times New Roman" w:hAnsi="Times New Roman"/>
          <w:b/>
          <w:bCs/>
          <w:color w:val="1F3864"/>
          <w:sz w:val="26"/>
          <w:szCs w:val="26"/>
        </w:rPr>
        <w:t xml:space="preserve">6.2. Khó khăn thanh toán quốc tế và đô la hóa</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Dự trữ ngoại hối chỉ đủ trang trải khoảng 1,4–2,0 tháng nhập khẩu trong giai đoạn 2022–2024 (dưới ngưỡng an toàn tối thiểu 3 tháng) gây ra tình trạng thiếu hụt ngoại tệ cho các giao dịch thanh toán quốc tế cơ bản: thanh toán hàng hóa nhập khẩu thiết yếu, trả nợ nước ngoài, và duy trì hoạt động của các doanh nghiệp ngoại thương. Phản ứng của người dân và doanh nghiệp là tăng nắm giữ USD và Baht Thái (đô la hóa/ngoại tệ hóa tự phát), làm suy yếu thêm đồng Kip và làm mỏng cơ sở tiền gửi bằng nội tệ trong hệ thống ngân hàng.</w:t>
      </w:r>
    </w:p>
    <w:p>
      <w:pPr>
        <w:pStyle w:val="Heading2"/>
        <w:spacing w:after="100" w:before="200"/>
      </w:pPr>
      <w:r>
        <w:rPr>
          <w:rFonts w:ascii="Times New Roman" w:cs="Times New Roman" w:eastAsia="Times New Roman" w:hAnsi="Times New Roman"/>
          <w:b/>
          <w:bCs/>
          <w:color w:val="1F3864"/>
          <w:sz w:val="26"/>
          <w:szCs w:val="26"/>
        </w:rPr>
        <w:t xml:space="preserve">6.3. Rủi ro nợ công và áp lực tái cơ cấu</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IMF và World Bank tiếp tục duy trì xếp hạng Lào ở mức 'debt distress – unsustainable' năm 2024, phản ánh đánh giá rằng mức nợ PPG ~100,5% GDP vẫn chưa bền vững về dài hạn, đặc biệt khi tốc độ tăng trưởng kinh tế (4,1%) thấp hơn lãi suất thực của các khoản nợ ngoại tệ. Nếu không có tái cơ cấu nợ toàn diện, quỹ đạo nợ của Lào có nguy cơ leo thang trở lại khi các khoản hoãn nợ tạm thời hết hiệu lực.</w:t>
      </w:r>
    </w:p>
    <w:p>
      <w:pPr>
        <w:pStyle w:val="Heading2"/>
        <w:spacing w:after="100" w:before="200"/>
      </w:pPr>
      <w:r>
        <w:rPr>
          <w:rFonts w:ascii="Times New Roman" w:cs="Times New Roman" w:eastAsia="Times New Roman" w:hAnsi="Times New Roman"/>
          <w:b/>
          <w:bCs/>
          <w:color w:val="1F3864"/>
          <w:sz w:val="26"/>
          <w:szCs w:val="26"/>
        </w:rPr>
        <w:t xml:space="preserve">6.4. Hệ lụy xã hội và di cư lao động</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Hệ quả gián tiếp nhưng có ý nghĩa dài hạn là xu hướng di cư lao động gia tăng: số người Lào đăng ký làm việc tại Thái Lan tăng 15% trong giai đoạn tháng 6/2023 – tháng 2/2024. Mặt tích cực là gia tăng kiều hối; mặt tiêu cực là mỏng dần lực lượng lao động trẻ trong nước, ảnh hưởng đến năng lực sản xuất dài hạn và tiêu dùng trong nước.</w:t>
      </w:r>
    </w:p>
    <w:p>
      <w:r>
        <w:br/>
        <w:t xml:space="preserve"/>
      </w:r>
    </w:p>
    <w:p>
      <w:pPr>
        <w:pStyle w:val="Heading1"/>
        <w:spacing w:after="140" w:before="280"/>
      </w:pPr>
      <w:r>
        <w:rPr>
          <w:rFonts w:ascii="Times New Roman" w:cs="Times New Roman" w:eastAsia="Times New Roman" w:hAnsi="Times New Roman"/>
          <w:b/>
          <w:bCs/>
          <w:color w:val="1F3864"/>
          <w:sz w:val="28"/>
          <w:szCs w:val="28"/>
        </w:rPr>
        <w:t xml:space="preserve">VII. SO SÁNH VỚI CÁC NƯỚC ASEAN LÂN CẬN</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Đặt trong bối cảnh so sánh khu vực, mức độ suy giảm BoP của Lào thuộc nhóm nghiêm trọng nhất ASEAN. Bảng 8 dưới đây tổng hợp các chỉ tiêu kinh tế đối ngoại chủ chốt của bốn quốc gia có điều kiện tương đồng:</w:t>
      </w:r>
    </w:p>
    <w:p>
      <w:pPr>
        <w:spacing w:after="60" w:before="160"/>
        <w:jc w:val="center"/>
      </w:pPr>
      <w:r>
        <w:rPr>
          <w:rFonts w:ascii="Times New Roman" w:cs="Times New Roman" w:eastAsia="Times New Roman" w:hAnsi="Times New Roman"/>
          <w:b/>
          <w:bCs/>
          <w:color w:val="1F3864"/>
          <w:sz w:val="22"/>
          <w:szCs w:val="22"/>
        </w:rPr>
        <w:t xml:space="preserve">Bảng 8. So sánh các chỉ tiêu kinh tế đối ngoại – Lào và các nước ASEAN (2022–2024)</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200"/>
        <w:gridCol w:w="1200"/>
        <w:gridCol w:w="1200"/>
      </w:tblGrid>
      <w:tr>
        <w:trPr>
          <w:tblHeader/>
        </w:trPr>
        <w:tc>
          <w:tcPr>
            <w:tcW w:type="dxa" w:w="2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Chỉ tiêu</w:t>
            </w:r>
          </w:p>
        </w:tc>
        <w:tc>
          <w:tcPr>
            <w:tcW w:type="dxa" w:w="13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Lào</w:t>
            </w:r>
          </w:p>
        </w:tc>
        <w:tc>
          <w:tcPr>
            <w:tcW w:type="dxa" w:w="1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Campuchia</w:t>
            </w:r>
          </w:p>
        </w:tc>
        <w:tc>
          <w:tcPr>
            <w:tcW w:type="dxa" w:w="1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Việt Nam</w:t>
            </w:r>
          </w:p>
        </w:tc>
        <w:tc>
          <w:tcPr>
            <w:tcW w:type="dxa" w:w="1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Myanmar</w:t>
            </w:r>
          </w:p>
        </w:tc>
      </w:tr>
      <w:tr>
        <w:tc>
          <w:tcPr>
            <w:tcW w:type="dxa" w:w="26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Dự trữ NH (tháng NK, 2024)</w:t>
            </w:r>
          </w:p>
        </w:tc>
        <w:tc>
          <w:tcPr>
            <w:tcW w:type="dxa" w:w="13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~2,0</w:t>
            </w:r>
          </w:p>
        </w:tc>
        <w:tc>
          <w:tcPr>
            <w:tcW w:type="dxa" w:w="1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~4,5</w:t>
            </w:r>
          </w:p>
        </w:tc>
        <w:tc>
          <w:tcPr>
            <w:tcW w:type="dxa" w:w="1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~2,5</w:t>
            </w:r>
          </w:p>
        </w:tc>
        <w:tc>
          <w:tcPr>
            <w:tcW w:type="dxa" w:w="1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&lt;2</w:t>
            </w:r>
          </w:p>
        </w:tc>
      </w:tr>
      <w:tr>
        <w:tc>
          <w:tcPr>
            <w:tcW w:type="dxa" w:w="2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Nợ PPG / GDP (%) 2024</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~100,5</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~19,3</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~37</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~61,3</w:t>
            </w:r>
          </w:p>
        </w:tc>
      </w:tr>
      <w:tr>
        <w:tc>
          <w:tcPr>
            <w:tcW w:type="dxa" w:w="26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Tăng trưởng GDP 2024 (%)</w:t>
            </w:r>
          </w:p>
        </w:tc>
        <w:tc>
          <w:tcPr>
            <w:tcW w:type="dxa" w:w="13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4,1</w:t>
            </w:r>
          </w:p>
        </w:tc>
        <w:tc>
          <w:tcPr>
            <w:tcW w:type="dxa" w:w="1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5,3–6,0</w:t>
            </w:r>
          </w:p>
        </w:tc>
        <w:tc>
          <w:tcPr>
            <w:tcW w:type="dxa" w:w="1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7,1</w:t>
            </w:r>
          </w:p>
        </w:tc>
        <w:tc>
          <w:tcPr>
            <w:tcW w:type="dxa" w:w="1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-1,0</w:t>
            </w:r>
          </w:p>
        </w:tc>
      </w:tr>
      <w:tr>
        <w:tc>
          <w:tcPr>
            <w:tcW w:type="dxa" w:w="2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Lạm phát bình quân 2024 (%)</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23,1</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0,5–2,2</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4,2</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~26</w:t>
            </w:r>
          </w:p>
        </w:tc>
      </w:tr>
      <w:tr>
        <w:tc>
          <w:tcPr>
            <w:tcW w:type="dxa" w:w="26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FDI / GDP 2024 (%)</w:t>
            </w:r>
          </w:p>
        </w:tc>
        <w:tc>
          <w:tcPr>
            <w:tcW w:type="dxa" w:w="13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~5</w:t>
            </w:r>
          </w:p>
        </w:tc>
        <w:tc>
          <w:tcPr>
            <w:tcW w:type="dxa" w:w="1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~9,5</w:t>
            </w:r>
          </w:p>
        </w:tc>
        <w:tc>
          <w:tcPr>
            <w:tcW w:type="dxa" w:w="1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~4</w:t>
            </w:r>
          </w:p>
        </w:tc>
        <w:tc>
          <w:tcPr>
            <w:tcW w:type="dxa" w:w="1200"/>
            <w:tcBorders>
              <w:top w:val="single" w:color="999999" w:sz="4"/>
              <w:left w:val="single" w:color="999999" w:sz="4"/>
              <w:bottom w:val="single" w:color="999999" w:sz="4"/>
              <w:right w:val="single" w:color="999999" w:sz="4"/>
            </w:tcBorders>
            <w:shd w:fill="F5F7FA"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~1,5</w:t>
            </w:r>
          </w:p>
        </w:tc>
      </w:tr>
      <w:tr>
        <w:tc>
          <w:tcPr>
            <w:tcW w:type="dxa" w:w="2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Xếp hạng nợ (IMF DSA)</w:t>
            </w:r>
          </w:p>
        </w:tc>
        <w:tc>
          <w:tcPr>
            <w:tcW w:type="dxa" w:w="13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Debt distress</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Low risk</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Low risk</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sz w:val="20"/>
                <w:szCs w:val="20"/>
              </w:rPr>
              <w:t xml:space="preserve">Debt distress</w:t>
            </w:r>
          </w:p>
        </w:tc>
      </w:tr>
    </w:tbl>
    <w:p>
      <w:pPr>
        <w:spacing w:after="120" w:before="40" w:line="280"/>
        <w:jc w:val="left"/>
      </w:pPr>
      <w:r>
        <w:rPr>
          <w:rFonts w:ascii="Times New Roman" w:cs="Times New Roman" w:eastAsia="Times New Roman" w:hAnsi="Times New Roman"/>
          <w:i/>
          <w:iCs/>
          <w:color w:val="555555"/>
          <w:sz w:val="20"/>
          <w:szCs w:val="20"/>
        </w:rPr>
        <w:t xml:space="preserve">Nguồn: IMF WEO (Oct 2024); ADB ADO Sep 2024 (Campuchia tăng trưởng 5,8%); World Bank Cambodia Economic Update Dec 2024 (5,3%); TheGlobalEconomy.com (FDI Campuchia ~9,5% GDP); VDSC / State Bank of Vietnam (dự trữ VN cuối 2024: ~$80 tỷ ≈ 2,5 tháng NK); Trading Economics / FocusEconomics (Myanmar GDP -1%, nợ 61,3%, lạm phát ~26%); World Bank Myanmar Fiscal Monitor May 2024; IMF DSA Reports 2024.</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Lào bị ảnh hưởng nặng hơn Campuchia – dù cả hai đều phụ thuộc du lịch và vốn nước ngoài – vì ba nguyên nhân cơ bản: (i) gánh nặng nợ PPG của Lào (~100,5% GDP) cao gấp hơn 5 lần Campuchia (~19,3% GDP); (ii) dự trữ ngoại hối thấp hơn (~2,0 so với ~4,5 tháng nhập khẩu); (iii) cơ cấu xuất khẩu đơn chiều hơn. Myanmar là trường hợp đặc biệt: dù cùng xếp hạng 'debt distress', khủng hoảng kinh tế Myanmar (GDP -1% năm 2024) xuất phát từ bất ổn chính trị sau đảo chính 2021 chứ không phải từ mất cân đối BoP cơ cấu như Lào; lạm phát Myanmar ~26% (2024) và FDI cạn kiệt (~1,5% GDP) phản ánh rủi ro địa chính trị đặc thù. Đáng chú ý, ngay cả Việt Nam – nền kinh tế mạnh nhất nhóm với GDP tăng 7,1% – cũng chỉ duy trì dự trữ ngoại hối ~2,5 tháng nhập khẩu cuối 2024 do SBV phải bán ngoại tệ bảo vệ tỷ giá, cho thấy áp lực BoP là xu hướng chung của khu vực trong giai đoạn này.</w:t>
      </w:r>
    </w:p>
    <w:p>
      <w:r>
        <w:br/>
        <w:t xml:space="preserve"/>
      </w:r>
    </w:p>
    <w:p>
      <w:pPr>
        <w:pStyle w:val="Heading1"/>
        <w:spacing w:after="140" w:before="280"/>
      </w:pPr>
      <w:r>
        <w:rPr>
          <w:rFonts w:ascii="Times New Roman" w:cs="Times New Roman" w:eastAsia="Times New Roman" w:hAnsi="Times New Roman"/>
          <w:b/>
          <w:bCs/>
          <w:color w:val="1F3864"/>
          <w:sz w:val="28"/>
          <w:szCs w:val="28"/>
        </w:rPr>
        <w:t xml:space="preserve">VIII. GIẢI PHÁP VÀ TRIỂN VỌNG</w:t>
      </w:r>
    </w:p>
    <w:p>
      <w:pPr>
        <w:pStyle w:val="Heading2"/>
        <w:spacing w:after="100" w:before="200"/>
      </w:pPr>
      <w:r>
        <w:rPr>
          <w:rFonts w:ascii="Times New Roman" w:cs="Times New Roman" w:eastAsia="Times New Roman" w:hAnsi="Times New Roman"/>
          <w:b/>
          <w:bCs/>
          <w:color w:val="1F3864"/>
          <w:sz w:val="26"/>
          <w:szCs w:val="26"/>
        </w:rPr>
        <w:t xml:space="preserve">8.1. Khuyến nghị ngắn hạn (2025–2026)</w:t>
      </w:r>
    </w:p>
    <w:p>
      <w:pPr>
        <w:spacing w:after="6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(1) Tái cơ cấu nợ có chiến lược: Tiếp tục đàm phán với Trung Quốc và các chủ nợ song phương để kéo dài kỳ hạn, giảm lãi suất hoặc chuyển đổi nợ sang dạng khác (debt-for-nature swap). Đây là biện pháp tất yếu để giảm áp lực ngoại tệ ngắn hạn từ nghĩa vụ trả nợ. IMF Article IV (2025) ghi nhận Trung Quốc đã chấp thuận hoãn một số nghĩa vụ nợ trong 2024–2025 – cần thể chế hóa các thỏa thuận này.</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(2) Hồi hương ngoại tệ: Tăng cường quy định bắt buộc hồi hương kim ngạch xuất khẩu về tài khoản ngân hàng trong nước. World Bank LEM (Oct 2024) ước tính chỉ 65% kim ngạch xuất khẩu được hồi hương trong H1/2024 – cải thiện tỷ lệ này lên 85–90% sẽ cộng thêm đáng kể vào dự trữ ngoại hối.</w:t>
      </w:r>
    </w:p>
    <w:p>
      <w:pPr>
        <w:spacing w:after="80" w:before="60" w:line="360"/>
        <w:jc w:val="both"/>
      </w:pPr>
      <w:r>
        <w:rPr>
          <w:rFonts w:ascii="Times New Roman" w:cs="Times New Roman" w:eastAsia="Times New Roman" w:hAnsi="Times New Roman"/>
          <w:b w:val="false"/>
          <w:bCs w:val="false"/>
          <w:i w:val="false"/>
          <w:iCs w:val="false"/>
          <w:color w:val="000000"/>
          <w:sz w:val="24"/>
          <w:szCs w:val="24"/>
        </w:rPr>
        <w:t xml:space="preserve">(3) Chính sách tiền tệ thận trọng và minh bạch: Duy trì lãi suất thực dương; chấm dứt tài trợ tiền tệ trực tiếp cho thâm hụt ngân sách. IMF (2024) khuyến nghị Lào không nên duy trì biện pháp kiểm soát ngoại hối quá lâu vì tác dụng phụ (khuyến khích thị trường song song và hạn chế FDI). Lộ trình nới lỏng kiểm soát ngoại hối có điều kiện cần được xây dựng khi dự trữ phục hồi.</w:t>
      </w:r>
    </w:p>
    <w:p>
      <w:pPr>
        <w:pStyle w:val="Heading2"/>
        <w:spacing w:after="100" w:before="200"/>
      </w:pPr>
      <w:r>
        <w:rPr>
          <w:rFonts w:ascii="Times New Roman" w:cs="Times New Roman" w:eastAsia="Times New Roman" w:hAnsi="Times New Roman"/>
          <w:b/>
          <w:bCs/>
          <w:color w:val="1F3864"/>
          <w:sz w:val="26"/>
          <w:szCs w:val="26"/>
        </w:rPr>
        <w:t xml:space="preserve">8.2. Khuyến nghị trung và dài hạn (2027–2035)</w:t>
      </w:r>
    </w:p>
    <w:p>
      <w:pPr>
        <w:spacing w:after="6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(1) Đa dạng hóa cơ cấu xuất khẩu: Phát triển chế biến nông sản và lâm sản có giá trị gia tăng cao (cà phê, trà, gỗ chế biến); xây dựng chuỗi cung ứng khu công nghiệp tận dụng kết nối đường sắt Lào-Trung và hành lang Đông-Tây (EWEC). Mục tiêu là giảm tỷ lệ điện + khoáng sản từ ~56% xuống còn 35–40% tổng xuất khẩu vào năm 2030.</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(2) Tăng cường dự trữ ngoại hối: Đặt mục tiêu ràng buộc là đưa dự trữ về tối thiểu 3 tháng nhập khẩu (khoảng 2,5–2,8 tỷ USD theo quy mô nhập khẩu hiện tại) trước năm 2028 thông qua kết hợp tăng thu ngoại tệ từ xuất khẩu, du lịch và hồi hương kiều hối.</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(3) Cải thiện quản trị tài khóa và mở rộng cơ sở thuế: Tăng tỷ lệ thu ngân sách từ mức 11,3% GDP (2024) lên ít nhất 15% GDP vào năm 2030 thông qua cải cách hành chính thuế, mở rộng thuế tài sản và thu hẹp các ưu đãi thuế quá mức trong khu công nghiệp và hợp đồng BRI.</w:t>
      </w:r>
    </w:p>
    <w:p>
      <w:pPr>
        <w:spacing w:after="80" w:before="60" w:line="360"/>
        <w:jc w:val="both"/>
      </w:pPr>
      <w:r>
        <w:rPr>
          <w:rFonts w:ascii="Times New Roman" w:cs="Times New Roman" w:eastAsia="Times New Roman" w:hAnsi="Times New Roman"/>
          <w:b w:val="false"/>
          <w:bCs w:val="false"/>
          <w:i w:val="false"/>
          <w:iCs w:val="false"/>
          <w:color w:val="000000"/>
          <w:sz w:val="24"/>
          <w:szCs w:val="24"/>
        </w:rPr>
        <w:t xml:space="preserve">(4) Phát triển du lịch chất lượng cao và bền vững: Tận dụng đà phục hồi 2024 (doanh thu kỷ lục 1,294 tỷ USD) để nâng cấp chất lượng dịch vụ, đa dạng hóa thị trường nguồn khách (giảm phụ thuộc vào Thái Lan, phát triển khách Châu Âu và Đông Á), và tăng chi tiêu bình quân/khách từ ~307 USD (2024) lên 400–450 USD vào năm 2030.</w:t>
      </w:r>
    </w:p>
    <w:p>
      <w:pPr>
        <w:pStyle w:val="Heading2"/>
        <w:spacing w:after="100" w:before="200"/>
      </w:pPr>
      <w:r>
        <w:rPr>
          <w:rFonts w:ascii="Times New Roman" w:cs="Times New Roman" w:eastAsia="Times New Roman" w:hAnsi="Times New Roman"/>
          <w:b/>
          <w:bCs/>
          <w:color w:val="1F3864"/>
          <w:sz w:val="26"/>
          <w:szCs w:val="26"/>
        </w:rPr>
        <w:t xml:space="preserve">8.3. Triển vọng phục hồi và rủi ro còn lại</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Triển vọng trung hạn của Lào ở mức 'thận trọng lạc quan có điều kiện'. Các yếu tố thuận lợi bao gồm: vị trí địa chiến lược trong ASEAN với tuyến đường sắt Lào-Trung kết nối quan trọng; tiềm năng xuất khẩu điện tái tạo (thủy điện + điện mặt trời) đang được phát triển; và đà phục hồi du lịch và tăng trưởng GDP tích cực trong 2023–2024. Các rủi ro chính còn tồn tại gồm: nợ công vẫn ở mức không bền vững (~100,5% GDP); dự trữ ngoại hối vẫn dưới ngưỡng an toàn; và rủi ro hạn hán ảnh hưởng thủy điện trong bối cảnh biến đổi khí hậu.</w:t>
      </w:r>
    </w:p>
    <w:p>
      <w:r>
        <w:br/>
        <w:t xml:space="preserve"/>
      </w:r>
    </w:p>
    <w:p>
      <w:pPr>
        <w:pStyle w:val="Heading1"/>
        <w:spacing w:after="140" w:before="280"/>
      </w:pPr>
      <w:r>
        <w:rPr>
          <w:rFonts w:ascii="Times New Roman" w:cs="Times New Roman" w:eastAsia="Times New Roman" w:hAnsi="Times New Roman"/>
          <w:b/>
          <w:bCs/>
          <w:color w:val="1F3864"/>
          <w:sz w:val="28"/>
          <w:szCs w:val="28"/>
        </w:rPr>
        <w:t xml:space="preserve">IX. KẾT LUẬN</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Nghiên cứu này đã phân tích toàn diện diễn biến Cán cân Thanh toán của Cộng hòa Dân chủ Nhân dân Lào trong giai đoạn 2018–2024, với trọng tâm đánh giá tác động của đại dịch COVID-19 và khả năng phục hồi đến thời điểm hiện tại.</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Luận điểm trung tâm được minh chứng xuyên suốt bài viết là: COVID-19 không phải là nguyên nhân gốc rễ của cuộc khủng hoảng BoP của Lào, mà là chất xúc tác phơi bày và khuếch đại các điểm yếu cơ cấu đã tích lũy từ trước – gánh nặng nợ đối ngoại lớn, cơ cấu xuất khẩu kém đa dạng, phụ thuộc du lịch quá mức, và năng lực quản trị kinh tế vĩ mô còn hạn chế.</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Số liệu đến năm 2024 phác họa bức tranh phục hồi còn mong manh: tăng trưởng GDP đạt 4,1% (World Bank), doanh thu du lịch đạt mức lịch sử 1,294 tỷ USD, nợ PPG giảm về ~100,5% GDP; nhưng đồng Kip vẫn tiếp tục mất giá (tích lũy 140% từ 2021), lạm phát vẫn ở mức cao 23,1% và dự trữ ngoại hối (~2,0 tháng nhập khẩu) vẫn dưới ngưỡng an toàn tối thiểu theo chuẩn IMF.</w:t>
      </w:r>
    </w:p>
    <w:p>
      <w:pPr>
        <w:spacing w:after="80" w:before="80" w:line="360"/>
        <w:ind w:firstLine="720"/>
        <w:jc w:val="both"/>
      </w:pPr>
      <w:r>
        <w:rPr>
          <w:rFonts w:ascii="Times New Roman" w:cs="Times New Roman" w:eastAsia="Times New Roman" w:hAnsi="Times New Roman"/>
          <w:b w:val="false"/>
          <w:bCs w:val="false"/>
          <w:i w:val="false"/>
          <w:iCs w:val="false"/>
          <w:color w:val="000000"/>
          <w:sz w:val="24"/>
          <w:szCs w:val="24"/>
        </w:rPr>
        <w:t xml:space="preserve">Con đường phục hồi bền vững của Lào đòi hỏi cải cách cơ cấu toàn diện và dài hạn, không chỉ là các biện pháp ổn định hóa ngắn hạn. Trong bối cảnh địa kinh tế khu vực đang tái định hình, Lào có cửa sổ cơ hội để chuyển đổi từ mô hình 'land-locked' sang 'land-linked' – từ quốc gia bị cô lập địa lý thành trung tâm trung chuyển khu vực – nhưng điều đó đòi hỏi quyết tâm cải cách thể chế, tái cơ cấu nợ minh bạch và đầu tư dài hạn vào vốn con người.</w:t>
      </w:r>
    </w:p>
    <w:p>
      <w:r>
        <w:br/>
        <w:t xml:space="preserve"/>
      </w:r>
    </w:p>
    <w:p>
      <w:pPr>
        <w:pStyle w:val="Heading1"/>
        <w:spacing w:after="140" w:before="280"/>
      </w:pPr>
      <w:r>
        <w:rPr>
          <w:rFonts w:ascii="Times New Roman" w:cs="Times New Roman" w:eastAsia="Times New Roman" w:hAnsi="Times New Roman"/>
          <w:b/>
          <w:bCs/>
          <w:color w:val="1F3864"/>
          <w:sz w:val="28"/>
          <w:szCs w:val="28"/>
        </w:rPr>
        <w:t xml:space="preserve">TÀI LIỆU THAM KHẢO</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1. International Monetary Fund (IMF). (2024). Lao People's Democratic Republic: 2024 Article IV Consultation – Staff Report. IMF Country Report No. 2024/319. Washington, D.C.: IMF.</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2. International Monetary Fund (IMF). (2023). Lao People's Democratic Republic: 2023 Article IV Consultation – Staff Report. IMF Country Report No. 2023/166. Washington, D.C.: IMF.</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3. International Monetary Fund (IMF). (2025). Lao P.D.R. 2025 Article IV Consultation: IMF Staff Concluding Statement. December 19, 2025.</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4. World Bank. (2024a). Lao Economic Monitor, October 2024: Reforms for Stability and Growth. World Bank Group.</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5. World Bank. (2024b). Lao Economic Growth Requires Reforms for Stability [Press Release]. November 7, 2024.</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6. World Bank. (2023). Lao Economic Monitor, May 2023: Addressing Economic Uncertainty. World Bank Group.</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7. Bank of the Lao PDR (BoL). (2024). Foreign Exchange Reserves Data (Monthly). Vientiane: Bank of the Lao PDR. Accessed via TheGlobalEconomy.com.</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8. Lao National Chamber of Commerce and Industry (LNCCI). (2025). Lao Foreign Trade Report 2024. Vientiane: LNCCI. (Reported by Xinhua, February 12, 2025.)</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9. US International Trade Administration. (2026). Laos – Market Overview (January 2026).</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10. CEIC Data. (2024). Laos External Debt: % of GDP (1996–2024). https://www.ceicdata.com/en/indicator/laos/external-debt--of-nominal-gdp</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11. Trading Economics. (2024). Laos Tourism Revenues 2024. Source: Bank of the Lao PDR. https://tradingeconomics.com/laos/tourism-revenues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12. FocusEconomics. (2025). Laos Economy: GDP, Inflation, CPI &amp; Interest Rates. https://www.focus-economics.com/countries/laos/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13. Coface. (2025). Laos Country Risk File. https://www.coface.com/news-economy-and-insights/business-risk-dashboard/country-risk-files/laos</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14. TheGlobalEconomy.com. (2024). Laos Inflation (Annual CPI) 2024.</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15. countryeconomy.com. (2025). Laos National Debt 2024.</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16. International Monetary Fund. (2009). Balance of Payments and International Investment Position Manual, Sixth Edition (BPM6). Washington, D.C.: IMF.</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17. Asian Development Bank (ADB). (2024). Key Indicators for Asia and the Pacific 2024. Manila: ADB.</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18. Krugman, P.R., Obstfeld, M., &amp; Melitz, M.J. (2018). International Economics: Theory and Policy (11th ed.). Pearson Education.</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19. IMF Staff. (2024). Debt Sustainability Analysis – Lao PDR. IMF Country Report. Washington, D.C.: IMF.</w:t>
      </w:r>
    </w:p>
    <w:p>
      <w:pPr>
        <w:pBdr>
          <w:top w:val="single" w:color="999999" w:sz="4"/>
        </w:pBdr>
        <w:spacing w:after="0" w:before="200"/>
      </w:pPr>
      <w:r>
        <w:rPr>
          <w:rFonts w:ascii="Times New Roman" w:cs="Times New Roman" w:eastAsia="Times New Roman" w:hAnsi="Times New Roman"/>
        </w:rPr>
        <w:t xml:space="preserve"/>
      </w:r>
    </w:p>
    <w:p>
      <w:pPr>
        <w:spacing w:after="40" w:before="40" w:line="280"/>
        <w:jc w:val="both"/>
      </w:pPr>
      <w:r>
        <w:rPr>
          <w:rFonts w:ascii="Times New Roman" w:cs="Times New Roman" w:eastAsia="Times New Roman" w:hAnsi="Times New Roman"/>
          <w:b/>
          <w:bCs/>
          <w:sz w:val="18"/>
          <w:szCs w:val="18"/>
        </w:rPr>
        <w:t xml:space="preserve">[1] </w:t>
      </w:r>
      <w:r>
        <w:rPr>
          <w:rFonts w:ascii="Times New Roman" w:cs="Times New Roman" w:eastAsia="Times New Roman" w:hAnsi="Times New Roman"/>
          <w:sz w:val="18"/>
          <w:szCs w:val="18"/>
        </w:rPr>
        <w:t xml:space="preserve">Theo IMF BPM6 (2009), BoP gồm Current Account, Capital Account và Financial Account. Tổng BoP = 0 về mặt kế toán lý thuyết (bút toán kép).</w:t>
      </w:r>
    </w:p>
    <w:p>
      <w:pPr>
        <w:spacing w:after="40" w:before="40" w:line="280"/>
        <w:jc w:val="both"/>
      </w:pPr>
      <w:r>
        <w:rPr>
          <w:rFonts w:ascii="Times New Roman" w:cs="Times New Roman" w:eastAsia="Times New Roman" w:hAnsi="Times New Roman"/>
          <w:b/>
          <w:bCs/>
          <w:sz w:val="18"/>
          <w:szCs w:val="18"/>
        </w:rPr>
        <w:t xml:space="preserve">[2] </w:t>
      </w:r>
      <w:r>
        <w:rPr>
          <w:rFonts w:ascii="Times New Roman" w:cs="Times New Roman" w:eastAsia="Times New Roman" w:hAnsi="Times New Roman"/>
          <w:sz w:val="18"/>
          <w:szCs w:val="18"/>
        </w:rPr>
        <w:t xml:space="preserve">Ngưỡng 3 tháng nhập khẩu là tiêu chuẩn tối thiểu của IMF; các quốc gia nhỏ và dễ tổn thương nên duy trì 4–6 tháng. Số liệu Lào năm 2024: ~2,0 tháng (Bank of Lao PDR, tháng 6/2024). Nếu loại trừ swap với Bank of China, dự trữ thực sự còn thấp hơn.</w:t>
      </w:r>
    </w:p>
    <w:p>
      <w:pPr>
        <w:spacing w:after="40" w:before="40" w:line="280"/>
        <w:jc w:val="both"/>
      </w:pPr>
      <w:r>
        <w:rPr>
          <w:rFonts w:ascii="Times New Roman" w:cs="Times New Roman" w:eastAsia="Times New Roman" w:hAnsi="Times New Roman"/>
          <w:b/>
          <w:bCs/>
          <w:sz w:val="18"/>
          <w:szCs w:val="18"/>
        </w:rPr>
        <w:t xml:space="preserve">[3] </w:t>
      </w:r>
      <w:r>
        <w:rPr>
          <w:rFonts w:ascii="Times New Roman" w:cs="Times New Roman" w:eastAsia="Times New Roman" w:hAnsi="Times New Roman"/>
          <w:sz w:val="18"/>
          <w:szCs w:val="18"/>
        </w:rPr>
        <w:t xml:space="preserve">Nợ PPG = nợ trực tiếp của Chính phủ + nợ được Nhà nước bảo lãnh. Số liệu 2024: ~100,5% GDP theo countryeconomy.com / IMF WEO Oct 2024. World Bank LEM Oct 2024 ghi nhận PPG ở mức 108% GDP cuối 2023.</w:t>
      </w:r>
    </w:p>
    <w:p>
      <w:pPr>
        <w:spacing w:after="40" w:before="40" w:line="280"/>
        <w:jc w:val="both"/>
      </w:pPr>
      <w:r>
        <w:rPr>
          <w:rFonts w:ascii="Times New Roman" w:cs="Times New Roman" w:eastAsia="Times New Roman" w:hAnsi="Times New Roman"/>
          <w:b/>
          <w:bCs/>
          <w:sz w:val="18"/>
          <w:szCs w:val="18"/>
        </w:rPr>
        <w:t xml:space="preserve">[4] </w:t>
      </w:r>
      <w:r>
        <w:rPr>
          <w:rFonts w:ascii="Times New Roman" w:cs="Times New Roman" w:eastAsia="Times New Roman" w:hAnsi="Times New Roman"/>
          <w:sz w:val="18"/>
          <w:szCs w:val="18"/>
        </w:rPr>
        <w:t xml:space="preserve">Điều kiện Marshall-Lerner: tổng co giãn cầu xuất khẩu và nhập khẩu theo tỷ giá thực phải &gt; 1 để phá giá cải thiện cán cân thương mại. Với cơ cấu xuất khẩu điện và khoáng sản của Lào, điều kiện này khó được thỏa mãn trong ngắn hạn.</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2E4D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2026-05-21T07:00:41.622Z</dcterms:created>
  <dcterms:modified xsi:type="dcterms:W3CDTF">2026-05-21T07:00:41.622Z</dcterms:modified>
</cp:coreProperties>
</file>

<file path=docProps/custom.xml><?xml version="1.0" encoding="utf-8"?>
<Properties xmlns="http://schemas.openxmlformats.org/officeDocument/2006/custom-properties" xmlns:vt="http://schemas.openxmlformats.org/officeDocument/2006/docPropsVTypes"/>
</file>