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E3C64"/>
          <w:sz w:val="56"/>
        </w:rPr>
        <w:t>SỔ TAY NGHỆ THUẬT TOÀN TẬP</w:t>
      </w:r>
    </w:p>
    <w:p>
      <w:pPr>
        <w:jc w:val="center"/>
      </w:pPr>
      <w:r>
        <w:rPr>
          <w:rFonts w:ascii="Georgia" w:hAnsi="Georgia"/>
          <w:i/>
          <w:color w:val="646464"/>
          <w:sz w:val="26"/>
        </w:rPr>
        <w:t>Từ Nhập Môn Đến Chuyên Sâu</w:t>
        <w:br/>
        <w:t>Hướng dẫn chi tiết cách đọc tranh và lịch sử mỹ thuật phương Tây</w:t>
      </w:r>
    </w:p>
    <w:p>
      <w:r>
        <w:br w:type="page"/>
      </w:r>
    </w:p>
    <w:p>
      <w:pPr>
        <w:pStyle w:val="Heading1"/>
        <w:spacing w:before="400"/>
      </w:pPr>
      <w:r>
        <w:rPr>
          <w:rFonts w:ascii="Arial" w:hAnsi="Arial"/>
          <w:color w:val="1E3C64"/>
          <w:sz w:val="36"/>
        </w:rPr>
        <w:t>PHẦN 1: BẢNG CHỮ CÁI THỊ GIÁC (Ngữ pháp của hội họa)</w:t>
      </w:r>
    </w:p>
    <w:p>
      <w:pPr>
        <w:ind w:firstLine="454"/>
      </w:pPr>
      <w:r>
        <w:t>Hội họa không chỉ là việc chép lại thực tế. Nó là một ngôn ngữ được cấu thành từ các yếu tố: đường nét, hình khối, không gian, ánh sáng và màu sắc. Hiểu được những yếu tố này là bước đầu tiên để bạn ngừng việc chỉ nhìn xem bức tranh vẽ CÁI GÌ, và bắt đầu phân tích xem nó được vẽ NHƯ THẾ NÀO.</w:t>
      </w:r>
    </w:p>
    <w:p>
      <w:pPr>
        <w:pStyle w:val="Heading2"/>
      </w:pPr>
      <w:r>
        <w:rPr>
          <w:rFonts w:ascii="Arial" w:hAnsi="Arial"/>
          <w:color w:val="3C5A82"/>
          <w:sz w:val="28"/>
        </w:rPr>
        <w:t>1. Bố cục (Composition) &amp; Sự cân bằng</w:t>
      </w:r>
    </w:p>
    <w:p>
      <w:pPr>
        <w:ind w:firstLine="454"/>
      </w:pPr>
      <w:r>
        <w:t>Bố cục là chiến lược sắp xếp các yếu tố trên khung vải nhằm điều hướng mắt người xem. Một trong những bố cục kinh điển và quyền lực nhất là Bố cục Kim Tự Tháp (Pyramid Composition), được phát triển rực rỡ nhất trong thời kỳ Phục Hưng.</w:t>
      </w:r>
    </w:p>
    <w:p>
      <w:pPr>
        <w:jc w:val="center"/>
      </w:pPr>
      <w:r>
        <w:drawing>
          <wp:inline xmlns:a="http://schemas.openxmlformats.org/drawingml/2006/main" xmlns:pic="http://schemas.openxmlformats.org/drawingml/2006/picture">
            <wp:extent cx="5029200" cy="7443216"/>
            <wp:docPr id="1" name="Picture 1"/>
            <wp:cNvGraphicFramePr>
              <a:graphicFrameLocks noChangeAspect="1"/>
            </wp:cNvGraphicFramePr>
            <a:graphic>
              <a:graphicData uri="http://schemas.openxmlformats.org/drawingml/2006/picture">
                <pic:pic>
                  <pic:nvPicPr>
                    <pic:cNvPr id="0" name="mona_lisa.jpg"/>
                    <pic:cNvPicPr/>
                  </pic:nvPicPr>
                  <pic:blipFill>
                    <a:blip r:embed="rId9"/>
                    <a:stretch>
                      <a:fillRect/>
                    </a:stretch>
                  </pic:blipFill>
                  <pic:spPr>
                    <a:xfrm>
                      <a:off x="0" y="0"/>
                      <a:ext cx="5029200" cy="7443216"/>
                    </a:xfrm>
                    <a:prstGeom prst="rect"/>
                  </pic:spPr>
                </pic:pic>
              </a:graphicData>
            </a:graphic>
          </wp:inline>
        </w:drawing>
      </w:r>
    </w:p>
    <w:p>
      <w:pPr>
        <w:spacing w:after="300"/>
        <w:jc w:val="center"/>
      </w:pPr>
      <w:r>
        <w:rPr>
          <w:i/>
          <w:color w:val="646464"/>
          <w:sz w:val="19"/>
        </w:rPr>
        <w:t>Nàng Mona Lisa (Leonardo da Vinci). Đỉnh đầu tạo thành chóp tam giác, hai tay khoanh làm đáy, mang lại cảm giác vĩnh cửu và uy nghi.</w:t>
      </w:r>
    </w:p>
    <w:p>
      <w:pPr>
        <w:ind w:firstLine="454"/>
      </w:pPr>
      <w:r>
        <w:t>Như bạn có thể thấy ở tác phẩm Mona Lisa, sự sắp đặt không hề ngẫu nhiên. Tam giác vô hình đóng khung nhân vật khiến bức chân dung toát lên sự tĩnh lặng, thăng bằng tuyệt đối.</w:t>
      </w:r>
    </w:p>
    <w:p>
      <w:pPr>
        <w:pStyle w:val="Heading2"/>
      </w:pPr>
      <w:r>
        <w:rPr>
          <w:rFonts w:ascii="Arial" w:hAnsi="Arial"/>
          <w:color w:val="3C5A82"/>
          <w:sz w:val="28"/>
        </w:rPr>
        <w:t>2. Ánh sáng, Bóng tối và Kịch tính (Chiaroscuro / Tenebrism)</w:t>
      </w:r>
    </w:p>
    <w:p>
      <w:pPr>
        <w:ind w:firstLine="454"/>
      </w:pPr>
      <w:r>
        <w:t>Ánh sáng không chỉ dùng để chiếu sáng nhân vật, nó là một công cụ tạo cảm xúc. Kỹ thuật Chiaroscuro (chuyển êm từ sáng sang tối) giúp tạo khối 3D. Nhưng Caravaggio đã đẩy nó lên mức cực đoan gọi là Tenebrism (Sáng tối kịch tính).</w:t>
      </w:r>
    </w:p>
    <w:p>
      <w:pPr>
        <w:jc w:val="center"/>
      </w:pPr>
      <w:r>
        <w:drawing>
          <wp:inline xmlns:a="http://schemas.openxmlformats.org/drawingml/2006/main" xmlns:pic="http://schemas.openxmlformats.org/drawingml/2006/picture">
            <wp:extent cx="5029200" cy="4744528"/>
            <wp:docPr id="2" name="Picture 2"/>
            <wp:cNvGraphicFramePr>
              <a:graphicFrameLocks noChangeAspect="1"/>
            </wp:cNvGraphicFramePr>
            <a:graphic>
              <a:graphicData uri="http://schemas.openxmlformats.org/drawingml/2006/picture">
                <pic:pic>
                  <pic:nvPicPr>
                    <pic:cNvPr id="0" name="caravaggio.jpg"/>
                    <pic:cNvPicPr/>
                  </pic:nvPicPr>
                  <pic:blipFill>
                    <a:blip r:embed="rId10"/>
                    <a:stretch>
                      <a:fillRect/>
                    </a:stretch>
                  </pic:blipFill>
                  <pic:spPr>
                    <a:xfrm>
                      <a:off x="0" y="0"/>
                      <a:ext cx="5029200" cy="4744528"/>
                    </a:xfrm>
                    <a:prstGeom prst="rect"/>
                  </pic:spPr>
                </pic:pic>
              </a:graphicData>
            </a:graphic>
          </wp:inline>
        </w:drawing>
      </w:r>
    </w:p>
    <w:p>
      <w:pPr>
        <w:spacing w:after="300"/>
        <w:jc w:val="center"/>
      </w:pPr>
      <w:r>
        <w:rPr>
          <w:i/>
          <w:color w:val="646464"/>
          <w:sz w:val="19"/>
        </w:rPr>
        <w:t>Sự kêu gọi Thánh Matthew (Caravaggio). Ánh sáng chéo sắc lẹm cắt ngang màn đêm.</w:t>
      </w:r>
    </w:p>
    <w:p>
      <w:pPr>
        <w:ind w:firstLine="454"/>
      </w:pPr>
      <w:r>
        <w:t>Trong bức tranh trên, ánh sáng không đến từ tự nhiên. Nó giống như một ánh đèn sân khấu chói lòa hoặc một tia sáng thần thánh giáng xuống những kẻ thu thuế đang chìm trong bóng tối. Sự tương phản này tạo ra một "khoảnh khắc đóng băng" nghẹt thở.</w:t>
      </w:r>
    </w:p>
    <w:p>
      <w:pPr>
        <w:pStyle w:val="Heading1"/>
        <w:spacing w:before="400"/>
      </w:pPr>
      <w:r>
        <w:rPr>
          <w:rFonts w:ascii="Arial" w:hAnsi="Arial"/>
          <w:color w:val="1E3C64"/>
          <w:sz w:val="36"/>
        </w:rPr>
        <w:t>PHẦN 2: LƯỢC SỬ MỸ THUẬT - TỪ CỔ ĐIỂN ĐẾN HIỆN ĐẠI</w:t>
      </w:r>
    </w:p>
    <w:p>
      <w:pPr>
        <w:pStyle w:val="Heading2"/>
      </w:pPr>
      <w:r>
        <w:rPr>
          <w:rFonts w:ascii="Arial" w:hAnsi="Arial"/>
          <w:color w:val="3C5A82"/>
          <w:sz w:val="28"/>
        </w:rPr>
        <w:t>1. Thời kỳ Phục Hưng (Renaissance)</w:t>
      </w:r>
    </w:p>
    <w:p>
      <w:pPr>
        <w:ind w:firstLine="454"/>
      </w:pPr>
      <w:r>
        <w:t>Bắt đầu từ Ý vào thế kỷ 14, Phục Hưng đánh dấu sự thức tỉnh của con người sau đêm trường Trung Cổ. Nghệ thuật thời kỳ này tôn vinh vẻ đẹp hình thể con người, áp dụng tỉ lệ vàng, phối cảnh toán học và các nguyên tắc giải phẫu học chuẩn xác.</w:t>
      </w:r>
    </w:p>
    <w:p>
      <w:pPr>
        <w:jc w:val="center"/>
      </w:pPr>
      <w:r>
        <w:drawing>
          <wp:inline xmlns:a="http://schemas.openxmlformats.org/drawingml/2006/main" xmlns:pic="http://schemas.openxmlformats.org/drawingml/2006/picture">
            <wp:extent cx="5029200" cy="9510776"/>
            <wp:docPr id="3" name="Picture 3"/>
            <wp:cNvGraphicFramePr>
              <a:graphicFrameLocks noChangeAspect="1"/>
            </wp:cNvGraphicFramePr>
            <a:graphic>
              <a:graphicData uri="http://schemas.openxmlformats.org/drawingml/2006/picture">
                <pic:pic>
                  <pic:nvPicPr>
                    <pic:cNvPr id="0" name="david.jpg"/>
                    <pic:cNvPicPr/>
                  </pic:nvPicPr>
                  <pic:blipFill>
                    <a:blip r:embed="rId11"/>
                    <a:stretch>
                      <a:fillRect/>
                    </a:stretch>
                  </pic:blipFill>
                  <pic:spPr>
                    <a:xfrm>
                      <a:off x="0" y="0"/>
                      <a:ext cx="5029200" cy="9510776"/>
                    </a:xfrm>
                    <a:prstGeom prst="rect"/>
                  </pic:spPr>
                </pic:pic>
              </a:graphicData>
            </a:graphic>
          </wp:inline>
        </w:drawing>
      </w:r>
    </w:p>
    <w:p>
      <w:pPr>
        <w:spacing w:after="300"/>
        <w:jc w:val="center"/>
      </w:pPr>
      <w:r>
        <w:rPr>
          <w:i/>
          <w:color w:val="646464"/>
          <w:sz w:val="19"/>
        </w:rPr>
        <w:t>Tượng David (Michelangelo). Tuyệt tác của sự am hiểu giải phẫu học và tỉ lệ lý tưởng của Phục Hưng.</w:t>
      </w:r>
    </w:p>
    <w:p>
      <w:pPr>
        <w:ind w:firstLine="454"/>
      </w:pPr>
      <w:r>
        <w:t>Bức tượng David cao hơn 5 mét của Michelangelo không chỉ là đá cẩm thạch. Nó là tuyên ngôn của con người: mạnh mẽ, tự tin, mang vẻ đẹp thần thánh và sẵn sàng đối đầu với mọi gã khổng lồ.</w:t>
      </w:r>
    </w:p>
    <w:p>
      <w:pPr>
        <w:pStyle w:val="Heading2"/>
      </w:pPr>
      <w:r>
        <w:rPr>
          <w:rFonts w:ascii="Arial" w:hAnsi="Arial"/>
          <w:color w:val="3C5A82"/>
          <w:sz w:val="28"/>
        </w:rPr>
        <w:t>2. Chủ nghĩa Lãng Mạn (Romanticism - Thế kỷ 18/19)</w:t>
      </w:r>
    </w:p>
    <w:p>
      <w:pPr>
        <w:ind w:firstLine="454"/>
      </w:pPr>
      <w:r>
        <w:t>Phản ứng lại sự khô khan của lý trí và khoa học, Chủ nghĩa Lãng Mạn tôn vinh cảm xúc cuồng nhiệt, sự bí ẩn, và sức mạnh vĩ đại của thiên nhiên. Con người trong tranh lãng mạn thường cô đơn, nhỏ bé trước sự vô tận của vũ trụ.</w:t>
      </w:r>
    </w:p>
    <w:p>
      <w:pPr>
        <w:jc w:val="center"/>
      </w:pPr>
      <w:r>
        <w:drawing>
          <wp:inline xmlns:a="http://schemas.openxmlformats.org/drawingml/2006/main" xmlns:pic="http://schemas.openxmlformats.org/drawingml/2006/picture">
            <wp:extent cx="5029200" cy="7277971"/>
            <wp:docPr id="4" name="Picture 4"/>
            <wp:cNvGraphicFramePr>
              <a:graphicFrameLocks noChangeAspect="1"/>
            </wp:cNvGraphicFramePr>
            <a:graphic>
              <a:graphicData uri="http://schemas.openxmlformats.org/drawingml/2006/picture">
                <pic:pic>
                  <pic:nvPicPr>
                    <pic:cNvPr id="0" name="wanderer.jpg"/>
                    <pic:cNvPicPr/>
                  </pic:nvPicPr>
                  <pic:blipFill>
                    <a:blip r:embed="rId12"/>
                    <a:stretch>
                      <a:fillRect/>
                    </a:stretch>
                  </pic:blipFill>
                  <pic:spPr>
                    <a:xfrm>
                      <a:off x="0" y="0"/>
                      <a:ext cx="5029200" cy="7277971"/>
                    </a:xfrm>
                    <a:prstGeom prst="rect"/>
                  </pic:spPr>
                </pic:pic>
              </a:graphicData>
            </a:graphic>
          </wp:inline>
        </w:drawing>
      </w:r>
    </w:p>
    <w:p>
      <w:pPr>
        <w:spacing w:after="300"/>
        <w:jc w:val="center"/>
      </w:pPr>
      <w:r>
        <w:rPr>
          <w:i/>
          <w:color w:val="646464"/>
          <w:sz w:val="19"/>
        </w:rPr>
        <w:t>Kẻ lãng du trên biển sương mù (Caspar David Friedrich).</w:t>
      </w:r>
    </w:p>
    <w:p>
      <w:pPr>
        <w:ind w:firstLine="454"/>
      </w:pPr>
      <w:r>
        <w:t>Bức tranh này định hình toàn bộ tinh thần Lãng mạn: Một người đàn ông vô danh quay lưng lại với khán giả, đứng trên đỉnh núi cao nhìn xuống biển sương mù mênh mông. Bạn không nhìn thấy mặt anh ta, vì họa sĩ muốn BẠN nhập vai vào chính vị trí đó, đối diện với sự vô tận của thế giới.</w:t>
      </w:r>
    </w:p>
    <w:p>
      <w:pPr>
        <w:pStyle w:val="Heading2"/>
      </w:pPr>
      <w:r>
        <w:rPr>
          <w:rFonts w:ascii="Arial" w:hAnsi="Arial"/>
          <w:color w:val="3C5A82"/>
          <w:sz w:val="28"/>
        </w:rPr>
        <w:t>3. Chủ nghĩa Ấn tượng (Impressionism - Cuối thế kỷ 19)</w:t>
      </w:r>
    </w:p>
    <w:p>
      <w:pPr>
        <w:ind w:firstLine="454"/>
      </w:pPr>
      <w:r>
        <w:t>Khi máy ảnh ra đời, hội họa mất đi nhiệm vụ "sao chép hiện thực". Các họa sĩ Ấn tượng xách giá vẽ ra khỏi xưởng, đứng ngoài trời để chộp lấy ánh sáng lung linh thay đổi từng giây. Nét cọ của họ nhanh, thô, không cần chi tiết.</w:t>
      </w:r>
    </w:p>
    <w:p>
      <w:pPr>
        <w:jc w:val="center"/>
      </w:pPr>
      <w:r>
        <w:drawing>
          <wp:inline xmlns:a="http://schemas.openxmlformats.org/drawingml/2006/main" xmlns:pic="http://schemas.openxmlformats.org/drawingml/2006/picture">
            <wp:extent cx="5029200" cy="3901821"/>
            <wp:docPr id="5" name="Picture 5"/>
            <wp:cNvGraphicFramePr>
              <a:graphicFrameLocks noChangeAspect="1"/>
            </wp:cNvGraphicFramePr>
            <a:graphic>
              <a:graphicData uri="http://schemas.openxmlformats.org/drawingml/2006/picture">
                <pic:pic>
                  <pic:nvPicPr>
                    <pic:cNvPr id="0" name="monet.jpg"/>
                    <pic:cNvPicPr/>
                  </pic:nvPicPr>
                  <pic:blipFill>
                    <a:blip r:embed="rId13"/>
                    <a:stretch>
                      <a:fillRect/>
                    </a:stretch>
                  </pic:blipFill>
                  <pic:spPr>
                    <a:xfrm>
                      <a:off x="0" y="0"/>
                      <a:ext cx="5029200" cy="3901821"/>
                    </a:xfrm>
                    <a:prstGeom prst="rect"/>
                  </pic:spPr>
                </pic:pic>
              </a:graphicData>
            </a:graphic>
          </wp:inline>
        </w:drawing>
      </w:r>
    </w:p>
    <w:p>
      <w:pPr>
        <w:spacing w:after="300"/>
        <w:jc w:val="center"/>
      </w:pPr>
      <w:r>
        <w:rPr>
          <w:i/>
          <w:color w:val="646464"/>
          <w:sz w:val="19"/>
        </w:rPr>
        <w:t>Ấn tượng, Mặt trời mọc (Claude Monet). Bức tranh khai sinh ra tên gọi của toàn bộ trào lưu.</w:t>
      </w:r>
    </w:p>
    <w:p>
      <w:pPr>
        <w:ind w:firstLine="454"/>
      </w:pPr>
      <w:r>
        <w:t>Ban đầu, giới hàn lâm chê bai bức tranh này là "vẽ chưa xong". Nhưng Monet không định vẽ chi tiết một bến cảng, ông vẽ sự RUNG ĐỘNG của ánh sáng mặt trời xuyên qua lớp sương mù buổi sớm. Hãy lùi ra xa, bạn sẽ thấy nó sống động đến nhường nào.</w:t>
      </w:r>
    </w:p>
    <w:p>
      <w:pPr>
        <w:pStyle w:val="Heading2"/>
      </w:pPr>
      <w:r>
        <w:rPr>
          <w:rFonts w:ascii="Arial" w:hAnsi="Arial"/>
          <w:color w:val="3C5A82"/>
          <w:sz w:val="28"/>
        </w:rPr>
        <w:t>4. Chủ nghĩa Siêu thực (Surrealism - Thế kỷ 20)</w:t>
      </w:r>
    </w:p>
    <w:p>
      <w:pPr>
        <w:ind w:firstLine="454"/>
      </w:pPr>
      <w:r>
        <w:t>Chịu ảnh hưởng từ phân tâm học của Freud, nghệ thuật Siêu thực đi sâu vào cõi Vô thức, những giấc mơ, và những ảo giác phi lý. Ở đó, các quy luật vật lý không còn tồn tại.</w:t>
      </w:r>
    </w:p>
    <w:p>
      <w:pPr>
        <w:jc w:val="center"/>
      </w:pPr>
      <w:r>
        <w:drawing>
          <wp:inline xmlns:a="http://schemas.openxmlformats.org/drawingml/2006/main" xmlns:pic="http://schemas.openxmlformats.org/drawingml/2006/picture">
            <wp:extent cx="5029200" cy="3632953"/>
            <wp:docPr id="6" name="Picture 6"/>
            <wp:cNvGraphicFramePr>
              <a:graphicFrameLocks noChangeAspect="1"/>
            </wp:cNvGraphicFramePr>
            <a:graphic>
              <a:graphicData uri="http://schemas.openxmlformats.org/drawingml/2006/picture">
                <pic:pic>
                  <pic:nvPicPr>
                    <pic:cNvPr id="0" name="dali.jpg"/>
                    <pic:cNvPicPr/>
                  </pic:nvPicPr>
                  <pic:blipFill>
                    <a:blip r:embed="rId14"/>
                    <a:stretch>
                      <a:fillRect/>
                    </a:stretch>
                  </pic:blipFill>
                  <pic:spPr>
                    <a:xfrm>
                      <a:off x="0" y="0"/>
                      <a:ext cx="5029200" cy="3632953"/>
                    </a:xfrm>
                    <a:prstGeom prst="rect"/>
                  </pic:spPr>
                </pic:pic>
              </a:graphicData>
            </a:graphic>
          </wp:inline>
        </w:drawing>
      </w:r>
    </w:p>
    <w:p>
      <w:pPr>
        <w:spacing w:after="300"/>
        <w:jc w:val="center"/>
      </w:pPr>
      <w:r>
        <w:rPr>
          <w:i/>
          <w:color w:val="646464"/>
          <w:sz w:val="19"/>
        </w:rPr>
        <w:t>Sự dai dẳng của Ký ức (Salvador Dalí). Những chiếc đồng hồ tan chảy trong hoang mạc.</w:t>
      </w:r>
    </w:p>
    <w:p>
      <w:pPr>
        <w:ind w:firstLine="454"/>
      </w:pPr>
      <w:r>
        <w:t>Dalí vẽ những chiếc đồng hồ đang tan chảy trên cành cây khô với một kỹ thuật chân thực đến ám ảnh. Bức tranh đặt ra câu hỏi về tính tương đối của thời gian: thời gian trong tâm trí chúng ta không hề trôi qua đều đặn như nhịp tích tắc của đồng hồ cơ học.</w:t>
      </w:r>
    </w:p>
    <w:p>
      <w:pPr>
        <w:pStyle w:val="Heading1"/>
        <w:spacing w:before="400"/>
      </w:pPr>
      <w:r>
        <w:rPr>
          <w:rFonts w:ascii="Arial" w:hAnsi="Arial"/>
          <w:color w:val="1E3C64"/>
          <w:sz w:val="36"/>
        </w:rPr>
        <w:t>PHẦN 3: THỰC HÀNH TẠI BẢO TÀNG</w:t>
      </w:r>
    </w:p>
    <w:p>
      <w:pPr>
        <w:ind w:firstLine="454"/>
      </w:pPr>
      <w:r>
        <w:t>1. Đừng cố xem mọi thứ: Một bảo tàng lớn có hàng chục ngàn tác phẩm. Hãy chọn 5-10 bức bạn thích nhất.</w:t>
      </w:r>
    </w:p>
    <w:p>
      <w:pPr>
        <w:ind w:firstLine="454"/>
      </w:pPr>
      <w:r>
        <w:t>2. Quy tắc 5 phút: Dừng lại trước tác phẩm ít nhất 5 phút. Đầu tiên hãy nhìn tổng thể, sau đó tìm điểm tụ của ánh sáng, quan sát hướng nét cọ, và cuối cùng tự hỏi: bức tranh mang lại cho mình cảm xúc gì?</w:t>
      </w:r>
    </w:p>
    <w:p>
      <w:pPr>
        <w:ind w:firstLine="454"/>
      </w:pPr>
      <w:r>
        <w:t>3. Đứng ở nhiều góc độ: Tranh Phục Hưng cần nhìn thẳng để thấy phối cảnh toán học. Tranh Ấn tượng cần lùi ra xa 3 mét để thấy sự hòa trộn ánh sáng. Tranh impasto (sơn đắp dày) cần nhìn nghiêng để thấy độ nổi của bề mặt.</w:t>
      </w:r>
    </w:p>
    <w:p>
      <w:pPr>
        <w:ind w:firstLine="454"/>
      </w:pPr>
      <w:r>
        <w:t>Chúc bạn có những trải nghiệm thưởng lãm nghệ thuật đầy thú vị và sâu sắc!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