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Segoe UI" w:hAnsi="Segoe UI"/>
          <w:b/>
          <w:color w:val="218358"/>
          <w:sz w:val="15"/>
        </w:rPr>
        <w:t>P A N I M Á V I D A   1 3 , 2   K V     ·     A N Á L I S I S   P A R A   E L   C O M I T É   D E   C R É D I T O     ·     J U L I O   2 0 2 6</w:t>
      </w:r>
    </w:p>
    <w:p>
      <w:pPr>
        <w:spacing w:before="40" w:after="180"/>
      </w:pPr>
      <w:r>
        <w:rPr>
          <w:rFonts w:ascii="Segoe UI" w:hAnsi="Segoe UI"/>
          <w:color w:val="1D1D1F"/>
          <w:sz w:val="42"/>
        </w:rPr>
        <w:t>No está cayendo lo que se cree que está cayendo.</w:t>
      </w:r>
    </w:p>
    <w:p>
      <w:pPr>
        <w:spacing w:before="0" w:after="220"/>
      </w:pPr>
      <w:r>
        <w:rPr>
          <w:rFonts w:ascii="Segoe UI" w:hAnsi="Segoe UI"/>
          <w:b w:val="0"/>
          <w:i w:val="0"/>
          <w:color w:val="6E6E73"/>
          <w:sz w:val="21"/>
        </w:rPr>
        <w:t>La objeción planteada al proyecto es que la línea HVDC Kimal–Lo Aguirre hará bajar el precio de venta nocturno del nodo. Los datos del propio nodo, medidos en ventanas de doce meses completos, muestran otra cosa.</w:t>
      </w:r>
    </w:p>
    <w:p>
      <w:pPr>
        <w:spacing w:before="0" w:after="80"/>
      </w:pPr>
      <w:r>
        <w:rPr>
          <w:rFonts w:ascii="Segoe UI" w:hAnsi="Segoe UI"/>
          <w:b/>
          <w:i w:val="0"/>
          <w:color w:val="1D1D1F"/>
          <w:sz w:val="18"/>
        </w:rPr>
        <w:t>Ventanas de 12 meses completos · 1.586 días reales del Coordinador Eléctrico Nacional</w:t>
      </w:r>
    </w:p>
    <w:tbl>
      <w:tblPr>
        <w:tblStyle w:val="TableGrid"/>
        <w:tblW w:type="auto" w:w="0"/>
        <w:jc w:val="left"/>
        <w:tblLook w:firstColumn="1" w:firstRow="1" w:lastColumn="0" w:lastRow="0" w:noHBand="0" w:noVBand="1" w:val="04A0"/>
      </w:tblPr>
      <w:tblGrid>
        <w:gridCol w:w="2464"/>
        <w:gridCol w:w="2464"/>
        <w:gridCol w:w="2464"/>
        <w:gridCol w:w="2464"/>
      </w:tblGrid>
      <w:tr>
        <w:tc>
          <w:tcPr>
            <w:tcW w:type="dxa" w:w="3175"/>
            <w:shd w:val="clear" w:fill="F7F9F8"/>
          </w:tcPr>
          <w:p>
            <w:pPr>
              <w:spacing w:before="60" w:after="60"/>
            </w:pPr>
            <w:r/>
            <w:r>
              <w:rPr>
                <w:rFonts w:ascii="Segoe UI" w:hAnsi="Segoe UI"/>
                <w:b/>
                <w:i w:val="0"/>
                <w:color w:val="6E6E73"/>
                <w:sz w:val="17"/>
              </w:rPr>
              <w:t>Ventana</w:t>
            </w:r>
          </w:p>
        </w:tc>
        <w:tc>
          <w:tcPr>
            <w:tcW w:type="dxa" w:w="1928"/>
            <w:shd w:val="clear" w:fill="F7F9F8"/>
          </w:tcPr>
          <w:p>
            <w:pPr>
              <w:spacing w:before="60" w:after="60"/>
              <w:jc w:val="right"/>
            </w:pPr>
            <w:r/>
            <w:r>
              <w:rPr>
                <w:rFonts w:ascii="Segoe UI" w:hAnsi="Segoe UI"/>
                <w:b/>
                <w:i w:val="0"/>
                <w:color w:val="6E6E73"/>
                <w:sz w:val="17"/>
              </w:rPr>
              <w:t>Costo de carga</w:t>
            </w:r>
          </w:p>
        </w:tc>
        <w:tc>
          <w:tcPr>
            <w:tcW w:type="dxa" w:w="2041"/>
            <w:shd w:val="clear" w:fill="F7F9F8"/>
          </w:tcPr>
          <w:p>
            <w:pPr>
              <w:spacing w:before="60" w:after="60"/>
              <w:jc w:val="right"/>
            </w:pPr>
            <w:r/>
            <w:r>
              <w:rPr>
                <w:rFonts w:ascii="Segoe UI" w:hAnsi="Segoe UI"/>
                <w:b/>
                <w:i w:val="0"/>
                <w:color w:val="6E6E73"/>
                <w:sz w:val="17"/>
              </w:rPr>
              <w:t>Precio de venta</w:t>
            </w:r>
          </w:p>
        </w:tc>
        <w:tc>
          <w:tcPr>
            <w:tcW w:type="dxa" w:w="1701"/>
            <w:shd w:val="clear" w:fill="F7F9F8"/>
          </w:tcPr>
          <w:p>
            <w:pPr>
              <w:spacing w:before="60" w:after="60"/>
              <w:jc w:val="right"/>
            </w:pPr>
            <w:r/>
            <w:r>
              <w:rPr>
                <w:rFonts w:ascii="Segoe UI" w:hAnsi="Segoe UI"/>
                <w:b/>
                <w:i w:val="0"/>
                <w:color w:val="6E6E73"/>
                <w:sz w:val="17"/>
              </w:rPr>
              <w:t>Spread</w:t>
            </w:r>
          </w:p>
        </w:tc>
      </w:tr>
      <w:tr>
        <w:tc>
          <w:tcPr>
            <w:tcW w:type="dxa" w:w="3175"/>
          </w:tcPr>
          <w:p>
            <w:pPr>
              <w:spacing w:before="60" w:after="60"/>
            </w:pPr>
            <w:r/>
            <w:r>
              <w:rPr>
                <w:rFonts w:ascii="Segoe UI" w:hAnsi="Segoe UI"/>
                <w:b w:val="0"/>
                <w:i w:val="0"/>
                <w:color w:val="1D1D1F"/>
                <w:sz w:val="19"/>
              </w:rPr>
              <w:t>2022 – 2023</w:t>
            </w:r>
          </w:p>
        </w:tc>
        <w:tc>
          <w:tcPr>
            <w:tcW w:type="dxa" w:w="1928"/>
          </w:tcPr>
          <w:p>
            <w:pPr>
              <w:spacing w:before="60" w:after="60"/>
              <w:jc w:val="right"/>
            </w:pPr>
            <w:r/>
            <w:r>
              <w:rPr>
                <w:rFonts w:ascii="Segoe UI" w:hAnsi="Segoe UI"/>
                <w:b w:val="0"/>
                <w:i w:val="0"/>
                <w:color w:val="1D1D1F"/>
                <w:sz w:val="19"/>
              </w:rPr>
              <w:t>37,7</w:t>
            </w:r>
          </w:p>
        </w:tc>
        <w:tc>
          <w:tcPr>
            <w:tcW w:type="dxa" w:w="2041"/>
          </w:tcPr>
          <w:p>
            <w:pPr>
              <w:spacing w:before="60" w:after="60"/>
              <w:jc w:val="right"/>
            </w:pPr>
            <w:r/>
            <w:r>
              <w:rPr>
                <w:rFonts w:ascii="Segoe UI" w:hAnsi="Segoe UI"/>
                <w:b/>
                <w:i w:val="0"/>
                <w:color w:val="218358"/>
                <w:sz w:val="19"/>
              </w:rPr>
              <w:t>200,0</w:t>
            </w:r>
          </w:p>
        </w:tc>
        <w:tc>
          <w:tcPr>
            <w:tcW w:type="dxa" w:w="1701"/>
          </w:tcPr>
          <w:p>
            <w:pPr>
              <w:spacing w:before="60" w:after="60"/>
              <w:jc w:val="right"/>
            </w:pPr>
            <w:r/>
            <w:r>
              <w:rPr>
                <w:rFonts w:ascii="Segoe UI" w:hAnsi="Segoe UI"/>
                <w:b w:val="0"/>
                <w:i w:val="0"/>
                <w:color w:val="1D1D1F"/>
                <w:sz w:val="19"/>
              </w:rPr>
              <w:t>162,3</w:t>
            </w:r>
          </w:p>
        </w:tc>
      </w:tr>
      <w:tr>
        <w:tc>
          <w:tcPr>
            <w:tcW w:type="dxa" w:w="3175"/>
          </w:tcPr>
          <w:p>
            <w:pPr>
              <w:spacing w:before="60" w:after="60"/>
            </w:pPr>
            <w:r/>
            <w:r>
              <w:rPr>
                <w:rFonts w:ascii="Segoe UI" w:hAnsi="Segoe UI"/>
                <w:b w:val="0"/>
                <w:i w:val="0"/>
                <w:color w:val="1D1D1F"/>
                <w:sz w:val="19"/>
              </w:rPr>
              <w:t>2023 – 2024</w:t>
            </w:r>
          </w:p>
        </w:tc>
        <w:tc>
          <w:tcPr>
            <w:tcW w:type="dxa" w:w="1928"/>
          </w:tcPr>
          <w:p>
            <w:pPr>
              <w:spacing w:before="60" w:after="60"/>
              <w:jc w:val="right"/>
            </w:pPr>
            <w:r/>
            <w:r>
              <w:rPr>
                <w:rFonts w:ascii="Segoe UI" w:hAnsi="Segoe UI"/>
                <w:b w:val="0"/>
                <w:i w:val="0"/>
                <w:color w:val="1D1D1F"/>
                <w:sz w:val="19"/>
              </w:rPr>
              <w:t>12,3</w:t>
            </w:r>
          </w:p>
        </w:tc>
        <w:tc>
          <w:tcPr>
            <w:tcW w:type="dxa" w:w="2041"/>
          </w:tcPr>
          <w:p>
            <w:pPr>
              <w:spacing w:before="60" w:after="60"/>
              <w:jc w:val="right"/>
            </w:pPr>
            <w:r/>
            <w:r>
              <w:rPr>
                <w:rFonts w:ascii="Segoe UI" w:hAnsi="Segoe UI"/>
                <w:b/>
                <w:i w:val="0"/>
                <w:color w:val="218358"/>
                <w:sz w:val="19"/>
              </w:rPr>
              <w:t>108,2</w:t>
            </w:r>
          </w:p>
        </w:tc>
        <w:tc>
          <w:tcPr>
            <w:tcW w:type="dxa" w:w="1701"/>
          </w:tcPr>
          <w:p>
            <w:pPr>
              <w:spacing w:before="60" w:after="60"/>
              <w:jc w:val="right"/>
            </w:pPr>
            <w:r/>
            <w:r>
              <w:rPr>
                <w:rFonts w:ascii="Segoe UI" w:hAnsi="Segoe UI"/>
                <w:b w:val="0"/>
                <w:i w:val="0"/>
                <w:color w:val="1D1D1F"/>
                <w:sz w:val="19"/>
              </w:rPr>
              <w:t>96,0</w:t>
            </w:r>
          </w:p>
        </w:tc>
      </w:tr>
      <w:tr>
        <w:tc>
          <w:tcPr>
            <w:tcW w:type="dxa" w:w="3175"/>
          </w:tcPr>
          <w:p>
            <w:pPr>
              <w:spacing w:before="60" w:after="60"/>
            </w:pPr>
            <w:r/>
            <w:r>
              <w:rPr>
                <w:rFonts w:ascii="Segoe UI" w:hAnsi="Segoe UI"/>
                <w:b w:val="0"/>
                <w:i w:val="0"/>
                <w:color w:val="1D1D1F"/>
                <w:sz w:val="19"/>
              </w:rPr>
              <w:t>2024 – 2025</w:t>
            </w:r>
          </w:p>
        </w:tc>
        <w:tc>
          <w:tcPr>
            <w:tcW w:type="dxa" w:w="1928"/>
          </w:tcPr>
          <w:p>
            <w:pPr>
              <w:spacing w:before="60" w:after="60"/>
              <w:jc w:val="right"/>
            </w:pPr>
            <w:r/>
            <w:r>
              <w:rPr>
                <w:rFonts w:ascii="Segoe UI" w:hAnsi="Segoe UI"/>
                <w:b w:val="0"/>
                <w:i w:val="0"/>
                <w:color w:val="1D1D1F"/>
                <w:sz w:val="19"/>
              </w:rPr>
              <w:t>10,1</w:t>
            </w:r>
          </w:p>
        </w:tc>
        <w:tc>
          <w:tcPr>
            <w:tcW w:type="dxa" w:w="2041"/>
          </w:tcPr>
          <w:p>
            <w:pPr>
              <w:spacing w:before="60" w:after="60"/>
              <w:jc w:val="right"/>
            </w:pPr>
            <w:r/>
            <w:r>
              <w:rPr>
                <w:rFonts w:ascii="Segoe UI" w:hAnsi="Segoe UI"/>
                <w:b/>
                <w:i w:val="0"/>
                <w:color w:val="218358"/>
                <w:sz w:val="19"/>
              </w:rPr>
              <w:t>98,2</w:t>
            </w:r>
          </w:p>
        </w:tc>
        <w:tc>
          <w:tcPr>
            <w:tcW w:type="dxa" w:w="1701"/>
          </w:tcPr>
          <w:p>
            <w:pPr>
              <w:spacing w:before="60" w:after="60"/>
              <w:jc w:val="right"/>
            </w:pPr>
            <w:r/>
            <w:r>
              <w:rPr>
                <w:rFonts w:ascii="Segoe UI" w:hAnsi="Segoe UI"/>
                <w:b w:val="0"/>
                <w:i w:val="0"/>
                <w:color w:val="1D1D1F"/>
                <w:sz w:val="19"/>
              </w:rPr>
              <w:t>88,1</w:t>
            </w:r>
          </w:p>
        </w:tc>
      </w:tr>
      <w:tr>
        <w:tc>
          <w:tcPr>
            <w:tcW w:type="dxa" w:w="3175"/>
            <w:shd w:val="clear" w:fill="F2F9F5"/>
          </w:tcPr>
          <w:p>
            <w:pPr>
              <w:spacing w:before="60" w:after="60"/>
            </w:pPr>
            <w:r/>
            <w:r>
              <w:rPr>
                <w:rFonts w:ascii="Segoe UI" w:hAnsi="Segoe UI"/>
                <w:b/>
                <w:i w:val="0"/>
                <w:color w:val="1D1D1F"/>
                <w:sz w:val="19"/>
              </w:rPr>
              <w:t>2025 – 2026</w:t>
            </w:r>
          </w:p>
        </w:tc>
        <w:tc>
          <w:tcPr>
            <w:tcW w:type="dxa" w:w="1928"/>
            <w:shd w:val="clear" w:fill="F2F9F5"/>
          </w:tcPr>
          <w:p>
            <w:pPr>
              <w:spacing w:before="60" w:after="60"/>
              <w:jc w:val="right"/>
            </w:pPr>
            <w:r/>
            <w:r>
              <w:rPr>
                <w:rFonts w:ascii="Segoe UI" w:hAnsi="Segoe UI"/>
                <w:b/>
                <w:i w:val="0"/>
                <w:color w:val="E5484D"/>
                <w:sz w:val="19"/>
              </w:rPr>
              <w:t>22,1</w:t>
            </w:r>
          </w:p>
        </w:tc>
        <w:tc>
          <w:tcPr>
            <w:tcW w:type="dxa" w:w="2041"/>
            <w:shd w:val="clear" w:fill="F2F9F5"/>
          </w:tcPr>
          <w:p>
            <w:pPr>
              <w:spacing w:before="60" w:after="60"/>
              <w:jc w:val="right"/>
            </w:pPr>
            <w:r/>
            <w:r>
              <w:rPr>
                <w:rFonts w:ascii="Segoe UI" w:hAnsi="Segoe UI"/>
                <w:b/>
                <w:i w:val="0"/>
                <w:color w:val="218358"/>
                <w:sz w:val="19"/>
              </w:rPr>
              <w:t>99,6</w:t>
            </w:r>
          </w:p>
        </w:tc>
        <w:tc>
          <w:tcPr>
            <w:tcW w:type="dxa" w:w="1701"/>
            <w:shd w:val="clear" w:fill="F2F9F5"/>
          </w:tcPr>
          <w:p>
            <w:pPr>
              <w:spacing w:before="60" w:after="60"/>
              <w:jc w:val="right"/>
            </w:pPr>
            <w:r/>
            <w:r>
              <w:rPr>
                <w:rFonts w:ascii="Segoe UI" w:hAnsi="Segoe UI"/>
                <w:b/>
                <w:i w:val="0"/>
                <w:color w:val="1D1D1F"/>
                <w:sz w:val="19"/>
              </w:rPr>
              <w:t>77,5</w:t>
            </w:r>
          </w:p>
        </w:tc>
      </w:tr>
    </w:tbl>
    <w:p>
      <w:pPr>
        <w:spacing w:before="60" w:after="240"/>
      </w:pPr>
      <w:r>
        <w:rPr>
          <w:rFonts w:ascii="Segoe UI" w:hAnsi="Segoe UI"/>
          <w:b w:val="0"/>
          <w:i/>
          <w:color w:val="86868B"/>
          <w:sz w:val="16"/>
        </w:rPr>
        <w:t>USD/MWh · ventana de 4 horas · carga 09–17 h, venta 19–07 h</w:t>
      </w:r>
    </w:p>
    <w:p>
      <w:pPr>
        <w:spacing w:before="0" w:after="80"/>
      </w:pPr>
      <w:r>
        <w:rPr>
          <w:rFonts w:ascii="Segoe UI" w:hAnsi="Segoe UI"/>
          <w:b/>
          <w:i w:val="0"/>
          <w:color w:val="218358"/>
          <w:sz w:val="25"/>
        </w:rPr>
        <w:t>El precio de venta nocturno está plano desde hace tres años.</w:t>
      </w:r>
    </w:p>
    <w:p>
      <w:pPr>
        <w:spacing w:before="0" w:after="240"/>
      </w:pPr>
      <w:r>
        <w:rPr>
          <w:rFonts w:ascii="Segoe UI" w:hAnsi="Segoe UI"/>
          <w:b/>
          <w:color w:val="1D1D1F"/>
          <w:sz w:val="21"/>
        </w:rPr>
        <w:t xml:space="preserve">108,2 → 98,2 → 99,6 USD/MWh. </w:t>
      </w:r>
      <w:r>
        <w:rPr>
          <w:rFonts w:ascii="Segoe UI" w:hAnsi="Segoe UI"/>
          <w:b w:val="0"/>
          <w:color w:val="1D1D1F"/>
          <w:sz w:val="21"/>
        </w:rPr>
        <w:t>Lo que se movió, y explica prácticamente toda la compresión reciente del spread, es el costo de cargar de día: subió de 10,1 a 22,1 USD/MWh.</w:t>
      </w:r>
    </w:p>
    <w:p>
      <w:pPr>
        <w:spacing w:before="260" w:after="100"/>
      </w:pPr>
      <w:r>
        <w:rPr>
          <w:rFonts w:ascii="Segoe UI" w:hAnsi="Segoe UI"/>
          <w:b/>
          <w:color w:val="1D1D1F"/>
          <w:sz w:val="25"/>
        </w:rPr>
        <w:t>El giro del argumento</w:t>
      </w:r>
    </w:p>
    <w:p>
      <w:pPr>
        <w:spacing w:before="0" w:after="100"/>
        <w:ind w:left="227"/>
      </w:pPr>
      <w:r>
        <w:rPr>
          <w:rFonts w:ascii="Segoe UI" w:hAnsi="Segoe UI"/>
          <w:b w:val="0"/>
          <w:color w:val="218358"/>
          <w:sz w:val="20"/>
        </w:rPr>
        <w:t xml:space="preserve">·  </w:t>
      </w:r>
      <w:r>
        <w:rPr>
          <w:rFonts w:ascii="Segoe UI" w:hAnsi="Segoe UI"/>
          <w:b w:val="0"/>
          <w:color w:val="1D1D1F"/>
          <w:sz w:val="20"/>
        </w:rPr>
        <w:t>Kimal–Lo Aguirre transporta excedente solar. El sol es un recurso diurno; la batería vende de noche. La línea actúa sobre el costo marginal del día —es decir, sobre el lado donde está el riesgo real— y lo empuja a la baja.</w:t>
      </w:r>
    </w:p>
    <w:p>
      <w:pPr>
        <w:spacing w:before="0" w:after="100"/>
        <w:ind w:left="227"/>
      </w:pPr>
      <w:r>
        <w:rPr>
          <w:rFonts w:ascii="Segoe UI" w:hAnsi="Segoe UI"/>
          <w:b w:val="0"/>
          <w:color w:val="218358"/>
          <w:sz w:val="20"/>
        </w:rPr>
        <w:t xml:space="preserve">·  </w:t>
      </w:r>
      <w:r>
        <w:rPr>
          <w:rFonts w:ascii="Segoe UI" w:hAnsi="Segoe UI"/>
          <w:b w:val="0"/>
          <w:color w:val="1D1D1F"/>
          <w:sz w:val="20"/>
        </w:rPr>
        <w:t>Sobre la evidencia disponible, la línea que se teme es viento de cola para este proyecto, no viento de frente. Y no llega al Maule: termina en Lo Aguirre, Región Metropolitana. Su entrada en operación se estima en 2029–2030.</w:t>
      </w:r>
    </w:p>
    <w:p>
      <w:pPr>
        <w:spacing w:before="260" w:after="100"/>
      </w:pPr>
      <w:r>
        <w:rPr>
          <w:rFonts w:ascii="Segoe UI" w:hAnsi="Segoe UI"/>
          <w:b/>
          <w:color w:val="1D1D1F"/>
          <w:sz w:val="25"/>
        </w:rPr>
        <w:t>El piso del precio de venta</w:t>
      </w:r>
    </w:p>
    <w:p>
      <w:pPr>
        <w:spacing w:before="0" w:after="120"/>
      </w:pPr>
      <w:r>
        <w:rPr>
          <w:rFonts w:ascii="Segoe UI" w:hAnsi="Segoe UI"/>
          <w:b w:val="0"/>
          <w:i w:val="0"/>
          <w:color w:val="1D1D1F"/>
          <w:sz w:val="20"/>
        </w:rPr>
        <w:t>El caso no se sostiene en una cifra única, sino en la distribución completa del registro: en 1.586 días, el precio de venta de las cuatro horas de punta estuvo en o sobre 50 USD/MWh el 99,2% de los días.</w:t>
      </w:r>
    </w:p>
    <w:tbl>
      <w:tblPr>
        <w:tblStyle w:val="TableGrid"/>
        <w:tblW w:type="auto" w:w="0"/>
        <w:jc w:val="left"/>
        <w:tblLook w:firstColumn="1" w:firstRow="1" w:lastColumn="0" w:lastRow="0" w:noHBand="0" w:noVBand="1" w:val="04A0"/>
      </w:tblPr>
      <w:tblGrid>
        <w:gridCol w:w="2464"/>
        <w:gridCol w:w="2464"/>
        <w:gridCol w:w="2464"/>
        <w:gridCol w:w="2464"/>
      </w:tblGrid>
      <w:tr>
        <w:tc>
          <w:tcPr>
            <w:tcW w:type="dxa" w:w="2211"/>
          </w:tcPr>
          <w:p>
            <w:pPr>
              <w:spacing w:before="60" w:after="60"/>
              <w:jc w:val="center"/>
            </w:pPr>
            <w:r/>
            <w:r>
              <w:rPr>
                <w:rFonts w:ascii="Segoe UI" w:hAnsi="Segoe UI"/>
                <w:b/>
                <w:i w:val="0"/>
                <w:color w:val="1D1D1F"/>
                <w:sz w:val="30"/>
              </w:rPr>
              <w:t>99,7%</w:t>
            </w:r>
          </w:p>
        </w:tc>
        <w:tc>
          <w:tcPr>
            <w:tcW w:type="dxa" w:w="2211"/>
            <w:shd w:val="clear" w:fill="F2F9F5"/>
          </w:tcPr>
          <w:p>
            <w:pPr>
              <w:spacing w:before="60" w:after="60"/>
              <w:jc w:val="center"/>
            </w:pPr>
            <w:r/>
            <w:r>
              <w:rPr>
                <w:rFonts w:ascii="Segoe UI" w:hAnsi="Segoe UI"/>
                <w:b/>
                <w:i w:val="0"/>
                <w:color w:val="218358"/>
                <w:sz w:val="30"/>
              </w:rPr>
              <w:t>99,2%</w:t>
            </w:r>
          </w:p>
        </w:tc>
        <w:tc>
          <w:tcPr>
            <w:tcW w:type="dxa" w:w="2211"/>
          </w:tcPr>
          <w:p>
            <w:pPr>
              <w:spacing w:before="60" w:after="60"/>
              <w:jc w:val="center"/>
            </w:pPr>
            <w:r/>
            <w:r>
              <w:rPr>
                <w:rFonts w:ascii="Segoe UI" w:hAnsi="Segoe UI"/>
                <w:b/>
                <w:i w:val="0"/>
                <w:color w:val="1D1D1F"/>
                <w:sz w:val="30"/>
              </w:rPr>
              <w:t>98,1%</w:t>
            </w:r>
          </w:p>
        </w:tc>
        <w:tc>
          <w:tcPr>
            <w:tcW w:type="dxa" w:w="2211"/>
          </w:tcPr>
          <w:p>
            <w:pPr>
              <w:spacing w:before="60" w:after="60"/>
              <w:jc w:val="center"/>
            </w:pPr>
            <w:r/>
            <w:r>
              <w:rPr>
                <w:rFonts w:ascii="Segoe UI" w:hAnsi="Segoe UI"/>
                <w:b/>
                <w:i w:val="0"/>
                <w:color w:val="1D1D1F"/>
                <w:sz w:val="30"/>
              </w:rPr>
              <w:t>94,5%</w:t>
            </w:r>
          </w:p>
        </w:tc>
      </w:tr>
      <w:tr>
        <w:tc>
          <w:tcPr>
            <w:tcW w:type="dxa" w:w="2211"/>
          </w:tcPr>
          <w:p>
            <w:pPr>
              <w:spacing w:before="60" w:after="60"/>
              <w:jc w:val="center"/>
            </w:pPr>
            <w:r/>
            <w:r>
              <w:rPr>
                <w:rFonts w:ascii="Segoe UI" w:hAnsi="Segoe UI"/>
                <w:b w:val="0"/>
                <w:i w:val="0"/>
                <w:color w:val="6E6E73"/>
                <w:sz w:val="16"/>
              </w:rPr>
              <w:t>en o sobre 40 USD/MWh</w:t>
            </w:r>
          </w:p>
        </w:tc>
        <w:tc>
          <w:tcPr>
            <w:tcW w:type="dxa" w:w="2211"/>
            <w:shd w:val="clear" w:fill="F2F9F5"/>
          </w:tcPr>
          <w:p>
            <w:pPr>
              <w:spacing w:before="60" w:after="60"/>
              <w:jc w:val="center"/>
            </w:pPr>
            <w:r/>
            <w:r>
              <w:rPr>
                <w:rFonts w:ascii="Segoe UI" w:hAnsi="Segoe UI"/>
                <w:b w:val="0"/>
                <w:i w:val="0"/>
                <w:color w:val="6E6E73"/>
                <w:sz w:val="16"/>
              </w:rPr>
              <w:t>en o sobre 50 USD/MWh</w:t>
            </w:r>
          </w:p>
        </w:tc>
        <w:tc>
          <w:tcPr>
            <w:tcW w:type="dxa" w:w="2211"/>
          </w:tcPr>
          <w:p>
            <w:pPr>
              <w:spacing w:before="60" w:after="60"/>
              <w:jc w:val="center"/>
            </w:pPr>
            <w:r/>
            <w:r>
              <w:rPr>
                <w:rFonts w:ascii="Segoe UI" w:hAnsi="Segoe UI"/>
                <w:b w:val="0"/>
                <w:i w:val="0"/>
                <w:color w:val="6E6E73"/>
                <w:sz w:val="16"/>
              </w:rPr>
              <w:t>en o sobre 55 USD/MWh</w:t>
            </w:r>
          </w:p>
        </w:tc>
        <w:tc>
          <w:tcPr>
            <w:tcW w:type="dxa" w:w="2211"/>
          </w:tcPr>
          <w:p>
            <w:pPr>
              <w:spacing w:before="60" w:after="60"/>
              <w:jc w:val="center"/>
            </w:pPr>
            <w:r/>
            <w:r>
              <w:rPr>
                <w:rFonts w:ascii="Segoe UI" w:hAnsi="Segoe UI"/>
                <w:b w:val="0"/>
                <w:i w:val="0"/>
                <w:color w:val="6E6E73"/>
                <w:sz w:val="16"/>
              </w:rPr>
              <w:t>en o sobre 60 USD/MWh</w:t>
            </w:r>
          </w:p>
        </w:tc>
      </w:tr>
    </w:tbl>
    <w:p>
      <w:pPr>
        <w:spacing w:before="80" w:after="140"/>
      </w:pPr>
      <w:r>
        <w:rPr>
          <w:rFonts w:ascii="Segoe UI" w:hAnsi="Segoe UI"/>
          <w:b w:val="0"/>
          <w:i/>
          <w:color w:val="86868B"/>
          <w:sz w:val="16"/>
        </w:rPr>
        <w:t>El mínimo absoluto del registro es 0,0 USD/MWh (30-oct-2022), un día atípico. En los últimos 12 meses el peor día fue 48,8 y el percentil 10 fue 58,5 USD/MWh.</w:t>
      </w:r>
    </w:p>
    <w:p>
      <w:r>
        <w:br w:type="page"/>
      </w:r>
    </w:p>
    <w:p>
      <w:pPr>
        <w:spacing w:after="60"/>
      </w:pPr>
      <w:r>
        <w:rPr>
          <w:rFonts w:ascii="Segoe UI" w:hAnsi="Segoe UI"/>
          <w:b/>
          <w:color w:val="218358"/>
          <w:sz w:val="15"/>
        </w:rPr>
        <w:t>L A   V E N T A N A   D E   A R B I T R A J E     ·     2 0 2 7   –   2 0 3 5</w:t>
      </w:r>
    </w:p>
    <w:p>
      <w:pPr>
        <w:spacing w:before="40" w:after="180"/>
      </w:pPr>
      <w:r>
        <w:rPr>
          <w:rFonts w:ascii="Segoe UI" w:hAnsi="Segoe UI"/>
          <w:color w:val="1D1D1F"/>
          <w:sz w:val="42"/>
        </w:rPr>
        <w:t>Hasta cuándo conviene el marginal.</w:t>
      </w:r>
    </w:p>
    <w:p>
      <w:pPr>
        <w:spacing w:before="0" w:after="220"/>
      </w:pPr>
      <w:r>
        <w:rPr>
          <w:rFonts w:ascii="Segoe UI" w:hAnsi="Segoe UI"/>
          <w:b w:val="0"/>
          <w:i w:val="0"/>
          <w:color w:val="6E6E73"/>
          <w:sz w:val="21"/>
        </w:rPr>
        <w:t>Una sola variable manda: la velocidad con que el almacenamiento del sistema llega a comprimir este nodo. Se modela por los dos lados —la venta baja y la carga sube— y se compara contra el spread mínimo necesario para pagar la deuda.</w:t>
      </w:r>
    </w:p>
    <w:tbl>
      <w:tblPr>
        <w:tblStyle w:val="TableGrid"/>
        <w:tblW w:type="auto" w:w="0"/>
        <w:jc w:val="left"/>
        <w:tblLook w:firstColumn="1" w:firstRow="1" w:lastColumn="0" w:lastRow="0" w:noHBand="0" w:noVBand="1" w:val="04A0"/>
      </w:tblPr>
      <w:tblGrid>
        <w:gridCol w:w="3286"/>
        <w:gridCol w:w="3286"/>
        <w:gridCol w:w="3286"/>
      </w:tblGrid>
      <w:tr>
        <w:tc>
          <w:tcPr>
            <w:tcW w:type="dxa" w:w="2948"/>
            <w:shd w:val="clear" w:fill="F2F9F5"/>
          </w:tcPr>
          <w:p>
            <w:pPr>
              <w:spacing w:before="60" w:after="60"/>
            </w:pPr>
            <w:r/>
            <w:r>
              <w:rPr>
                <w:rFonts w:ascii="Segoe UI" w:hAnsi="Segoe UI"/>
                <w:b/>
                <w:i w:val="0"/>
                <w:color w:val="218358"/>
                <w:sz w:val="44"/>
              </w:rPr>
              <w:t>815</w:t>
            </w:r>
          </w:p>
        </w:tc>
        <w:tc>
          <w:tcPr>
            <w:tcW w:type="dxa" w:w="2948"/>
          </w:tcPr>
          <w:p>
            <w:pPr>
              <w:spacing w:before="60" w:after="60"/>
            </w:pPr>
            <w:r/>
            <w:r>
              <w:rPr>
                <w:rFonts w:ascii="Segoe UI" w:hAnsi="Segoe UI"/>
                <w:b/>
                <w:i w:val="0"/>
                <w:color w:val="1D1D1F"/>
                <w:sz w:val="44"/>
              </w:rPr>
              <w:t>43,9</w:t>
            </w:r>
          </w:p>
        </w:tc>
        <w:tc>
          <w:tcPr>
            <w:tcW w:type="dxa" w:w="2948"/>
          </w:tcPr>
          <w:p>
            <w:pPr>
              <w:spacing w:before="60" w:after="60"/>
            </w:pPr>
            <w:r/>
            <w:r>
              <w:rPr>
                <w:rFonts w:ascii="Segoe UI" w:hAnsi="Segoe UI"/>
                <w:b/>
                <w:i w:val="0"/>
                <w:color w:val="1D1D1F"/>
                <w:sz w:val="44"/>
              </w:rPr>
              <w:t>2034</w:t>
            </w:r>
          </w:p>
        </w:tc>
      </w:tr>
      <w:tr>
        <w:tc>
          <w:tcPr>
            <w:tcW w:type="dxa" w:w="2948"/>
            <w:shd w:val="clear" w:fill="F2F9F5"/>
          </w:tcPr>
          <w:p>
            <w:pPr>
              <w:spacing w:before="60" w:after="60"/>
            </w:pPr>
            <w:r/>
            <w:r>
              <w:rPr>
                <w:rFonts w:ascii="Segoe UI" w:hAnsi="Segoe UI"/>
                <w:b w:val="0"/>
                <w:i w:val="0"/>
                <w:color w:val="86868B"/>
                <w:sz w:val="16"/>
              </w:rPr>
              <w:t>mil US$ / año</w:t>
            </w:r>
          </w:p>
        </w:tc>
        <w:tc>
          <w:tcPr>
            <w:tcW w:type="dxa" w:w="2948"/>
          </w:tcPr>
          <w:p>
            <w:pPr>
              <w:spacing w:before="60" w:after="60"/>
            </w:pPr>
            <w:r/>
            <w:r>
              <w:rPr>
                <w:rFonts w:ascii="Segoe UI" w:hAnsi="Segoe UI"/>
                <w:b w:val="0"/>
                <w:i w:val="0"/>
                <w:color w:val="86868B"/>
                <w:sz w:val="16"/>
              </w:rPr>
              <w:t>USD/MWh</w:t>
            </w:r>
          </w:p>
        </w:tc>
        <w:tc>
          <w:tcPr>
            <w:tcW w:type="dxa" w:w="2948"/>
          </w:tcPr>
          <w:p>
            <w:pPr>
              <w:spacing w:before="60" w:after="60"/>
            </w:pPr>
            <w:r/>
            <w:r>
              <w:rPr>
                <w:rFonts w:ascii="Segoe UI" w:hAnsi="Segoe UI"/>
                <w:b w:val="0"/>
                <w:i w:val="0"/>
                <w:color w:val="86868B"/>
                <w:sz w:val="16"/>
              </w:rPr>
              <w:t>escenario base</w:t>
            </w:r>
          </w:p>
        </w:tc>
      </w:tr>
      <w:tr>
        <w:tc>
          <w:tcPr>
            <w:tcW w:type="dxa" w:w="2948"/>
            <w:shd w:val="clear" w:fill="F2F9F5"/>
          </w:tcPr>
          <w:p>
            <w:pPr>
              <w:spacing w:before="60" w:after="60"/>
            </w:pPr>
            <w:r/>
            <w:r>
              <w:rPr>
                <w:rFonts w:ascii="Segoe UI" w:hAnsi="Segoe UI"/>
                <w:b w:val="0"/>
                <w:i w:val="0"/>
                <w:color w:val="6E6E73"/>
                <w:sz w:val="17"/>
              </w:rPr>
              <w:t>Margen bruto de los últimos 12 meses reales · 340 ciclos</w:t>
            </w:r>
          </w:p>
        </w:tc>
        <w:tc>
          <w:tcPr>
            <w:tcW w:type="dxa" w:w="2948"/>
          </w:tcPr>
          <w:p>
            <w:pPr>
              <w:spacing w:before="60" w:after="60"/>
            </w:pPr>
            <w:r/>
            <w:r>
              <w:rPr>
                <w:rFonts w:ascii="Segoe UI" w:hAnsi="Segoe UI"/>
                <w:b w:val="0"/>
                <w:i w:val="0"/>
                <w:color w:val="6E6E73"/>
                <w:sz w:val="17"/>
              </w:rPr>
              <w:t>Spread necesario para cubrir el servicio de la deuda</w:t>
            </w:r>
          </w:p>
        </w:tc>
        <w:tc>
          <w:tcPr>
            <w:tcW w:type="dxa" w:w="2948"/>
          </w:tcPr>
          <w:p>
            <w:pPr>
              <w:spacing w:before="60" w:after="60"/>
            </w:pPr>
            <w:r/>
            <w:r>
              <w:rPr>
                <w:rFonts w:ascii="Segoe UI" w:hAnsi="Segoe UI"/>
                <w:b w:val="0"/>
                <w:i w:val="0"/>
                <w:color w:val="6E6E73"/>
                <w:sz w:val="17"/>
              </w:rPr>
              <w:t>Año en que el spread cruza ese umbral</w:t>
            </w:r>
          </w:p>
        </w:tc>
      </w:tr>
    </w:tbl>
    <w:p>
      <w:pPr>
        <w:spacing w:before="260" w:after="100"/>
      </w:pPr>
      <w:r>
        <w:rPr>
          <w:rFonts w:ascii="Segoe UI" w:hAnsi="Segoe UI"/>
          <w:b/>
          <w:color w:val="1D1D1F"/>
          <w:sz w:val="25"/>
        </w:rPr>
        <w:t>Tres escenarios de compresión</w:t>
      </w:r>
    </w:p>
    <w:tbl>
      <w:tblPr>
        <w:tblStyle w:val="TableGrid"/>
        <w:tblW w:type="auto" w:w="0"/>
        <w:jc w:val="left"/>
        <w:tblLook w:firstColumn="1" w:firstRow="1" w:lastColumn="0" w:lastRow="0" w:noHBand="0" w:noVBand="1" w:val="04A0"/>
      </w:tblPr>
      <w:tblGrid>
        <w:gridCol w:w="2464"/>
        <w:gridCol w:w="2464"/>
        <w:gridCol w:w="2464"/>
        <w:gridCol w:w="2464"/>
      </w:tblGrid>
      <w:tr>
        <w:tc>
          <w:tcPr>
            <w:tcW w:type="dxa" w:w="2608"/>
            <w:shd w:val="clear" w:fill="F7F9F8"/>
          </w:tcPr>
          <w:p>
            <w:pPr>
              <w:spacing w:before="60" w:after="60"/>
            </w:pPr>
            <w:r/>
            <w:r>
              <w:rPr>
                <w:rFonts w:ascii="Segoe UI" w:hAnsi="Segoe UI"/>
                <w:b/>
                <w:i w:val="0"/>
                <w:color w:val="6E6E73"/>
                <w:sz w:val="17"/>
              </w:rPr>
              <w:t>Escenario</w:t>
            </w:r>
          </w:p>
        </w:tc>
        <w:tc>
          <w:tcPr>
            <w:tcW w:type="dxa" w:w="1984"/>
            <w:shd w:val="clear" w:fill="F7F9F8"/>
          </w:tcPr>
          <w:p>
            <w:pPr>
              <w:spacing w:before="60" w:after="60"/>
            </w:pPr>
            <w:r/>
            <w:r>
              <w:rPr>
                <w:rFonts w:ascii="Segoe UI" w:hAnsi="Segoe UI"/>
                <w:b/>
                <w:i w:val="0"/>
                <w:color w:val="6E6E73"/>
                <w:sz w:val="17"/>
              </w:rPr>
              <w:t>Spread 2035</w:t>
            </w:r>
          </w:p>
        </w:tc>
        <w:tc>
          <w:tcPr>
            <w:tcW w:type="dxa" w:w="2041"/>
            <w:shd w:val="clear" w:fill="F7F9F8"/>
          </w:tcPr>
          <w:p>
            <w:pPr>
              <w:spacing w:before="60" w:after="60"/>
            </w:pPr>
            <w:r/>
            <w:r>
              <w:rPr>
                <w:rFonts w:ascii="Segoe UI" w:hAnsi="Segoe UI"/>
                <w:b/>
                <w:i w:val="0"/>
                <w:color w:val="6E6E73"/>
                <w:sz w:val="17"/>
              </w:rPr>
              <w:t>Cruza el break-even</w:t>
            </w:r>
          </w:p>
        </w:tc>
        <w:tc>
          <w:tcPr>
            <w:tcW w:type="dxa" w:w="2268"/>
            <w:shd w:val="clear" w:fill="F7F9F8"/>
          </w:tcPr>
          <w:p>
            <w:pPr>
              <w:spacing w:before="60" w:after="60"/>
            </w:pPr>
            <w:r/>
            <w:r>
              <w:rPr>
                <w:rFonts w:ascii="Segoe UI" w:hAnsi="Segoe UI"/>
                <w:b/>
                <w:i w:val="0"/>
                <w:color w:val="6E6E73"/>
                <w:sz w:val="17"/>
              </w:rPr>
              <w:t>Inicio de la compresión</w:t>
            </w:r>
          </w:p>
        </w:tc>
      </w:tr>
      <w:tr>
        <w:tc>
          <w:tcPr>
            <w:tcW w:type="dxa" w:w="2608"/>
          </w:tcPr>
          <w:p>
            <w:pPr>
              <w:spacing w:before="60" w:after="60"/>
            </w:pPr>
            <w:r/>
            <w:r>
              <w:rPr>
                <w:rFonts w:ascii="Segoe UI" w:hAnsi="Segoe UI"/>
                <w:b/>
                <w:i w:val="0"/>
                <w:color w:val="1D1D1F"/>
                <w:sz w:val="19"/>
              </w:rPr>
              <w:t>A · Ventana amplia</w:t>
            </w:r>
          </w:p>
        </w:tc>
        <w:tc>
          <w:tcPr>
            <w:tcW w:type="dxa" w:w="1984"/>
          </w:tcPr>
          <w:p>
            <w:pPr>
              <w:spacing w:before="60" w:after="60"/>
            </w:pPr>
            <w:r/>
            <w:r>
              <w:rPr>
                <w:rFonts w:ascii="Segoe UI" w:hAnsi="Segoe UI"/>
                <w:b w:val="0"/>
                <w:i w:val="0"/>
                <w:color w:val="1D1D1F"/>
                <w:sz w:val="19"/>
              </w:rPr>
              <w:t>62,5</w:t>
            </w:r>
          </w:p>
        </w:tc>
        <w:tc>
          <w:tcPr>
            <w:tcW w:type="dxa" w:w="2041"/>
          </w:tcPr>
          <w:p>
            <w:pPr>
              <w:spacing w:before="60" w:after="60"/>
            </w:pPr>
            <w:r/>
            <w:r>
              <w:rPr>
                <w:rFonts w:ascii="Segoe UI" w:hAnsi="Segoe UI"/>
                <w:b/>
                <w:i w:val="0"/>
                <w:color w:val="218358"/>
                <w:sz w:val="19"/>
              </w:rPr>
              <w:t>no cruza al 2035</w:t>
            </w:r>
          </w:p>
        </w:tc>
        <w:tc>
          <w:tcPr>
            <w:tcW w:type="dxa" w:w="2268"/>
          </w:tcPr>
          <w:p>
            <w:pPr>
              <w:spacing w:before="60" w:after="60"/>
            </w:pPr>
            <w:r/>
            <w:r>
              <w:rPr>
                <w:rFonts w:ascii="Segoe UI" w:hAnsi="Segoe UI"/>
                <w:b w:val="0"/>
                <w:i w:val="0"/>
                <w:color w:val="6E6E73"/>
                <w:sz w:val="18"/>
              </w:rPr>
              <w:t>desde 2031</w:t>
            </w:r>
          </w:p>
        </w:tc>
      </w:tr>
      <w:tr>
        <w:tc>
          <w:tcPr>
            <w:tcW w:type="dxa" w:w="2608"/>
          </w:tcPr>
          <w:p>
            <w:pPr>
              <w:spacing w:before="60" w:after="60"/>
            </w:pPr>
            <w:r/>
            <w:r>
              <w:rPr>
                <w:rFonts w:ascii="Segoe UI" w:hAnsi="Segoe UI"/>
                <w:b/>
                <w:i w:val="0"/>
                <w:color w:val="1D1D1F"/>
                <w:sz w:val="19"/>
              </w:rPr>
              <w:t>B · Base</w:t>
            </w:r>
          </w:p>
        </w:tc>
        <w:tc>
          <w:tcPr>
            <w:tcW w:type="dxa" w:w="1984"/>
          </w:tcPr>
          <w:p>
            <w:pPr>
              <w:spacing w:before="60" w:after="60"/>
            </w:pPr>
            <w:r/>
            <w:r>
              <w:rPr>
                <w:rFonts w:ascii="Segoe UI" w:hAnsi="Segoe UI"/>
                <w:b w:val="0"/>
                <w:i w:val="0"/>
                <w:color w:val="1D1D1F"/>
                <w:sz w:val="19"/>
              </w:rPr>
              <w:t>32,0</w:t>
            </w:r>
          </w:p>
        </w:tc>
        <w:tc>
          <w:tcPr>
            <w:tcW w:type="dxa" w:w="2041"/>
          </w:tcPr>
          <w:p>
            <w:pPr>
              <w:spacing w:before="60" w:after="60"/>
            </w:pPr>
            <w:r/>
            <w:r>
              <w:rPr>
                <w:rFonts w:ascii="Segoe UI" w:hAnsi="Segoe UI"/>
                <w:b/>
                <w:i w:val="0"/>
                <w:color w:val="B25E09"/>
                <w:sz w:val="19"/>
              </w:rPr>
              <w:t>2034</w:t>
            </w:r>
          </w:p>
        </w:tc>
        <w:tc>
          <w:tcPr>
            <w:tcW w:type="dxa" w:w="2268"/>
          </w:tcPr>
          <w:p>
            <w:pPr>
              <w:spacing w:before="60" w:after="60"/>
            </w:pPr>
            <w:r/>
            <w:r>
              <w:rPr>
                <w:rFonts w:ascii="Segoe UI" w:hAnsi="Segoe UI"/>
                <w:b w:val="0"/>
                <w:i w:val="0"/>
                <w:color w:val="6E6E73"/>
                <w:sz w:val="18"/>
              </w:rPr>
              <w:t>desde 2029</w:t>
            </w:r>
          </w:p>
        </w:tc>
      </w:tr>
      <w:tr>
        <w:tc>
          <w:tcPr>
            <w:tcW w:type="dxa" w:w="2608"/>
          </w:tcPr>
          <w:p>
            <w:pPr>
              <w:spacing w:before="60" w:after="60"/>
            </w:pPr>
            <w:r/>
            <w:r>
              <w:rPr>
                <w:rFonts w:ascii="Segoe UI" w:hAnsi="Segoe UI"/>
                <w:b/>
                <w:i w:val="0"/>
                <w:color w:val="1D1D1F"/>
                <w:sz w:val="19"/>
              </w:rPr>
              <w:t>C · Estrés tipo NEM</w:t>
            </w:r>
          </w:p>
        </w:tc>
        <w:tc>
          <w:tcPr>
            <w:tcW w:type="dxa" w:w="1984"/>
          </w:tcPr>
          <w:p>
            <w:pPr>
              <w:spacing w:before="60" w:after="60"/>
            </w:pPr>
            <w:r/>
            <w:r>
              <w:rPr>
                <w:rFonts w:ascii="Segoe UI" w:hAnsi="Segoe UI"/>
                <w:b w:val="0"/>
                <w:i w:val="0"/>
                <w:color w:val="1D1D1F"/>
                <w:sz w:val="19"/>
              </w:rPr>
              <w:t>10,0</w:t>
            </w:r>
          </w:p>
        </w:tc>
        <w:tc>
          <w:tcPr>
            <w:tcW w:type="dxa" w:w="2041"/>
          </w:tcPr>
          <w:p>
            <w:pPr>
              <w:spacing w:before="60" w:after="60"/>
            </w:pPr>
            <w:r/>
            <w:r>
              <w:rPr>
                <w:rFonts w:ascii="Segoe UI" w:hAnsi="Segoe UI"/>
                <w:b/>
                <w:i w:val="0"/>
                <w:color w:val="E5484D"/>
                <w:sz w:val="19"/>
              </w:rPr>
              <w:t>2029</w:t>
            </w:r>
          </w:p>
        </w:tc>
        <w:tc>
          <w:tcPr>
            <w:tcW w:type="dxa" w:w="2268"/>
          </w:tcPr>
          <w:p>
            <w:pPr>
              <w:spacing w:before="60" w:after="60"/>
            </w:pPr>
            <w:r/>
            <w:r>
              <w:rPr>
                <w:rFonts w:ascii="Segoe UI" w:hAnsi="Segoe UI"/>
                <w:b w:val="0"/>
                <w:i w:val="0"/>
                <w:color w:val="6E6E73"/>
                <w:sz w:val="18"/>
              </w:rPr>
              <w:t>desde 2027</w:t>
            </w:r>
          </w:p>
        </w:tc>
      </w:tr>
    </w:tbl>
    <w:p>
      <w:pPr>
        <w:spacing w:before="0" w:after="80"/>
      </w:pPr>
    </w:p>
    <w:p>
      <w:pPr>
        <w:spacing w:before="0" w:after="60"/>
        <w:ind w:left="170"/>
      </w:pPr>
      <w:r>
        <w:rPr>
          <w:rFonts w:ascii="Segoe UI" w:hAnsi="Segoe UI"/>
          <w:b/>
          <w:color w:val="218358"/>
          <w:sz w:val="17"/>
        </w:rPr>
        <w:t xml:space="preserve">A · </w:t>
      </w:r>
      <w:r>
        <w:rPr>
          <w:rFonts w:ascii="Segoe UI" w:hAnsi="Segoe UI"/>
          <w:b w:val="0"/>
          <w:color w:val="6E6E73"/>
          <w:sz w:val="17"/>
        </w:rPr>
        <w:t>El almacenamiento sigue concentrado en el norte y la CNE proyecta desacople del sur hacia 2032.</w:t>
      </w:r>
    </w:p>
    <w:p>
      <w:pPr>
        <w:spacing w:before="0" w:after="60"/>
        <w:ind w:left="170"/>
      </w:pPr>
      <w:r>
        <w:rPr>
          <w:rFonts w:ascii="Segoe UI" w:hAnsi="Segoe UI"/>
          <w:b/>
          <w:color w:val="218358"/>
          <w:sz w:val="17"/>
        </w:rPr>
        <w:t xml:space="preserve">B · </w:t>
      </w:r>
      <w:r>
        <w:rPr>
          <w:rFonts w:ascii="Segoe UI" w:hAnsi="Segoe UI"/>
          <w:b w:val="0"/>
          <w:color w:val="6E6E73"/>
          <w:sz w:val="17"/>
        </w:rPr>
        <w:t>Compresión gradual desde la entrada de Kimal–Lo Aguirre (2029–2030) y llegada parcial de BESS al centro-sur.</w:t>
      </w:r>
    </w:p>
    <w:p>
      <w:pPr>
        <w:spacing w:before="0" w:after="60"/>
        <w:ind w:left="170"/>
      </w:pPr>
      <w:r>
        <w:rPr>
          <w:rFonts w:ascii="Segoe UI" w:hAnsi="Segoe UI"/>
          <w:b/>
          <w:color w:val="218358"/>
          <w:sz w:val="17"/>
        </w:rPr>
        <w:t xml:space="preserve">C · </w:t>
      </w:r>
      <w:r>
        <w:rPr>
          <w:rFonts w:ascii="Segoe UI" w:hAnsi="Segoe UI"/>
          <w:b w:val="0"/>
          <w:color w:val="6E6E73"/>
          <w:sz w:val="17"/>
        </w:rPr>
        <w:t>Replica el precedente australiano: el spread cayó 85% en un año al pasar la flota BESS de 4.360 a 9.000 MW.</w:t>
      </w:r>
    </w:p>
    <w:p>
      <w:pPr>
        <w:spacing w:before="260" w:after="100"/>
      </w:pPr>
      <w:r>
        <w:rPr>
          <w:rFonts w:ascii="Segoe UI" w:hAnsi="Segoe UI"/>
          <w:b/>
          <w:color w:val="1D1D1F"/>
          <w:sz w:val="25"/>
        </w:rPr>
        <w:t>Cómo se lee la holgura</w:t>
      </w:r>
    </w:p>
    <w:p>
      <w:pPr>
        <w:spacing w:before="0" w:after="100"/>
        <w:ind w:left="227"/>
      </w:pPr>
      <w:r>
        <w:rPr>
          <w:rFonts w:ascii="Segoe UI" w:hAnsi="Segoe UI"/>
          <w:b w:val="0"/>
          <w:color w:val="218358"/>
          <w:sz w:val="19"/>
        </w:rPr>
        <w:t xml:space="preserve">·  </w:t>
      </w:r>
      <w:r>
        <w:rPr>
          <w:rFonts w:ascii="Segoe UI" w:hAnsi="Segoe UI"/>
          <w:b w:val="0"/>
          <w:color w:val="1D1D1F"/>
          <w:sz w:val="19"/>
        </w:rPr>
        <w:t>El spread observado en los últimos 12 meses completos es 77,5 USD/MWh.</w:t>
      </w:r>
    </w:p>
    <w:p>
      <w:pPr>
        <w:spacing w:before="0" w:after="100"/>
        <w:ind w:left="227"/>
      </w:pPr>
      <w:r>
        <w:rPr>
          <w:rFonts w:ascii="Segoe UI" w:hAnsi="Segoe UI"/>
          <w:b w:val="0"/>
          <w:color w:val="218358"/>
          <w:sz w:val="19"/>
        </w:rPr>
        <w:t xml:space="preserve">·  </w:t>
      </w:r>
      <w:r>
        <w:rPr>
          <w:rFonts w:ascii="Segoe UI" w:hAnsi="Segoe UI"/>
          <w:b w:val="0"/>
          <w:color w:val="1D1D1F"/>
          <w:sz w:val="19"/>
        </w:rPr>
        <w:t>A 340 ciclos, cubrir un servicio de deuda de US$400 mil requiere 43,9 USD/MWh.</w:t>
      </w:r>
    </w:p>
    <w:p>
      <w:pPr>
        <w:spacing w:before="0" w:after="100"/>
        <w:ind w:left="227"/>
      </w:pPr>
      <w:r>
        <w:rPr>
          <w:rFonts w:ascii="Segoe UI" w:hAnsi="Segoe UI"/>
          <w:b w:val="0"/>
          <w:color w:val="218358"/>
          <w:sz w:val="19"/>
        </w:rPr>
        <w:t xml:space="preserve">·  </w:t>
      </w:r>
      <w:r>
        <w:rPr>
          <w:rFonts w:ascii="Segoe UI" w:hAnsi="Segoe UI"/>
          <w:b w:val="0"/>
          <w:color w:val="1D1D1F"/>
          <w:sz w:val="19"/>
        </w:rPr>
        <w:t>El spread tendría que caer un 43% antes de comprometer el servicio de la deuda.</w:t>
      </w:r>
    </w:p>
    <w:p>
      <w:pPr>
        <w:spacing w:before="0" w:after="100"/>
        <w:ind w:left="227"/>
      </w:pPr>
      <w:r>
        <w:rPr>
          <w:rFonts w:ascii="Segoe UI" w:hAnsi="Segoe UI"/>
          <w:b w:val="0"/>
          <w:color w:val="218358"/>
          <w:sz w:val="19"/>
        </w:rPr>
        <w:t xml:space="preserve">·  </w:t>
      </w:r>
      <w:r>
        <w:rPr>
          <w:rFonts w:ascii="Segoe UI" w:hAnsi="Segoe UI"/>
          <w:b w:val="0"/>
          <w:color w:val="1D1D1F"/>
          <w:sz w:val="19"/>
        </w:rPr>
        <w:t>En esa misma ventana, el 88% de los días superó los 40 USD/MWh de spread.</w:t>
      </w:r>
    </w:p>
    <w:p>
      <w:pPr>
        <w:spacing w:before="60" w:after="200"/>
      </w:pPr>
      <w:r>
        <w:rPr>
          <w:rFonts w:ascii="Segoe UI" w:hAnsi="Segoe UI"/>
          <w:b w:val="0"/>
          <w:i/>
          <w:color w:val="86868B"/>
          <w:sz w:val="16"/>
        </w:rPr>
        <w:t>Los supuestos de deuda son editables en la calculadora; ninguna cifra de DSCR es válida hasta cargar el term sheet real.</w:t>
      </w:r>
    </w:p>
    <w:p>
      <w:pPr>
        <w:spacing w:before="0" w:after="80"/>
      </w:pPr>
      <w:r>
        <w:rPr>
          <w:rFonts w:ascii="Segoe UI" w:hAnsi="Segoe UI"/>
          <w:b/>
          <w:i w:val="0"/>
          <w:color w:val="6E6E73"/>
          <w:sz w:val="16"/>
        </w:rPr>
        <w:t>Spread proyectado por escenario · la línea roja punteada es el break-even de 43,9 USD/MWh</w:t>
      </w:r>
    </w:p>
    <w:p>
      <w:r>
        <w:drawing>
          <wp:inline xmlns:a="http://schemas.openxmlformats.org/drawingml/2006/main" xmlns:pic="http://schemas.openxmlformats.org/drawingml/2006/picture">
            <wp:extent cx="6048000" cy="1736373"/>
            <wp:docPr id="1" name="Picture 1"/>
            <wp:cNvGraphicFramePr>
              <a:graphicFrameLocks noChangeAspect="1"/>
            </wp:cNvGraphicFramePr>
            <a:graphic>
              <a:graphicData uri="http://schemas.openxmlformats.org/drawingml/2006/picture">
                <pic:pic>
                  <pic:nvPicPr>
                    <pic:cNvPr id="0" name="bro_chart.png"/>
                    <pic:cNvPicPr/>
                  </pic:nvPicPr>
                  <pic:blipFill>
                    <a:blip r:embed="rId9"/>
                    <a:stretch>
                      <a:fillRect/>
                    </a:stretch>
                  </pic:blipFill>
                  <pic:spPr>
                    <a:xfrm>
                      <a:off x="0" y="0"/>
                      <a:ext cx="6048000" cy="1736373"/>
                    </a:xfrm>
                    <a:prstGeom prst="rect"/>
                  </pic:spPr>
                </pic:pic>
              </a:graphicData>
            </a:graphic>
          </wp:inline>
        </w:drawing>
      </w:r>
    </w:p>
    <w:p>
      <w:r>
        <w:br w:type="page"/>
      </w:r>
    </w:p>
    <w:p>
      <w:pPr>
        <w:spacing w:after="60"/>
      </w:pPr>
      <w:r>
        <w:rPr>
          <w:rFonts w:ascii="Segoe UI" w:hAnsi="Segoe UI"/>
          <w:b/>
          <w:color w:val="218358"/>
          <w:sz w:val="15"/>
        </w:rPr>
        <w:t>Q U É   C O N T R A T O ,   Y   C U Á N D O     ·     M O N I T O R E O</w:t>
      </w:r>
    </w:p>
    <w:p>
      <w:pPr>
        <w:spacing w:before="40" w:after="180"/>
      </w:pPr>
      <w:r>
        <w:rPr>
          <w:rFonts w:ascii="Segoe UI" w:hAnsi="Segoe UI"/>
          <w:color w:val="1D1D1F"/>
          <w:sz w:val="42"/>
        </w:rPr>
        <w:t>El contrato correcto, en su momento.</w:t>
      </w:r>
    </w:p>
    <w:p>
      <w:pPr>
        <w:spacing w:before="0" w:after="200"/>
      </w:pPr>
      <w:r>
        <w:rPr>
          <w:rFonts w:ascii="Segoe UI" w:hAnsi="Segoe UI"/>
          <w:b w:val="0"/>
          <w:i w:val="0"/>
          <w:color w:val="6E6E73"/>
          <w:sz w:val="21"/>
        </w:rPr>
        <w:t>Decir "no PPA ahora, reevaluar hacia 2030" suena contradictorio. No lo es: son dos contratos distintos que hoy se llaman igual.</w:t>
      </w:r>
    </w:p>
    <w:tbl>
      <w:tblPr>
        <w:tblStyle w:val="TableGrid"/>
        <w:tblW w:type="auto" w:w="0"/>
        <w:jc w:val="left"/>
        <w:tblLook w:firstColumn="1" w:firstRow="1" w:lastColumn="0" w:lastRow="0" w:noHBand="0" w:noVBand="1" w:val="04A0"/>
      </w:tblPr>
      <w:tblGrid>
        <w:gridCol w:w="3286"/>
        <w:gridCol w:w="3286"/>
        <w:gridCol w:w="3286"/>
      </w:tblGrid>
      <w:tr>
        <w:tc>
          <w:tcPr>
            <w:tcW w:type="dxa" w:w="2211"/>
          </w:tcPr>
          <w:p>
            <w:pPr>
              <w:spacing w:before="60" w:after="60"/>
            </w:pPr>
            <w:r/>
            <w:r>
              <w:rPr>
                <w:rFonts w:ascii="Segoe UI" w:hAnsi="Segoe UI"/>
                <w:b w:val="0"/>
                <w:i w:val="0"/>
                <w:color w:val="1D1D1F"/>
                <w:sz w:val="18"/>
              </w:rPr>
            </w:r>
          </w:p>
        </w:tc>
        <w:tc>
          <w:tcPr>
            <w:tcW w:type="dxa" w:w="3402"/>
            <w:shd w:val="clear" w:fill="FDF2F2"/>
          </w:tcPr>
          <w:p>
            <w:pPr>
              <w:spacing w:before="60" w:after="60"/>
            </w:pPr>
            <w:r/>
            <w:r>
              <w:rPr>
                <w:rFonts w:ascii="Segoe UI" w:hAnsi="Segoe UI"/>
                <w:b/>
                <w:i w:val="0"/>
                <w:color w:val="E5484D"/>
                <w:sz w:val="20"/>
              </w:rPr>
              <w:t>PPA de COMPRA a 28 USD/MWh</w:t>
            </w:r>
          </w:p>
        </w:tc>
        <w:tc>
          <w:tcPr>
            <w:tcW w:type="dxa" w:w="3402"/>
            <w:shd w:val="clear" w:fill="F2F9F5"/>
          </w:tcPr>
          <w:p>
            <w:pPr>
              <w:spacing w:before="60" w:after="60"/>
            </w:pPr>
            <w:r/>
            <w:r>
              <w:rPr>
                <w:rFonts w:ascii="Segoe UI" w:hAnsi="Segoe UI"/>
                <w:b/>
                <w:i w:val="0"/>
                <w:color w:val="218358"/>
                <w:sz w:val="20"/>
              </w:rPr>
              <w:t>Instrumento de VENTA · 2030–2032</w:t>
            </w:r>
          </w:p>
        </w:tc>
      </w:tr>
      <w:tr>
        <w:tc>
          <w:tcPr>
            <w:tcW w:type="dxa" w:w="2211"/>
          </w:tcPr>
          <w:p>
            <w:pPr>
              <w:spacing w:before="60" w:after="60"/>
            </w:pPr>
            <w:r/>
            <w:r>
              <w:rPr>
                <w:rFonts w:ascii="Segoe UI" w:hAnsi="Segoe UI"/>
                <w:b/>
                <w:i w:val="0"/>
                <w:color w:val="6E6E73"/>
                <w:sz w:val="18"/>
              </w:rPr>
              <w:t>Qué fija</w:t>
            </w:r>
          </w:p>
        </w:tc>
        <w:tc>
          <w:tcPr>
            <w:tcW w:type="dxa" w:w="3402"/>
          </w:tcPr>
          <w:p>
            <w:pPr>
              <w:spacing w:before="60" w:after="60"/>
            </w:pPr>
            <w:r/>
            <w:r>
              <w:rPr>
                <w:rFonts w:ascii="Segoe UI" w:hAnsi="Segoe UI"/>
                <w:b w:val="0"/>
                <w:i w:val="0"/>
                <w:color w:val="1D1D1F"/>
                <w:sz w:val="18"/>
              </w:rPr>
              <w:t>El precio al que el proyecto compra su energía de carga</w:t>
            </w:r>
          </w:p>
        </w:tc>
        <w:tc>
          <w:tcPr>
            <w:tcW w:type="dxa" w:w="3402"/>
          </w:tcPr>
          <w:p>
            <w:pPr>
              <w:spacing w:before="60" w:after="60"/>
            </w:pPr>
            <w:r/>
            <w:r>
              <w:rPr>
                <w:rFonts w:ascii="Segoe UI" w:hAnsi="Segoe UI"/>
                <w:b w:val="0"/>
                <w:i w:val="0"/>
                <w:color w:val="1D1D1F"/>
                <w:sz w:val="18"/>
              </w:rPr>
              <w:t>El precio al que el proyecto vende en la noche</w:t>
            </w:r>
          </w:p>
        </w:tc>
      </w:tr>
      <w:tr>
        <w:tc>
          <w:tcPr>
            <w:tcW w:type="dxa" w:w="2211"/>
          </w:tcPr>
          <w:p>
            <w:pPr>
              <w:spacing w:before="60" w:after="60"/>
            </w:pPr>
            <w:r/>
            <w:r>
              <w:rPr>
                <w:rFonts w:ascii="Segoe UI" w:hAnsi="Segoe UI"/>
                <w:b/>
                <w:i w:val="0"/>
                <w:color w:val="6E6E73"/>
                <w:sz w:val="18"/>
              </w:rPr>
              <w:t>Riesgo que cubre</w:t>
            </w:r>
          </w:p>
        </w:tc>
        <w:tc>
          <w:tcPr>
            <w:tcW w:type="dxa" w:w="3402"/>
          </w:tcPr>
          <w:p>
            <w:pPr>
              <w:spacing w:before="60" w:after="60"/>
            </w:pPr>
            <w:r/>
            <w:r>
              <w:rPr>
                <w:rFonts w:ascii="Segoe UI" w:hAnsi="Segoe UI"/>
                <w:b w:val="0"/>
                <w:i w:val="0"/>
                <w:color w:val="1D1D1F"/>
                <w:sz w:val="18"/>
              </w:rPr>
              <w:t>Que suba el precio de compra</w:t>
            </w:r>
          </w:p>
        </w:tc>
        <w:tc>
          <w:tcPr>
            <w:tcW w:type="dxa" w:w="3402"/>
          </w:tcPr>
          <w:p>
            <w:pPr>
              <w:spacing w:before="60" w:after="60"/>
            </w:pPr>
            <w:r/>
            <w:r>
              <w:rPr>
                <w:rFonts w:ascii="Segoe UI" w:hAnsi="Segoe UI"/>
                <w:b w:val="0"/>
                <w:i w:val="0"/>
                <w:color w:val="1D1D1F"/>
                <w:sz w:val="18"/>
              </w:rPr>
              <w:t>Que caiga el precio de venta</w:t>
            </w:r>
          </w:p>
        </w:tc>
      </w:tr>
      <w:tr>
        <w:tc>
          <w:tcPr>
            <w:tcW w:type="dxa" w:w="2211"/>
          </w:tcPr>
          <w:p>
            <w:pPr>
              <w:spacing w:before="60" w:after="60"/>
            </w:pPr>
            <w:r/>
            <w:r>
              <w:rPr>
                <w:rFonts w:ascii="Segoe UI" w:hAnsi="Segoe UI"/>
                <w:b/>
                <w:i w:val="0"/>
                <w:color w:val="6E6E73"/>
                <w:sz w:val="18"/>
              </w:rPr>
              <w:t>¿Es el riesgo real?</w:t>
            </w:r>
          </w:p>
        </w:tc>
        <w:tc>
          <w:tcPr>
            <w:tcW w:type="dxa" w:w="3402"/>
          </w:tcPr>
          <w:p>
            <w:pPr>
              <w:spacing w:before="60" w:after="60"/>
            </w:pPr>
            <w:r/>
            <w:r>
              <w:rPr>
                <w:rFonts w:ascii="Segoe UI" w:hAnsi="Segoe UI"/>
                <w:b w:val="0"/>
                <w:i w:val="0"/>
                <w:color w:val="1D1D1F"/>
                <w:sz w:val="18"/>
              </w:rPr>
              <w:t>No. El proyecto es posición vendedora</w:t>
            </w:r>
          </w:p>
        </w:tc>
        <w:tc>
          <w:tcPr>
            <w:tcW w:type="dxa" w:w="3402"/>
          </w:tcPr>
          <w:p>
            <w:pPr>
              <w:spacing w:before="60" w:after="60"/>
            </w:pPr>
            <w:r/>
            <w:r>
              <w:rPr>
                <w:rFonts w:ascii="Segoe UI" w:hAnsi="Segoe UI"/>
                <w:b w:val="0"/>
                <w:i w:val="0"/>
                <w:color w:val="1D1D1F"/>
                <w:sz w:val="18"/>
              </w:rPr>
              <w:t>Sí. Es exactamente el riesgo del activo</w:t>
            </w:r>
          </w:p>
        </w:tc>
      </w:tr>
      <w:tr>
        <w:tc>
          <w:tcPr>
            <w:tcW w:type="dxa" w:w="2211"/>
          </w:tcPr>
          <w:p>
            <w:pPr>
              <w:spacing w:before="60" w:after="60"/>
            </w:pPr>
            <w:r/>
            <w:r>
              <w:rPr>
                <w:rFonts w:ascii="Segoe UI" w:hAnsi="Segoe UI"/>
                <w:b/>
                <w:i w:val="0"/>
                <w:color w:val="6E6E73"/>
                <w:sz w:val="18"/>
              </w:rPr>
              <w:t>Efecto</w:t>
            </w:r>
          </w:p>
        </w:tc>
        <w:tc>
          <w:tcPr>
            <w:tcW w:type="dxa" w:w="3402"/>
          </w:tcPr>
          <w:p>
            <w:pPr>
              <w:spacing w:before="60" w:after="60"/>
            </w:pPr>
            <w:r/>
            <w:r>
              <w:rPr>
                <w:rFonts w:ascii="Segoe UI" w:hAnsi="Segoe UI"/>
                <w:b w:val="0"/>
                <w:i w:val="0"/>
                <w:color w:val="1D1D1F"/>
                <w:sz w:val="18"/>
              </w:rPr>
              <w:t>Destruye cerca de US$83 mil/año de margen</w:t>
            </w:r>
          </w:p>
        </w:tc>
        <w:tc>
          <w:tcPr>
            <w:tcW w:type="dxa" w:w="3402"/>
          </w:tcPr>
          <w:p>
            <w:pPr>
              <w:spacing w:before="60" w:after="60"/>
            </w:pPr>
            <w:r/>
            <w:r>
              <w:rPr>
                <w:rFonts w:ascii="Segoe UI" w:hAnsi="Segoe UI"/>
                <w:b w:val="0"/>
                <w:i w:val="0"/>
                <w:color w:val="1D1D1F"/>
                <w:sz w:val="18"/>
              </w:rPr>
              <w:t>Estabiliza el margen y la caja</w:t>
            </w:r>
          </w:p>
        </w:tc>
      </w:tr>
      <w:tr>
        <w:tc>
          <w:tcPr>
            <w:tcW w:type="dxa" w:w="2211"/>
          </w:tcPr>
          <w:p>
            <w:pPr>
              <w:spacing w:before="60" w:after="60"/>
            </w:pPr>
            <w:r/>
            <w:r>
              <w:rPr>
                <w:rFonts w:ascii="Segoe UI" w:hAnsi="Segoe UI"/>
                <w:b/>
                <w:i w:val="0"/>
                <w:color w:val="218358"/>
                <w:sz w:val="18"/>
              </w:rPr>
              <w:t>Veredicto</w:t>
            </w:r>
          </w:p>
        </w:tc>
        <w:tc>
          <w:tcPr>
            <w:tcW w:type="dxa" w:w="3402"/>
            <w:shd w:val="clear" w:fill="FDF2F2"/>
          </w:tcPr>
          <w:p>
            <w:pPr>
              <w:spacing w:before="60" w:after="60"/>
            </w:pPr>
            <w:r/>
            <w:r>
              <w:rPr>
                <w:rFonts w:ascii="Segoe UI" w:hAnsi="Segoe UI"/>
                <w:b/>
                <w:i w:val="0"/>
                <w:color w:val="E5484D"/>
                <w:sz w:val="18"/>
              </w:rPr>
              <w:t>Rechazar de forma permanente, no "por ahora"</w:t>
            </w:r>
          </w:p>
        </w:tc>
        <w:tc>
          <w:tcPr>
            <w:tcW w:type="dxa" w:w="3402"/>
            <w:shd w:val="clear" w:fill="F2F9F5"/>
          </w:tcPr>
          <w:p>
            <w:pPr>
              <w:spacing w:before="60" w:after="60"/>
            </w:pPr>
            <w:r/>
            <w:r>
              <w:rPr>
                <w:rFonts w:ascii="Segoe UI" w:hAnsi="Segoe UI"/>
                <w:b/>
                <w:i w:val="0"/>
                <w:color w:val="218358"/>
                <w:sz w:val="18"/>
              </w:rPr>
              <w:t>Negociar desde el año 1; firmar entre 2030 y 2032</w:t>
            </w:r>
          </w:p>
        </w:tc>
      </w:tr>
    </w:tbl>
    <w:p>
      <w:pPr>
        <w:spacing w:before="260" w:after="100"/>
      </w:pPr>
      <w:r>
        <w:rPr>
          <w:rFonts w:ascii="Segoe UI" w:hAnsi="Segoe UI"/>
          <w:b/>
          <w:color w:val="1D1D1F"/>
          <w:sz w:val="25"/>
        </w:rPr>
        <w:t>Cuánto se gana con PPA y cuánto sin PPA</w:t>
      </w:r>
    </w:p>
    <w:p>
      <w:pPr>
        <w:spacing w:before="0" w:after="120"/>
      </w:pPr>
      <w:r>
        <w:rPr>
          <w:rFonts w:ascii="Segoe UI" w:hAnsi="Segoe UI"/>
          <w:b w:val="0"/>
          <w:i w:val="0"/>
          <w:color w:val="1D1D1F"/>
          <w:sz w:val="19"/>
        </w:rPr>
        <w:t>Resultado real del nodo en los últimos doce meses completos bajo las dos alternativas. Para que la comparación sea justa, al PPA se le concede su mejor política de operación: con un costo de carga fijo conviene ciclar todos los días, incluso aquellos en que el spread spot es delgado. Aun así pierde.</w:t>
      </w:r>
    </w:p>
    <w:tbl>
      <w:tblPr>
        <w:tblStyle w:val="TableGrid"/>
        <w:tblW w:type="auto" w:w="0"/>
        <w:jc w:val="left"/>
        <w:tblLook w:firstColumn="1" w:firstRow="1" w:lastColumn="0" w:lastRow="0" w:noHBand="0" w:noVBand="1" w:val="04A0"/>
      </w:tblPr>
      <w:tblGrid>
        <w:gridCol w:w="2464"/>
        <w:gridCol w:w="2464"/>
        <w:gridCol w:w="2464"/>
        <w:gridCol w:w="2464"/>
      </w:tblGrid>
      <w:tr>
        <w:tc>
          <w:tcPr>
            <w:tcW w:type="dxa" w:w="2948"/>
            <w:shd w:val="clear" w:fill="F7F9F8"/>
          </w:tcPr>
          <w:p>
            <w:pPr>
              <w:spacing w:before="60" w:after="60"/>
            </w:pPr>
            <w:r/>
            <w:r>
              <w:rPr>
                <w:rFonts w:ascii="Segoe UI" w:hAnsi="Segoe UI"/>
                <w:b/>
                <w:i w:val="0"/>
                <w:color w:val="6E6E73"/>
                <w:sz w:val="17"/>
              </w:rPr>
            </w:r>
          </w:p>
        </w:tc>
        <w:tc>
          <w:tcPr>
            <w:tcW w:type="dxa" w:w="2041"/>
            <w:shd w:val="clear" w:fill="F7F9F8"/>
          </w:tcPr>
          <w:p>
            <w:pPr>
              <w:spacing w:before="60" w:after="60"/>
              <w:jc w:val="right"/>
            </w:pPr>
            <w:r/>
            <w:r>
              <w:rPr>
                <w:rFonts w:ascii="Segoe UI" w:hAnsi="Segoe UI"/>
                <w:b/>
                <w:i w:val="0"/>
                <w:color w:val="6E6E73"/>
                <w:sz w:val="17"/>
              </w:rPr>
              <w:t>Sin PPA · a spot</w:t>
            </w:r>
          </w:p>
        </w:tc>
        <w:tc>
          <w:tcPr>
            <w:tcW w:type="dxa" w:w="2211"/>
            <w:shd w:val="clear" w:fill="F7F9F8"/>
          </w:tcPr>
          <w:p>
            <w:pPr>
              <w:spacing w:before="60" w:after="60"/>
              <w:jc w:val="right"/>
            </w:pPr>
            <w:r/>
            <w:r>
              <w:rPr>
                <w:rFonts w:ascii="Segoe UI" w:hAnsi="Segoe UI"/>
                <w:b/>
                <w:i w:val="0"/>
                <w:color w:val="6E6E73"/>
                <w:sz w:val="17"/>
              </w:rPr>
              <w:t>Con PPA a 28</w:t>
            </w:r>
          </w:p>
        </w:tc>
        <w:tc>
          <w:tcPr>
            <w:tcW w:type="dxa" w:w="1757"/>
            <w:shd w:val="clear" w:fill="F7F9F8"/>
          </w:tcPr>
          <w:p>
            <w:pPr>
              <w:spacing w:before="60" w:after="60"/>
              <w:jc w:val="right"/>
            </w:pPr>
            <w:r/>
            <w:r>
              <w:rPr>
                <w:rFonts w:ascii="Segoe UI" w:hAnsi="Segoe UI"/>
                <w:b/>
                <w:i w:val="0"/>
                <w:color w:val="6E6E73"/>
                <w:sz w:val="17"/>
              </w:rPr>
              <w:t>Diferencia</w:t>
            </w:r>
          </w:p>
        </w:tc>
      </w:tr>
      <w:tr>
        <w:tc>
          <w:tcPr>
            <w:tcW w:type="dxa" w:w="2948"/>
          </w:tcPr>
          <w:p>
            <w:pPr>
              <w:spacing w:before="60" w:after="60"/>
            </w:pPr>
            <w:r/>
            <w:r>
              <w:rPr>
                <w:rFonts w:ascii="Segoe UI" w:hAnsi="Segoe UI"/>
                <w:b w:val="0"/>
                <w:i w:val="0"/>
                <w:color w:val="1D1D1F"/>
                <w:sz w:val="18"/>
              </w:rPr>
              <w:t>Ciclos completos en el año</w:t>
            </w:r>
          </w:p>
        </w:tc>
        <w:tc>
          <w:tcPr>
            <w:tcW w:type="dxa" w:w="2041"/>
          </w:tcPr>
          <w:p>
            <w:pPr>
              <w:spacing w:before="60" w:after="60"/>
              <w:jc w:val="right"/>
            </w:pPr>
            <w:r/>
            <w:r>
              <w:rPr>
                <w:rFonts w:ascii="Segoe UI" w:hAnsi="Segoe UI"/>
                <w:b w:val="0"/>
                <w:i w:val="0"/>
                <w:color w:val="1D1D1F"/>
                <w:sz w:val="18"/>
              </w:rPr>
              <w:t>340</w:t>
            </w:r>
          </w:p>
        </w:tc>
        <w:tc>
          <w:tcPr>
            <w:tcW w:type="dxa" w:w="2211"/>
          </w:tcPr>
          <w:p>
            <w:pPr>
              <w:spacing w:before="60" w:after="60"/>
              <w:jc w:val="right"/>
            </w:pPr>
            <w:r/>
            <w:r>
              <w:rPr>
                <w:rFonts w:ascii="Segoe UI" w:hAnsi="Segoe UI"/>
                <w:b w:val="0"/>
                <w:i w:val="0"/>
                <w:color w:val="1D1D1F"/>
                <w:sz w:val="18"/>
              </w:rPr>
              <w:t>365</w:t>
            </w:r>
          </w:p>
        </w:tc>
        <w:tc>
          <w:tcPr>
            <w:tcW w:type="dxa" w:w="1757"/>
          </w:tcPr>
          <w:p>
            <w:pPr>
              <w:spacing w:before="60" w:after="60"/>
              <w:jc w:val="right"/>
            </w:pPr>
            <w:r/>
            <w:r>
              <w:rPr>
                <w:rFonts w:ascii="Segoe UI" w:hAnsi="Segoe UI"/>
                <w:b w:val="0"/>
                <w:i w:val="0"/>
                <w:color w:val="6E6E73"/>
                <w:sz w:val="18"/>
              </w:rPr>
              <w:t>+25</w:t>
            </w:r>
          </w:p>
        </w:tc>
      </w:tr>
      <w:tr>
        <w:tc>
          <w:tcPr>
            <w:tcW w:type="dxa" w:w="2948"/>
          </w:tcPr>
          <w:p>
            <w:pPr>
              <w:spacing w:before="60" w:after="60"/>
            </w:pPr>
            <w:r/>
            <w:r>
              <w:rPr>
                <w:rFonts w:ascii="Segoe UI" w:hAnsi="Segoe UI"/>
                <w:b w:val="0"/>
                <w:i w:val="0"/>
                <w:color w:val="1D1D1F"/>
                <w:sz w:val="18"/>
              </w:rPr>
              <w:t>Ingreso por venta nocturna</w:t>
            </w:r>
          </w:p>
        </w:tc>
        <w:tc>
          <w:tcPr>
            <w:tcW w:type="dxa" w:w="2041"/>
          </w:tcPr>
          <w:p>
            <w:pPr>
              <w:spacing w:before="60" w:after="60"/>
              <w:jc w:val="right"/>
            </w:pPr>
            <w:r/>
            <w:r>
              <w:rPr>
                <w:rFonts w:ascii="Segoe UI" w:hAnsi="Segoe UI"/>
                <w:b w:val="0"/>
                <w:i w:val="0"/>
                <w:color w:val="1D1D1F"/>
                <w:sz w:val="18"/>
              </w:rPr>
              <w:t>997.905</w:t>
            </w:r>
          </w:p>
        </w:tc>
        <w:tc>
          <w:tcPr>
            <w:tcW w:type="dxa" w:w="2211"/>
          </w:tcPr>
          <w:p>
            <w:pPr>
              <w:spacing w:before="60" w:after="60"/>
              <w:jc w:val="right"/>
            </w:pPr>
            <w:r/>
            <w:r>
              <w:rPr>
                <w:rFonts w:ascii="Segoe UI" w:hAnsi="Segoe UI"/>
                <w:b w:val="0"/>
                <w:i w:val="0"/>
                <w:color w:val="1D1D1F"/>
                <w:sz w:val="18"/>
              </w:rPr>
              <w:t>1.086.101</w:t>
            </w:r>
          </w:p>
        </w:tc>
        <w:tc>
          <w:tcPr>
            <w:tcW w:type="dxa" w:w="1757"/>
          </w:tcPr>
          <w:p>
            <w:pPr>
              <w:spacing w:before="60" w:after="60"/>
              <w:jc w:val="right"/>
            </w:pPr>
            <w:r/>
            <w:r>
              <w:rPr>
                <w:rFonts w:ascii="Segoe UI" w:hAnsi="Segoe UI"/>
                <w:b w:val="0"/>
                <w:i w:val="0"/>
                <w:color w:val="6E6E73"/>
                <w:sz w:val="18"/>
              </w:rPr>
              <w:t>+88.196</w:t>
            </w:r>
          </w:p>
        </w:tc>
      </w:tr>
      <w:tr>
        <w:tc>
          <w:tcPr>
            <w:tcW w:type="dxa" w:w="2948"/>
          </w:tcPr>
          <w:p>
            <w:pPr>
              <w:spacing w:before="60" w:after="60"/>
            </w:pPr>
            <w:r/>
            <w:r>
              <w:rPr>
                <w:rFonts w:ascii="Segoe UI" w:hAnsi="Segoe UI"/>
                <w:b w:val="0"/>
                <w:i w:val="0"/>
                <w:color w:val="1D1D1F"/>
                <w:sz w:val="18"/>
              </w:rPr>
              <w:t>Costo de la energía de carga</w:t>
            </w:r>
          </w:p>
        </w:tc>
        <w:tc>
          <w:tcPr>
            <w:tcW w:type="dxa" w:w="2041"/>
          </w:tcPr>
          <w:p>
            <w:pPr>
              <w:spacing w:before="60" w:after="60"/>
              <w:jc w:val="right"/>
            </w:pPr>
            <w:r/>
            <w:r>
              <w:rPr>
                <w:rFonts w:ascii="Segoe UI" w:hAnsi="Segoe UI"/>
                <w:b w:val="0"/>
                <w:i w:val="0"/>
                <w:color w:val="1D1D1F"/>
                <w:sz w:val="18"/>
              </w:rPr>
              <w:t>183.167</w:t>
            </w:r>
          </w:p>
        </w:tc>
        <w:tc>
          <w:tcPr>
            <w:tcW w:type="dxa" w:w="2211"/>
          </w:tcPr>
          <w:p>
            <w:pPr>
              <w:spacing w:before="60" w:after="60"/>
              <w:jc w:val="right"/>
            </w:pPr>
            <w:r/>
            <w:r>
              <w:rPr>
                <w:rFonts w:ascii="Segoe UI" w:hAnsi="Segoe UI"/>
                <w:b w:val="0"/>
                <w:i w:val="0"/>
                <w:color w:val="1D1D1F"/>
                <w:sz w:val="18"/>
              </w:rPr>
              <w:t>367.920</w:t>
            </w:r>
          </w:p>
        </w:tc>
        <w:tc>
          <w:tcPr>
            <w:tcW w:type="dxa" w:w="1757"/>
          </w:tcPr>
          <w:p>
            <w:pPr>
              <w:spacing w:before="60" w:after="60"/>
              <w:jc w:val="right"/>
            </w:pPr>
            <w:r/>
            <w:r>
              <w:rPr>
                <w:rFonts w:ascii="Segoe UI" w:hAnsi="Segoe UI"/>
                <w:b w:val="0"/>
                <w:i w:val="0"/>
                <w:color w:val="E5484D"/>
                <w:sz w:val="18"/>
              </w:rPr>
              <w:t>+184.753</w:t>
            </w:r>
          </w:p>
        </w:tc>
      </w:tr>
      <w:tr>
        <w:tc>
          <w:tcPr>
            <w:tcW w:type="dxa" w:w="2948"/>
          </w:tcPr>
          <w:p>
            <w:pPr>
              <w:spacing w:before="60" w:after="60"/>
            </w:pPr>
            <w:r/>
            <w:r>
              <w:rPr>
                <w:rFonts w:ascii="Segoe UI" w:hAnsi="Segoe UI"/>
                <w:b w:val="0"/>
                <w:i w:val="0"/>
                <w:color w:val="1D1D1F"/>
                <w:sz w:val="18"/>
              </w:rPr>
              <w:t>Costo de carga implícito</w:t>
            </w:r>
          </w:p>
        </w:tc>
        <w:tc>
          <w:tcPr>
            <w:tcW w:type="dxa" w:w="2041"/>
          </w:tcPr>
          <w:p>
            <w:pPr>
              <w:spacing w:before="60" w:after="60"/>
              <w:jc w:val="right"/>
            </w:pPr>
            <w:r/>
            <w:r>
              <w:rPr>
                <w:rFonts w:ascii="Segoe UI" w:hAnsi="Segoe UI"/>
                <w:b w:val="0"/>
                <w:i w:val="0"/>
                <w:color w:val="1D1D1F"/>
                <w:sz w:val="18"/>
              </w:rPr>
              <w:t>15,0 USD/MWh</w:t>
            </w:r>
          </w:p>
        </w:tc>
        <w:tc>
          <w:tcPr>
            <w:tcW w:type="dxa" w:w="2211"/>
          </w:tcPr>
          <w:p>
            <w:pPr>
              <w:spacing w:before="60" w:after="60"/>
              <w:jc w:val="right"/>
            </w:pPr>
            <w:r/>
            <w:r>
              <w:rPr>
                <w:rFonts w:ascii="Segoe UI" w:hAnsi="Segoe UI"/>
                <w:b w:val="0"/>
                <w:i w:val="0"/>
                <w:color w:val="1D1D1F"/>
                <w:sz w:val="18"/>
              </w:rPr>
              <w:t>28,0 USD/MWh</w:t>
            </w:r>
          </w:p>
        </w:tc>
        <w:tc>
          <w:tcPr>
            <w:tcW w:type="dxa" w:w="1757"/>
          </w:tcPr>
          <w:p>
            <w:pPr>
              <w:spacing w:before="60" w:after="60"/>
              <w:jc w:val="right"/>
            </w:pPr>
            <w:r/>
            <w:r>
              <w:rPr>
                <w:rFonts w:ascii="Segoe UI" w:hAnsi="Segoe UI"/>
                <w:b w:val="0"/>
                <w:i w:val="0"/>
                <w:color w:val="E5484D"/>
                <w:sz w:val="18"/>
              </w:rPr>
              <w:t>+13,0</w:t>
            </w:r>
          </w:p>
        </w:tc>
      </w:tr>
      <w:tr>
        <w:tc>
          <w:tcPr>
            <w:tcW w:type="dxa" w:w="2948"/>
            <w:shd w:val="clear" w:fill="F2F9F5"/>
          </w:tcPr>
          <w:p>
            <w:pPr>
              <w:spacing w:before="60" w:after="60"/>
            </w:pPr>
            <w:r/>
            <w:r>
              <w:rPr>
                <w:rFonts w:ascii="Segoe UI" w:hAnsi="Segoe UI"/>
                <w:b/>
                <w:i w:val="0"/>
                <w:color w:val="1D1D1F"/>
                <w:sz w:val="19"/>
              </w:rPr>
              <w:t>Margen bruto del año</w:t>
            </w:r>
          </w:p>
        </w:tc>
        <w:tc>
          <w:tcPr>
            <w:tcW w:type="dxa" w:w="2041"/>
            <w:shd w:val="clear" w:fill="F2F9F5"/>
          </w:tcPr>
          <w:p>
            <w:pPr>
              <w:spacing w:before="60" w:after="60"/>
              <w:jc w:val="right"/>
            </w:pPr>
            <w:r/>
            <w:r>
              <w:rPr>
                <w:rFonts w:ascii="Segoe UI" w:hAnsi="Segoe UI"/>
                <w:b/>
                <w:i w:val="0"/>
                <w:color w:val="218358"/>
                <w:sz w:val="19"/>
              </w:rPr>
              <w:t>814.738</w:t>
            </w:r>
          </w:p>
        </w:tc>
        <w:tc>
          <w:tcPr>
            <w:tcW w:type="dxa" w:w="2211"/>
            <w:shd w:val="clear" w:fill="F2F9F5"/>
          </w:tcPr>
          <w:p>
            <w:pPr>
              <w:spacing w:before="60" w:after="60"/>
              <w:jc w:val="right"/>
            </w:pPr>
            <w:r/>
            <w:r>
              <w:rPr>
                <w:rFonts w:ascii="Segoe UI" w:hAnsi="Segoe UI"/>
                <w:b/>
                <w:i w:val="0"/>
                <w:color w:val="1D1D1F"/>
                <w:sz w:val="19"/>
              </w:rPr>
              <w:t>718.181</w:t>
            </w:r>
          </w:p>
        </w:tc>
        <w:tc>
          <w:tcPr>
            <w:tcW w:type="dxa" w:w="1757"/>
            <w:shd w:val="clear" w:fill="F2F9F5"/>
          </w:tcPr>
          <w:p>
            <w:pPr>
              <w:spacing w:before="60" w:after="60"/>
              <w:jc w:val="right"/>
            </w:pPr>
            <w:r/>
            <w:r>
              <w:rPr>
                <w:rFonts w:ascii="Segoe UI" w:hAnsi="Segoe UI"/>
                <w:b/>
                <w:i w:val="0"/>
                <w:color w:val="E5484D"/>
                <w:sz w:val="19"/>
              </w:rPr>
              <w:t>−96.557</w:t>
            </w:r>
          </w:p>
        </w:tc>
      </w:tr>
    </w:tbl>
    <w:p>
      <w:pPr>
        <w:spacing w:before="60" w:after="100"/>
      </w:pPr>
      <w:r>
        <w:rPr>
          <w:rFonts w:ascii="Segoe UI" w:hAnsi="Segoe UI"/>
          <w:b w:val="0"/>
          <w:i/>
          <w:color w:val="86868B"/>
          <w:sz w:val="16"/>
        </w:rPr>
        <w:t>Cifras en US$ salvo donde se indique. Ventana de 12 meses completos, 23-may-2025 a 22-may-2026, sobre precios reales del nodo.</w:t>
      </w:r>
    </w:p>
    <w:p>
      <w:pPr>
        <w:spacing w:before="0" w:after="180"/>
      </w:pPr>
      <w:r>
        <w:rPr>
          <w:rFonts w:ascii="Segoe UI" w:hAnsi="Segoe UI"/>
          <w:b/>
          <w:color w:val="1D1D1F"/>
          <w:sz w:val="19"/>
        </w:rPr>
        <w:t>Con el PPA el proyecto cicla 25 veces más y captura US$88 mil más de ingreso, pero paga US$185 mil más por la energía de carga. El saldo son US$97 mil menos de margen al año, un 11,9%. Sobre diez años de deuda, US$966 mil.</w:t>
      </w:r>
    </w:p>
    <w:p>
      <w:pPr>
        <w:spacing w:before="0" w:after="200"/>
      </w:pPr>
      <w:r>
        <w:rPr>
          <w:rFonts w:ascii="Segoe UI" w:hAnsi="Segoe UI"/>
          <w:b w:val="0"/>
          <w:i w:val="0"/>
          <w:color w:val="1D1D1F"/>
          <w:sz w:val="19"/>
        </w:rPr>
        <w:t>Y la conclusión no depende del precio ofertado: evaluado entre 22 y 34 USD/MWh, y dándole a cada caso su política óptima, el PPA de compra no gana en ningún punto del rango. A 22 USD/MWh el spot todavía aventaja en US$18 mil al año; a 34, en US$175 mil.</w:t>
      </w:r>
    </w:p>
    <w:p>
      <w:pPr>
        <w:spacing w:before="260" w:after="100"/>
      </w:pPr>
      <w:r>
        <w:rPr>
          <w:rFonts w:ascii="Segoe UI" w:hAnsi="Segoe UI"/>
          <w:b/>
          <w:color w:val="1D1D1F"/>
          <w:sz w:val="25"/>
        </w:rPr>
        <w:t>Por qué la ventana existe: la brecha es locacional, no temporal</w:t>
      </w:r>
    </w:p>
    <w:p>
      <w:pPr>
        <w:spacing w:before="0" w:after="140"/>
      </w:pPr>
      <w:r>
        <w:rPr>
          <w:rFonts w:ascii="Segoe UI" w:hAnsi="Segoe UI"/>
          <w:b w:val="0"/>
          <w:i w:val="0"/>
          <w:color w:val="1D1D1F"/>
          <w:sz w:val="20"/>
        </w:rPr>
        <w:t>El almacenamiento en Chile es real y avanza rápido: 2.283 MW en operación y 6.358 MW en construcción. Pero está concentrado en el norte —Antofagasta 44%, Atacama 23%, Tarapacá 13,6%— y el Maule no figura en el desglose oficial. La Comisión Nacional de Energía proyecta que el desacople de costos marginales de la zona sur persiste hacia 2032 incluso con las obras de 500 kV previstas.</w:t>
      </w:r>
    </w:p>
    <w:p>
      <w:pPr>
        <w:spacing w:before="260" w:after="100"/>
      </w:pPr>
      <w:r>
        <w:rPr>
          <w:rFonts w:ascii="Segoe UI" w:hAnsi="Segoe UI"/>
          <w:b/>
          <w:color w:val="1D1D1F"/>
          <w:sz w:val="25"/>
        </w:rPr>
        <w:t>La decisión se monitorea, no se apuesta</w:t>
      </w:r>
    </w:p>
    <w:p>
      <w:pPr>
        <w:spacing w:before="0" w:after="140"/>
      </w:pPr>
      <w:r>
        <w:rPr>
          <w:rFonts w:ascii="Segoe UI" w:hAnsi="Segoe UI"/>
          <w:b w:val="0"/>
          <w:i w:val="0"/>
          <w:color w:val="1D1D1F"/>
          <w:sz w:val="20"/>
        </w:rPr>
        <w:t>Seis gatillos con métrica, fuente, umbral y acción predefinida, revisados trimestralmente: compresión del spread, erosión del piso nocturno, alza del costo de carga, MW de almacenamiento en operación en el centro-sur, entrada de obras de transmisión y cobertura de deuda. El precedente australiano —spread 85% menor en un año— es la razón por la que la revisión es trimestral y no anual.</w:t>
      </w:r>
    </w:p>
    <w:p>
      <w:pPr>
        <w:spacing w:before="240" w:after="60"/>
      </w:pPr>
      <w:r>
        <w:rPr>
          <w:rFonts w:ascii="Segoe UI" w:hAnsi="Segoe UI"/>
          <w:b/>
          <w:i w:val="0"/>
          <w:color w:val="6E6E73"/>
          <w:sz w:val="16"/>
        </w:rPr>
        <w:t>FUENTES</w:t>
      </w:r>
    </w:p>
    <w:p>
      <w:pPr>
        <w:spacing w:before="0" w:after="40"/>
      </w:pPr>
      <w:r>
        <w:rPr>
          <w:rFonts w:ascii="Segoe UI" w:hAnsi="Segoe UI"/>
          <w:b w:val="0"/>
          <w:i w:val="0"/>
          <w:color w:val="86868B"/>
          <w:sz w:val="15"/>
        </w:rPr>
        <w:t>Coordinador Eléctrico Nacional, Real Definitivo · nodo BA S/E Panimávida 13,2 kV (BP1) · 38.064 horas, 2022–2026</w:t>
      </w:r>
    </w:p>
    <w:p>
      <w:pPr>
        <w:spacing w:before="0" w:after="40"/>
      </w:pPr>
      <w:r>
        <w:rPr>
          <w:rFonts w:ascii="Segoe UI" w:hAnsi="Segoe UI"/>
          <w:b w:val="0"/>
          <w:i w:val="0"/>
          <w:color w:val="86868B"/>
          <w:sz w:val="15"/>
        </w:rPr>
        <w:t>Comisión Nacional de Energía · Informe Final del Plan de Expansión de la Transmisión 2026</w:t>
      </w:r>
    </w:p>
    <w:p>
      <w:pPr>
        <w:spacing w:before="0" w:after="40"/>
      </w:pPr>
      <w:r>
        <w:rPr>
          <w:rFonts w:ascii="Segoe UI" w:hAnsi="Segoe UI"/>
          <w:b w:val="0"/>
          <w:i w:val="0"/>
          <w:color w:val="86868B"/>
          <w:sz w:val="15"/>
        </w:rPr>
        <w:t>CNE · Norma Técnica de Conexión y Operación de PMGD, 19-feb-2026 · ACERA · Energy-Storage.News</w:t>
      </w:r>
    </w:p>
    <w:sectPr w:rsidR="00FC693F" w:rsidRPr="0006063C" w:rsidSect="00034616">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Segoe UI" w:hAnsi="Segoe UI" w:eastAsia="Segoe UI"/>
      <w:color w:val="1D1D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