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320"/>
        <w:jc w:val="center"/>
      </w:pPr>
      <w:r>
        <w:drawing>
          <wp:inline xmlns:a="http://schemas.openxmlformats.org/drawingml/2006/main" xmlns:pic="http://schemas.openxmlformats.org/drawingml/2006/picture">
            <wp:extent cx="1872000" cy="1224249"/>
            <wp:docPr id="1" name="Picture 1"/>
            <wp:cNvGraphicFramePr>
              <a:graphicFrameLocks noChangeAspect="1"/>
            </wp:cNvGraphicFramePr>
            <a:graphic>
              <a:graphicData uri="http://schemas.openxmlformats.org/drawingml/2006/picture">
                <pic:pic>
                  <pic:nvPicPr>
                    <pic:cNvPr id="0" name="rho-full.png"/>
                    <pic:cNvPicPr/>
                  </pic:nvPicPr>
                  <pic:blipFill>
                    <a:blip r:embed="rId11"/>
                    <a:stretch>
                      <a:fillRect/>
                    </a:stretch>
                  </pic:blipFill>
                  <pic:spPr>
                    <a:xfrm>
                      <a:off x="0" y="0"/>
                      <a:ext cx="1872000" cy="1224249"/>
                    </a:xfrm>
                    <a:prstGeom prst="rect"/>
                  </pic:spPr>
                </pic:pic>
              </a:graphicData>
            </a:graphic>
          </wp:inline>
        </w:drawing>
      </w:r>
    </w:p>
    <w:p>
      <w:pPr>
        <w:pStyle w:val="RhoCoverEye"/>
      </w:pPr>
      <w:r>
        <w:t>ANÁLISIS CREDITICIO · NODO PANIMÁVIDA 13.2 kV</w:t>
      </w:r>
    </w:p>
    <w:p>
      <w:pPr>
        <w:pStyle w:val="RhoCoverTitle"/>
      </w:pPr>
      <w:r>
        <w:t>Análisis crediticio del nodo Panimávida 13.2 kV</w:t>
      </w:r>
    </w:p>
    <w:p>
      <w:pPr>
        <w:pStyle w:val="RhoCoverSub"/>
      </w:pPr>
      <w:r>
        <w:t>Decisión sobre la suscripción del PPA de compra a 28 USD/MWh</w:t>
      </w:r>
    </w:p>
    <w:p>
      <w:pPr>
        <w:spacing w:before="120" w:after="200"/>
      </w:pPr>
      <w:r>
        <w:rPr>
          <w:color w:val="3C8B3C"/>
          <w:sz w:val="24"/>
        </w:rPr>
        <w:t>───────────────</w:t>
      </w:r>
    </w:p>
    <w:p>
      <w:pPr>
        <w:pStyle w:val="RhoCoverMeta"/>
      </w:pPr>
      <w:r>
        <w:rPr>
          <w:rFonts w:ascii="Arial" w:hAnsi="Arial"/>
          <w:b/>
          <w:color w:val="4A4A4A"/>
          <w:sz w:val="20"/>
        </w:rPr>
        <w:t xml:space="preserve">Preparado para: </w:t>
      </w:r>
      <w:r>
        <w:rPr>
          <w:rFonts w:ascii="Arial" w:hAnsi="Arial"/>
          <w:color w:val="4A4A4A"/>
          <w:sz w:val="20"/>
        </w:rPr>
        <w:t>Banco — Martín</w:t>
      </w:r>
    </w:p>
    <w:p>
      <w:pPr>
        <w:pStyle w:val="RhoCoverMeta"/>
      </w:pPr>
      <w:r>
        <w:rPr>
          <w:rFonts w:ascii="Arial" w:hAnsi="Arial"/>
          <w:b/>
          <w:color w:val="4A4A4A"/>
          <w:sz w:val="20"/>
        </w:rPr>
        <w:t xml:space="preserve">Audiencia: </w:t>
      </w:r>
      <w:r>
        <w:rPr>
          <w:rFonts w:ascii="Arial" w:hAnsi="Arial"/>
          <w:color w:val="4A4A4A"/>
          <w:sz w:val="20"/>
        </w:rPr>
        <w:t>Material preparado para el Comité de Crédito</w:t>
      </w:r>
    </w:p>
    <w:p>
      <w:pPr>
        <w:pStyle w:val="RhoCoverMeta"/>
      </w:pPr>
      <w:r>
        <w:rPr>
          <w:rFonts w:ascii="Arial" w:hAnsi="Arial"/>
          <w:b/>
          <w:color w:val="4A4A4A"/>
          <w:sz w:val="20"/>
        </w:rPr>
        <w:t xml:space="preserve">Fuente: </w:t>
      </w:r>
      <w:r>
        <w:rPr>
          <w:rFonts w:ascii="Arial" w:hAnsi="Arial"/>
          <w:color w:val="4A4A4A"/>
          <w:sz w:val="20"/>
        </w:rPr>
        <w:t>Coordinador Eléctrico Nacional · Versión Real Definitivo</w:t>
      </w:r>
    </w:p>
    <w:p>
      <w:pPr>
        <w:pStyle w:val="RhoCoverMeta"/>
      </w:pPr>
      <w:r>
        <w:rPr>
          <w:rFonts w:ascii="Arial" w:hAnsi="Arial"/>
          <w:b/>
          <w:color w:val="4A4A4A"/>
          <w:sz w:val="20"/>
        </w:rPr>
        <w:t xml:space="preserve">Nodo: </w:t>
      </w:r>
      <w:r>
        <w:rPr>
          <w:rFonts w:ascii="Arial" w:hAnsi="Arial"/>
          <w:color w:val="4A4A4A"/>
          <w:sz w:val="20"/>
        </w:rPr>
        <w:t>BA S/E Panimávida 13.2 kV (BP1)</w:t>
      </w:r>
    </w:p>
    <w:p>
      <w:pPr>
        <w:pStyle w:val="RhoCoverMeta"/>
      </w:pPr>
      <w:r>
        <w:rPr>
          <w:rFonts w:ascii="Arial" w:hAnsi="Arial"/>
          <w:b/>
          <w:color w:val="4A4A4A"/>
          <w:sz w:val="20"/>
        </w:rPr>
        <w:t xml:space="preserve">Período analizado: </w:t>
      </w:r>
      <w:r>
        <w:rPr>
          <w:rFonts w:ascii="Arial" w:hAnsi="Arial"/>
          <w:color w:val="4A4A4A"/>
          <w:sz w:val="20"/>
        </w:rPr>
        <w:t xml:space="preserve">2022-01-01 a 2026-05-22 — </w:t>
      </w:r>
      <w:r>
        <w:rPr>
          <w:rFonts w:ascii="Arial" w:hAnsi="Arial"/>
          <w:b/>
          <w:color w:val="4A4A4A"/>
          <w:sz w:val="20"/>
        </w:rPr>
        <w:t>38.064</w:t>
      </w:r>
      <w:r>
        <w:rPr>
          <w:rFonts w:ascii="Arial" w:hAnsi="Arial"/>
          <w:color w:val="4A4A4A"/>
          <w:sz w:val="20"/>
        </w:rPr>
        <w:t xml:space="preserve"> horas reales</w:t>
      </w:r>
    </w:p>
    <w:p>
      <w:pPr>
        <w:pStyle w:val="RhoCoverMeta"/>
      </w:pPr>
      <w:r>
        <w:rPr>
          <w:rFonts w:ascii="Arial" w:hAnsi="Arial"/>
          <w:b/>
          <w:color w:val="4A4A4A"/>
          <w:sz w:val="20"/>
        </w:rPr>
        <w:t>Versión 2.1 — Mayo 2026</w:t>
      </w:r>
    </w:p>
    <w:p>
      <w:pPr>
        <w:pStyle w:val="RhoCoverMeta"/>
        <w:spacing w:before="280"/>
      </w:pPr>
      <w:r>
        <w:rPr>
          <w:rFonts w:ascii="Arial" w:hAnsi="Arial"/>
          <w:b/>
          <w:color w:val="4A4A4A"/>
          <w:sz w:val="20"/>
        </w:rPr>
        <w:t xml:space="preserve">Versión interactiva — </w:t>
      </w:r>
      <w:hyperlink r:id="rId12">
        <w:r>
          <w:rPr>
            <w:color w:val="1A4A1A"/>
            <w:b/>
            <w:rFonts w:ascii="Arial" w:hAnsi="Arial"/>
            <w:sz w:val="20"/>
          </w:rPr>
          <w:t xml:space="preserve">https://rho-panimavida-banco.vercel.app</w:t>
        </w:r>
      </w:hyperlink>
    </w:p>
    <w:p>
      <w:pPr>
        <w:spacing w:before="1200"/>
      </w:pPr>
    </w:p>
    <w:p>
      <w:pPr>
        <w:pStyle w:val="RhoCoverConf"/>
      </w:pPr>
      <w:r>
        <w:t>CONFIDENCIAL — uso interno del Comité de Crédito</w:t>
      </w:r>
    </w:p>
    <w:p>
      <w:r>
        <w:br w:type="page"/>
      </w:r>
    </w:p>
    <w:p>
      <w:pPr>
        <w:pStyle w:val="RhoH1"/>
      </w:pPr>
      <w:r>
        <w:t>1.  Resumen ejecutivo</w:t>
      </w:r>
    </w:p>
    <w:p>
      <w:pPr>
        <w:pStyle w:val="RhoBodyLead"/>
      </w:pPr>
      <w:r>
        <w:rPr>
          <w:rFonts w:ascii="Arial" w:hAnsi="Arial"/>
          <w:color w:val="1A1A1A"/>
          <w:sz w:val="21"/>
        </w:rPr>
        <w:t>Sobre 38.064 horas reales del Coordinador Eléctrico Nacional, el costo marginal del nodo Panimávida 13.2 kV se sitúa de manera estructural por debajo de la oferta del PPA de compra a 28 USD/MWh. El proyecto no suscribe esa oferta — y la decisión es económicamente fundamentada.</w:t>
      </w:r>
    </w:p>
    <w:tbl>
      <w:tblPr>
        <w:tblW w:type="auto" w:w="0"/>
        <w:tblLayout w:type="fixed"/>
        <w:tblLook w:firstColumn="1" w:firstRow="1" w:lastColumn="0" w:lastRow="0" w:noHBand="0" w:noVBand="1" w:val="04A0"/>
      </w:tblPr>
      <w:tblGrid>
        <w:gridCol w:w="4819"/>
        <w:gridCol w:w="4819"/>
      </w:tblGrid>
      <w:tr>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OFERTA DEL PPA DE COMPRA</w:t>
            </w:r>
          </w:p>
          <w:p>
            <w:pPr>
              <w:spacing w:after="40"/>
            </w:pPr>
            <w:r>
              <w:rPr>
                <w:rFonts w:ascii="Georgia" w:hAnsi="Georgia"/>
                <w:b/>
                <w:color w:val="1A4A1A"/>
                <w:sz w:val="44"/>
              </w:rPr>
              <w:t>28</w:t>
            </w:r>
            <w:r>
              <w:rPr>
                <w:rFonts w:ascii="Arial" w:hAnsi="Arial"/>
                <w:color w:val="4A4A4A"/>
                <w:sz w:val="18"/>
              </w:rPr>
              <w:t xml:space="preserve">  USD/MWh</w:t>
            </w:r>
          </w:p>
          <w:p>
            <w:pPr>
              <w:spacing w:after="40"/>
            </w:pPr>
            <w:r>
              <w:rPr>
                <w:rFonts w:ascii="Arial" w:hAnsi="Arial"/>
                <w:color w:val="4A4A4A"/>
                <w:sz w:val="16"/>
              </w:rPr>
              <w:t>Precio fijo propuesto al proyecto.</w:t>
            </w:r>
          </w:p>
        </w:tc>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COSTO MARGINAL DEL NODO · 2026</w:t>
            </w:r>
          </w:p>
          <w:p>
            <w:pPr>
              <w:spacing w:after="40"/>
            </w:pPr>
            <w:r>
              <w:rPr>
                <w:rFonts w:ascii="Georgia" w:hAnsi="Georgia"/>
                <w:b/>
                <w:color w:val="1A4A1A"/>
                <w:sz w:val="44"/>
              </w:rPr>
              <w:t>44</w:t>
            </w:r>
            <w:r>
              <w:rPr>
                <w:rFonts w:ascii="Arial" w:hAnsi="Arial"/>
                <w:color w:val="4A4A4A"/>
                <w:sz w:val="18"/>
              </w:rPr>
              <w:t xml:space="preserve">  USD/MWh</w:t>
            </w:r>
          </w:p>
          <w:p>
            <w:pPr>
              <w:spacing w:after="40"/>
            </w:pPr>
            <w:r>
              <w:rPr>
                <w:rFonts w:ascii="Arial" w:hAnsi="Arial"/>
                <w:color w:val="4A4A4A"/>
                <w:sz w:val="16"/>
              </w:rPr>
              <w:t>Promedio anual 2026 (datos a ene–22 may).</w:t>
            </w:r>
          </w:p>
        </w:tc>
      </w:tr>
      <w:tr>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PROMEDIO EN BANDA SOLAR · 2026</w:t>
            </w:r>
          </w:p>
          <w:p>
            <w:pPr>
              <w:spacing w:after="40"/>
            </w:pPr>
            <w:r>
              <w:rPr>
                <w:rFonts w:ascii="Georgia" w:hAnsi="Georgia"/>
                <w:b/>
                <w:color w:val="1A4A1A"/>
                <w:sz w:val="44"/>
              </w:rPr>
              <w:t>17</w:t>
            </w:r>
            <w:r>
              <w:rPr>
                <w:rFonts w:ascii="Arial" w:hAnsi="Arial"/>
                <w:color w:val="4A4A4A"/>
                <w:sz w:val="18"/>
              </w:rPr>
              <w:t xml:space="preserve">  USD/MWh</w:t>
            </w:r>
          </w:p>
          <w:p>
            <w:pPr>
              <w:spacing w:after="40"/>
            </w:pPr>
            <w:r>
              <w:rPr>
                <w:rFonts w:ascii="Arial" w:hAnsi="Arial"/>
                <w:color w:val="4A4A4A"/>
                <w:sz w:val="16"/>
              </w:rPr>
              <w:t>Hora 09:00 a 17:59 — período de mayor consumo solar.</w:t>
            </w:r>
          </w:p>
        </w:tc>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HORAS REALES ANALIZADAS</w:t>
            </w:r>
          </w:p>
          <w:p>
            <w:pPr>
              <w:spacing w:after="40"/>
            </w:pPr>
            <w:r>
              <w:rPr>
                <w:rFonts w:ascii="Georgia" w:hAnsi="Georgia"/>
                <w:b/>
                <w:color w:val="1A4A1A"/>
                <w:sz w:val="44"/>
              </w:rPr>
              <w:t>38.064</w:t>
            </w:r>
            <w:r>
              <w:rPr>
                <w:rFonts w:ascii="Arial" w:hAnsi="Arial"/>
                <w:color w:val="4A4A4A"/>
                <w:sz w:val="18"/>
              </w:rPr>
              <w:t xml:space="preserve">  horas</w:t>
            </w:r>
          </w:p>
          <w:p>
            <w:pPr>
              <w:spacing w:after="40"/>
            </w:pPr>
            <w:r>
              <w:rPr>
                <w:rFonts w:ascii="Arial" w:hAnsi="Arial"/>
                <w:color w:val="4A4A4A"/>
                <w:sz w:val="16"/>
              </w:rPr>
              <w:t>Serie horaria 2022-01-01 a 2026-05-22.</w:t>
            </w:r>
          </w:p>
        </w:tc>
      </w:tr>
    </w:tbl>
    <w:p/>
    <w:p>
      <w:pPr>
        <w:pStyle w:val="RhoH2"/>
      </w:pPr>
      <w:r>
        <w:t>Hechos clave</w:t>
      </w:r>
    </w:p>
    <w:p>
      <w:pPr>
        <w:pStyle w:val="RhoBullet"/>
      </w:pPr>
      <w:r>
        <w:rPr>
          <w:rFonts w:ascii="Arial" w:hAnsi="Arial"/>
          <w:color w:val="1A1A1A"/>
          <w:sz w:val="20"/>
        </w:rPr>
        <w:t xml:space="preserve">•   </w:t>
      </w:r>
      <w:r>
        <w:rPr>
          <w:rFonts w:ascii="Arial" w:hAnsi="Arial"/>
          <w:b/>
          <w:color w:val="1A1A1A"/>
          <w:sz w:val="20"/>
        </w:rPr>
        <w:t>Desacople estructural.</w:t>
      </w:r>
      <w:r>
        <w:rPr>
          <w:rFonts w:ascii="Arial" w:hAnsi="Arial"/>
          <w:color w:val="1A1A1A"/>
          <w:sz w:val="20"/>
        </w:rPr>
        <w:t xml:space="preserve"> El promedio anual del nodo cae de 108 a </w:t>
      </w:r>
      <w:r>
        <w:rPr>
          <w:rFonts w:ascii="Arial" w:hAnsi="Arial"/>
          <w:b/>
          <w:color w:val="1A1A1A"/>
          <w:sz w:val="20"/>
        </w:rPr>
        <w:t>44 USD/MWh</w:t>
      </w:r>
      <w:r>
        <w:rPr>
          <w:rFonts w:ascii="Arial" w:hAnsi="Arial"/>
          <w:color w:val="1A1A1A"/>
          <w:sz w:val="20"/>
        </w:rPr>
        <w:t xml:space="preserve"> entre 2022 y 2026.</w:t>
      </w:r>
    </w:p>
    <w:p>
      <w:pPr>
        <w:pStyle w:val="RhoBullet"/>
      </w:pPr>
      <w:r>
        <w:rPr>
          <w:rFonts w:ascii="Arial" w:hAnsi="Arial"/>
          <w:color w:val="1A1A1A"/>
          <w:sz w:val="20"/>
        </w:rPr>
        <w:t xml:space="preserve">•   </w:t>
      </w:r>
      <w:r>
        <w:rPr>
          <w:rFonts w:ascii="Arial" w:hAnsi="Arial"/>
          <w:b/>
          <w:color w:val="1A1A1A"/>
          <w:sz w:val="20"/>
        </w:rPr>
        <w:t>Desacople en horas solares (09–17 h).</w:t>
      </w:r>
      <w:r>
        <w:rPr>
          <w:rFonts w:ascii="Arial" w:hAnsi="Arial"/>
          <w:color w:val="1A1A1A"/>
          <w:sz w:val="20"/>
        </w:rPr>
        <w:t xml:space="preserve"> En 2026, el promedio en esa franja es de </w:t>
      </w:r>
      <w:r>
        <w:rPr>
          <w:rFonts w:ascii="Arial" w:hAnsi="Arial"/>
          <w:b/>
          <w:color w:val="1A1A1A"/>
          <w:sz w:val="20"/>
        </w:rPr>
        <w:t>17 USD/MWh</w:t>
      </w:r>
      <w:r>
        <w:rPr>
          <w:rFonts w:ascii="Arial" w:hAnsi="Arial"/>
          <w:color w:val="1A1A1A"/>
          <w:sz w:val="20"/>
        </w:rPr>
        <w:t xml:space="preserve"> y </w:t>
      </w:r>
      <w:r>
        <w:rPr>
          <w:rFonts w:ascii="Arial" w:hAnsi="Arial"/>
          <w:b/>
          <w:color w:val="1A1A1A"/>
          <w:sz w:val="20"/>
        </w:rPr>
        <w:t>63%</w:t>
      </w:r>
      <w:r>
        <w:rPr>
          <w:rFonts w:ascii="Arial" w:hAnsi="Arial"/>
          <w:color w:val="1A1A1A"/>
          <w:sz w:val="20"/>
        </w:rPr>
        <w:t xml:space="preserve"> de las horas se transan en exactamente 0 USD/MWh.</w:t>
      </w:r>
    </w:p>
    <w:p>
      <w:pPr>
        <w:pStyle w:val="RhoBullet"/>
      </w:pPr>
      <w:r>
        <w:rPr>
          <w:rFonts w:ascii="Arial" w:hAnsi="Arial"/>
          <w:color w:val="1A1A1A"/>
          <w:sz w:val="20"/>
        </w:rPr>
        <w:t xml:space="preserve">•   </w:t>
      </w:r>
      <w:r>
        <w:rPr>
          <w:rFonts w:ascii="Arial" w:hAnsi="Arial"/>
          <w:b/>
          <w:color w:val="1A1A1A"/>
          <w:sz w:val="20"/>
        </w:rPr>
        <w:t>Ahorro medible vs. PPA.</w:t>
      </w:r>
      <w:r>
        <w:rPr>
          <w:rFonts w:ascii="Arial" w:hAnsi="Arial"/>
          <w:color w:val="1A1A1A"/>
          <w:sz w:val="20"/>
        </w:rPr>
        <w:t xml:space="preserve"> En 2026, el ahorro promedio en banda solar — max(0, 28 − spot) — alcanza </w:t>
      </w:r>
      <w:r>
        <w:rPr>
          <w:rFonts w:ascii="Arial" w:hAnsi="Arial"/>
          <w:b/>
          <w:color w:val="1A1A1A"/>
          <w:sz w:val="20"/>
        </w:rPr>
        <w:t>18 USD/MWh</w:t>
      </w:r>
      <w:r>
        <w:rPr>
          <w:rFonts w:ascii="Arial" w:hAnsi="Arial"/>
          <w:color w:val="1A1A1A"/>
          <w:sz w:val="20"/>
        </w:rPr>
        <w:t>.</w:t>
      </w:r>
    </w:p>
    <w:p>
      <w:pPr>
        <w:pStyle w:val="RhoBullet"/>
      </w:pPr>
      <w:r>
        <w:rPr>
          <w:rFonts w:ascii="Arial" w:hAnsi="Arial"/>
          <w:color w:val="1A1A1A"/>
          <w:sz w:val="20"/>
        </w:rPr>
        <w:t xml:space="preserve">•   </w:t>
      </w:r>
      <w:r>
        <w:rPr>
          <w:rFonts w:ascii="Arial" w:hAnsi="Arial"/>
          <w:b/>
          <w:color w:val="1A1A1A"/>
          <w:sz w:val="20"/>
        </w:rPr>
        <w:t>Horizonte 2030.</w:t>
      </w:r>
      <w:r>
        <w:rPr>
          <w:rFonts w:ascii="Arial" w:hAnsi="Arial"/>
          <w:color w:val="1A1A1A"/>
          <w:sz w:val="20"/>
        </w:rPr>
        <w:t xml:space="preserve"> Los refuerzos de transmisión previstos por el Coordinador y la CNE constituyen la ventana razonable para reevaluar la suscripción del PPA.</w:t>
      </w:r>
    </w:p>
    <w:p/>
    <w:tbl>
      <w:tblPr>
        <w:tblW w:type="auto" w:w="0"/>
        <w:tblLayout w:type="fixed"/>
        <w:tblLook w:firstColumn="1" w:firstRow="1" w:lastColumn="0" w:lastRow="0" w:noHBand="0" w:noVBand="1" w:val="04A0"/>
      </w:tblPr>
      <w:tblGrid>
        <w:gridCol w:w="9865"/>
      </w:tblGrid>
      <w:tr>
        <w:tc>
          <w:tcPr>
            <w:tcW w:type="dxa" w:w="9865"/>
            <w:shd w:val="clear" w:color="auto" w:fill="1A4A1A"/>
          </w:tcPr>
          <w:p>
            <w:pPr>
              <w:spacing w:after="0"/>
            </w:pPr>
            <w:r/>
            <w:r>
              <w:rPr>
                <w:rFonts w:ascii="Arial" w:hAnsi="Arial"/>
                <w:b/>
                <w:color w:val="FFFFFF"/>
                <w:sz w:val="18"/>
              </w:rPr>
              <w:t>RECOMENDACIÓN AL COMITÉ DE CRÉDITO</w:t>
            </w:r>
          </w:p>
        </w:tc>
      </w:tr>
    </w:tbl>
    <w:tbl>
      <w:tblPr>
        <w:tblW w:type="auto" w:w="0"/>
        <w:tblLayout w:type="fixed"/>
        <w:tblLook w:firstColumn="1" w:firstRow="1" w:lastColumn="0" w:lastRow="0" w:noHBand="0" w:noVBand="1" w:val="04A0"/>
      </w:tblPr>
      <w:tblGrid>
        <w:gridCol w:w="9865"/>
      </w:tblGrid>
      <w:tr>
        <w:tc>
          <w:tcPr>
            <w:tcW w:type="dxa" w:w="9865"/>
            <w:shd w:val="clear" w:color="auto" w:fill="F7F7F2"/>
            <w:tcBorders>
              <w:top w:val="single" w:sz="4" w:color="D8DDD3"/>
              <w:left w:val="single" w:sz="4" w:color="D8DDD3"/>
              <w:bottom w:val="single" w:sz="4" w:color="D8DDD3"/>
              <w:right w:val="single" w:sz="4" w:color="D8DDD3"/>
            </w:tcBorders>
          </w:tcPr>
          <w:p>
            <w:pPr>
              <w:jc w:val="both"/>
            </w:pPr>
            <w:r/>
            <w:r>
              <w:rPr>
                <w:rFonts w:ascii="Arial" w:hAnsi="Arial"/>
                <w:b/>
                <w:color w:val="1A1A1A"/>
                <w:sz w:val="20"/>
              </w:rPr>
              <w:t>Mantener el abastecimiento a costo spot</w:t>
            </w:r>
            <w:r>
              <w:rPr>
                <w:rFonts w:ascii="Arial" w:hAnsi="Arial"/>
                <w:color w:val="1A1A1A"/>
                <w:sz w:val="20"/>
              </w:rPr>
              <w:t xml:space="preserve"> y diferir la suscripción del PPA hasta la entrada en operación de los refuerzos de transmisión previstos para la zona (horizonte estimado: 2030).</w:t>
            </w:r>
          </w:p>
        </w:tc>
      </w:tr>
    </w:tbl>
    <w:p>
      <w:r>
        <w:br w:type="page"/>
      </w:r>
    </w:p>
    <w:p>
      <w:pPr>
        <w:pStyle w:val="RhoH1"/>
      </w:pPr>
      <w:r>
        <w:t>2.  Marco del análisis</w:t>
      </w:r>
    </w:p>
    <w:p>
      <w:pPr>
        <w:pStyle w:val="RhoH2"/>
      </w:pPr>
      <w:r>
        <w:t>2.1  Objetivo</w:t>
      </w:r>
    </w:p>
    <w:p>
      <w:pPr>
        <w:pStyle w:val="RhoBody"/>
      </w:pPr>
      <w:r>
        <w:t>Cuantificar la exposición del proyecto al precio del nodo Panimávida 13.2 kV y contrastarla con la oferta del PPA, para informar la decisión de cobertura.</w:t>
      </w:r>
    </w:p>
    <w:p>
      <w:pPr>
        <w:pStyle w:val="RhoH2"/>
      </w:pPr>
      <w:r>
        <w:t>2.2  Fuente de datos</w:t>
      </w:r>
    </w:p>
    <w:p>
      <w:pPr>
        <w:pStyle w:val="RhoBody"/>
      </w:pPr>
      <w:r>
        <w:t>Costos marginales horarios reales del Coordinador Eléctrico Nacional, versión Real Definitivo. Período: 2022-01-01 a 2026-05-22 (38.064 horas).</w:t>
      </w:r>
    </w:p>
    <w:p>
      <w:pPr>
        <w:pStyle w:val="RhoH2"/>
      </w:pPr>
      <w:r>
        <w:t>2.3  Alcance</w:t>
      </w:r>
    </w:p>
    <w:p>
      <w:pPr>
        <w:pStyle w:val="RhoBullet"/>
      </w:pPr>
      <w:r>
        <w:rPr>
          <w:rFonts w:ascii="Arial" w:hAnsi="Arial"/>
          <w:color w:val="1A1A1A"/>
          <w:sz w:val="20"/>
        </w:rPr>
        <w:t xml:space="preserve">•   </w:t>
      </w:r>
      <w:r>
        <w:rPr>
          <w:rFonts w:ascii="Arial" w:hAnsi="Arial"/>
          <w:color w:val="1A1A1A"/>
          <w:sz w:val="20"/>
        </w:rPr>
        <w:t>Reconstrucción anual y mensual del precio del nodo.</w:t>
      </w:r>
    </w:p>
    <w:p>
      <w:pPr>
        <w:pStyle w:val="RhoBullet"/>
      </w:pPr>
      <w:r>
        <w:rPr>
          <w:rFonts w:ascii="Arial" w:hAnsi="Arial"/>
          <w:color w:val="1A1A1A"/>
          <w:sz w:val="20"/>
        </w:rPr>
        <w:t xml:space="preserve">•   </w:t>
      </w:r>
      <w:r>
        <w:rPr>
          <w:rFonts w:ascii="Arial" w:hAnsi="Arial"/>
          <w:color w:val="1A1A1A"/>
          <w:sz w:val="20"/>
        </w:rPr>
        <w:t>Perfil intradiario y desacople en banda solar.</w:t>
      </w:r>
    </w:p>
    <w:p>
      <w:pPr>
        <w:pStyle w:val="RhoBullet"/>
      </w:pPr>
      <w:r>
        <w:rPr>
          <w:rFonts w:ascii="Arial" w:hAnsi="Arial"/>
          <w:color w:val="1A1A1A"/>
          <w:sz w:val="20"/>
        </w:rPr>
        <w:t xml:space="preserve">•   </w:t>
      </w:r>
      <w:r>
        <w:rPr>
          <w:rFonts w:ascii="Arial" w:hAnsi="Arial"/>
          <w:color w:val="1A1A1A"/>
          <w:sz w:val="20"/>
        </w:rPr>
        <w:t>Comparación spot vs. PPA y ahorro unitario.</w:t>
      </w:r>
    </w:p>
    <w:p>
      <w:pPr>
        <w:pStyle w:val="RhoBullet"/>
      </w:pPr>
      <w:r>
        <w:rPr>
          <w:rFonts w:ascii="Arial" w:hAnsi="Arial"/>
          <w:color w:val="1A1A1A"/>
          <w:sz w:val="20"/>
        </w:rPr>
        <w:t xml:space="preserve">•   </w:t>
      </w:r>
      <w:r>
        <w:rPr>
          <w:rFonts w:ascii="Arial" w:hAnsi="Arial"/>
          <w:color w:val="1A1A1A"/>
          <w:sz w:val="20"/>
        </w:rPr>
        <w:t>Sensibilidad sobre el precio del PPA.</w:t>
      </w:r>
    </w:p>
    <w:p>
      <w:pPr>
        <w:pStyle w:val="RhoBullet"/>
      </w:pPr>
      <w:r>
        <w:rPr>
          <w:rFonts w:ascii="Arial" w:hAnsi="Arial"/>
          <w:color w:val="1A1A1A"/>
          <w:sz w:val="20"/>
        </w:rPr>
        <w:t xml:space="preserve">•   </w:t>
      </w:r>
      <w:r>
        <w:rPr>
          <w:rFonts w:ascii="Arial" w:hAnsi="Arial"/>
          <w:color w:val="1A1A1A"/>
          <w:sz w:val="20"/>
        </w:rPr>
        <w:t>Catalizadores y riesgos asociados.</w:t>
      </w:r>
    </w:p>
    <w:p>
      <w:pPr>
        <w:pStyle w:val="RhoH1"/>
      </w:pPr>
      <w:r>
        <w:t>3.  Hechos clave — tabla resumen anual</w:t>
      </w:r>
    </w:p>
    <w:p>
      <w:pPr>
        <w:pStyle w:val="RhoBody"/>
      </w:pPr>
      <w:r>
        <w:t>Cifras recalculadas desde la serie horaria cruda, redondeadas a enteros.</w:t>
      </w:r>
    </w:p>
    <w:tbl>
      <w:tblPr>
        <w:tblW w:type="auto" w:w="0"/>
        <w:jc w:val="center"/>
        <w:tblLayout w:type="fixed"/>
        <w:tblLook w:firstColumn="1" w:firstRow="1" w:lastColumn="0" w:lastRow="0" w:noHBand="0" w:noVBand="1" w:val="04A0"/>
      </w:tblPr>
      <w:tblGrid>
        <w:gridCol w:w="1247"/>
        <w:gridCol w:w="1020"/>
        <w:gridCol w:w="794"/>
        <w:gridCol w:w="680"/>
        <w:gridCol w:w="680"/>
        <w:gridCol w:w="794"/>
        <w:gridCol w:w="794"/>
        <w:gridCol w:w="1077"/>
        <w:gridCol w:w="907"/>
        <w:gridCol w:w="1077"/>
      </w:tblGrid>
      <w:tr>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Año</w:t>
            </w:r>
          </w:p>
        </w:tc>
        <w:tc>
          <w:tcPr>
            <w:tcW w:type="dxa" w:w="102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Promedio</w:t>
            </w:r>
            <w:r>
              <w:br/>
            </w:r>
            <w:r>
              <w:rPr>
                <w:rFonts w:ascii="Arial" w:hAnsi="Arial"/>
                <w:b/>
                <w:color w:val="FFFFFF"/>
                <w:sz w:val="16"/>
              </w:rPr>
              <w:t>USD/MWh</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Mediana</w:t>
            </w:r>
          </w:p>
        </w:tc>
        <w:tc>
          <w:tcPr>
            <w:tcW w:type="dxa" w:w="68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Mín</w:t>
            </w:r>
          </w:p>
        </w:tc>
        <w:tc>
          <w:tcPr>
            <w:tcW w:type="dxa" w:w="68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Máx</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h = 0</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h &lt; 28</w:t>
            </w:r>
          </w:p>
        </w:tc>
        <w:tc>
          <w:tcPr>
            <w:tcW w:type="dxa" w:w="107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Prom. solar</w:t>
            </w:r>
            <w:r>
              <w:br/>
            </w:r>
            <w:r>
              <w:rPr>
                <w:rFonts w:ascii="Arial" w:hAnsi="Arial"/>
                <w:b/>
                <w:color w:val="FFFFFF"/>
                <w:sz w:val="16"/>
              </w:rPr>
              <w:t>USD/MWh</w:t>
            </w:r>
          </w:p>
        </w:tc>
        <w:tc>
          <w:tcPr>
            <w:tcW w:type="dxa" w:w="90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solar = 0</w:t>
            </w:r>
          </w:p>
        </w:tc>
        <w:tc>
          <w:tcPr>
            <w:tcW w:type="dxa" w:w="107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Ahorro solar</w:t>
            </w:r>
            <w:r>
              <w:br/>
            </w:r>
            <w:r>
              <w:rPr>
                <w:rFonts w:ascii="Arial" w:hAnsi="Arial"/>
                <w:b/>
                <w:color w:val="FFFFFF"/>
                <w:sz w:val="16"/>
              </w:rPr>
              <w:t>USD/MWh</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2022</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108</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101</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458</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19%</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21%</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64</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45%</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13</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2023</w:t>
            </w:r>
          </w:p>
        </w:tc>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79</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330</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31%</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34%</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32</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67%</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19</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2024</w:t>
            </w:r>
            <w:r>
              <w:br/>
            </w:r>
            <w:r>
              <w:rPr>
                <w:rFonts w:ascii="Arial" w:hAnsi="Arial"/>
                <w:color w:val="1A1A1A"/>
                <w:sz w:val="16"/>
              </w:rPr>
              <w:t>(sin 15–31 jul)</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47</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55</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462</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36%</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41%</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15</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79%</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22</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2025</w:t>
            </w:r>
          </w:p>
        </w:tc>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63</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577</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25%</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29%</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36</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56%</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16</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2026</w:t>
            </w:r>
            <w:r>
              <w:br/>
            </w:r>
            <w:r>
              <w:rPr>
                <w:rFonts w:ascii="Arial" w:hAnsi="Arial"/>
                <w:color w:val="1A1A1A"/>
                <w:sz w:val="16"/>
              </w:rPr>
              <w:t>(ene–22 may)</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44</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51</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272</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27%</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32%</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17</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63%</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18</w:t>
            </w:r>
          </w:p>
        </w:tc>
      </w:tr>
    </w:tbl>
    <w:p>
      <w:pPr>
        <w:pStyle w:val="RhoNote"/>
      </w:pPr>
      <w:r>
        <w:t>Cifras recalculadas desde la serie horaria cruda (Datos_CMg). Regla única de redondeo: precios y porcentajes a enteros.</w:t>
      </w:r>
    </w:p>
    <w:p>
      <w:r>
        <w:br w:type="page"/>
      </w:r>
    </w:p>
    <w:p>
      <w:pPr>
        <w:pStyle w:val="RhoH1"/>
      </w:pPr>
      <w:r>
        <w:t>4.  Evidencia cuantitativa</w:t>
      </w:r>
    </w:p>
    <w:p>
      <w:pPr>
        <w:pStyle w:val="RhoH2"/>
      </w:pPr>
      <w:r>
        <w:t>4.1  Tendencia mensual del precio del nodo</w:t>
      </w:r>
    </w:p>
    <w:p>
      <w:pPr>
        <w:spacing w:before="40" w:after="40"/>
        <w:jc w:val="center"/>
      </w:pPr>
      <w:r>
        <w:drawing>
          <wp:inline xmlns:a="http://schemas.openxmlformats.org/drawingml/2006/main" xmlns:pic="http://schemas.openxmlformats.org/drawingml/2006/picture">
            <wp:extent cx="5760000" cy="1939309"/>
            <wp:docPr id="2" name="Picture 2"/>
            <wp:cNvGraphicFramePr>
              <a:graphicFrameLocks noChangeAspect="1"/>
            </wp:cNvGraphicFramePr>
            <a:graphic>
              <a:graphicData uri="http://schemas.openxmlformats.org/drawingml/2006/picture">
                <pic:pic>
                  <pic:nvPicPr>
                    <pic:cNvPr id="0" name="g1_mensual.png"/>
                    <pic:cNvPicPr/>
                  </pic:nvPicPr>
                  <pic:blipFill>
                    <a:blip r:embed="rId13"/>
                    <a:stretch>
                      <a:fillRect/>
                    </a:stretch>
                  </pic:blipFill>
                  <pic:spPr>
                    <a:xfrm>
                      <a:off x="0" y="0"/>
                      <a:ext cx="5760000" cy="1939309"/>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El promedio mensual cruza por debajo de la oferta del PPA (28 USD/MWh) durante una fracción creciente del año desde 2023. El promedio anual baja de </w:t>
      </w:r>
      <w:r>
        <w:rPr>
          <w:rFonts w:ascii="Arial" w:hAnsi="Arial"/>
          <w:b/>
          <w:i/>
          <w:color w:val="4A4A4A"/>
          <w:sz w:val="18"/>
        </w:rPr>
        <w:t>108 a 44 USD/MWh</w:t>
      </w:r>
      <w:r>
        <w:rPr>
          <w:rFonts w:ascii="Arial" w:hAnsi="Arial"/>
          <w:i/>
          <w:color w:val="4A4A4A"/>
          <w:sz w:val="18"/>
        </w:rPr>
        <w:t xml:space="preserve"> entre 2022 y 2026.</w:t>
      </w:r>
    </w:p>
    <w:p>
      <w:pPr>
        <w:pStyle w:val="RhoH2"/>
      </w:pPr>
      <w:r>
        <w:t>4.2  Perfil intradiario del precio por año (gráfico héroe)</w:t>
      </w:r>
    </w:p>
    <w:p>
      <w:pPr>
        <w:spacing w:before="40" w:after="40"/>
        <w:jc w:val="center"/>
      </w:pPr>
      <w:r>
        <w:drawing>
          <wp:inline xmlns:a="http://schemas.openxmlformats.org/drawingml/2006/main" xmlns:pic="http://schemas.openxmlformats.org/drawingml/2006/picture">
            <wp:extent cx="5940000" cy="2202501"/>
            <wp:docPr id="3" name="Picture 3"/>
            <wp:cNvGraphicFramePr>
              <a:graphicFrameLocks noChangeAspect="1"/>
            </wp:cNvGraphicFramePr>
            <a:graphic>
              <a:graphicData uri="http://schemas.openxmlformats.org/drawingml/2006/picture">
                <pic:pic>
                  <pic:nvPicPr>
                    <pic:cNvPr id="0" name="g2_perfil_precio.png"/>
                    <pic:cNvPicPr/>
                  </pic:nvPicPr>
                  <pic:blipFill>
                    <a:blip r:embed="rId14"/>
                    <a:stretch>
                      <a:fillRect/>
                    </a:stretch>
                  </pic:blipFill>
                  <pic:spPr>
                    <a:xfrm>
                      <a:off x="0" y="0"/>
                      <a:ext cx="5940000" cy="2202501"/>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En la banda solar (09–17 h), el precio del nodo se sitúa por debajo de la oferta del PPA en todos los años — entre </w:t>
      </w:r>
      <w:r>
        <w:rPr>
          <w:rFonts w:ascii="Arial" w:hAnsi="Arial"/>
          <w:b/>
          <w:i/>
          <w:color w:val="4A4A4A"/>
          <w:sz w:val="18"/>
        </w:rPr>
        <w:t>15 y 64 USD/MWh</w:t>
      </w:r>
      <w:r>
        <w:rPr>
          <w:rFonts w:ascii="Arial" w:hAnsi="Arial"/>
          <w:i/>
          <w:color w:val="4A4A4A"/>
          <w:sz w:val="18"/>
        </w:rPr>
        <w:t xml:space="preserve"> según el año.</w:t>
      </w:r>
    </w:p>
    <w:p>
      <w:r>
        <w:br w:type="page"/>
      </w:r>
    </w:p>
    <w:p>
      <w:pPr>
        <w:pStyle w:val="RhoH2"/>
      </w:pPr>
      <w:r>
        <w:t>4.3  Ahorro económico del spot frente al PPA, por hora</w:t>
      </w:r>
    </w:p>
    <w:p>
      <w:pPr>
        <w:spacing w:before="40" w:after="40"/>
        <w:jc w:val="center"/>
      </w:pPr>
      <w:r>
        <w:drawing>
          <wp:inline xmlns:a="http://schemas.openxmlformats.org/drawingml/2006/main" xmlns:pic="http://schemas.openxmlformats.org/drawingml/2006/picture">
            <wp:extent cx="5760000" cy="2135759"/>
            <wp:docPr id="4" name="Picture 4"/>
            <wp:cNvGraphicFramePr>
              <a:graphicFrameLocks noChangeAspect="1"/>
            </wp:cNvGraphicFramePr>
            <a:graphic>
              <a:graphicData uri="http://schemas.openxmlformats.org/drawingml/2006/picture">
                <pic:pic>
                  <pic:nvPicPr>
                    <pic:cNvPr id="0" name="g3_ahorro.png"/>
                    <pic:cNvPicPr/>
                  </pic:nvPicPr>
                  <pic:blipFill>
                    <a:blip r:embed="rId15"/>
                    <a:stretch>
                      <a:fillRect/>
                    </a:stretch>
                  </pic:blipFill>
                  <pic:spPr>
                    <a:xfrm>
                      <a:off x="0" y="0"/>
                      <a:ext cx="5760000" cy="2135759"/>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El ahorro unitario — max(0, 28 − spot) — se concentra en banda solar. En </w:t>
      </w:r>
      <w:r>
        <w:rPr>
          <w:rFonts w:ascii="Arial" w:hAnsi="Arial"/>
          <w:b/>
          <w:i/>
          <w:color w:val="4A4A4A"/>
          <w:sz w:val="18"/>
        </w:rPr>
        <w:t>2024</w:t>
      </w:r>
      <w:r>
        <w:rPr>
          <w:rFonts w:ascii="Arial" w:hAnsi="Arial"/>
          <w:i/>
          <w:color w:val="4A4A4A"/>
          <w:sz w:val="18"/>
        </w:rPr>
        <w:t xml:space="preserve"> alcanzó </w:t>
      </w:r>
      <w:r>
        <w:rPr>
          <w:rFonts w:ascii="Arial" w:hAnsi="Arial"/>
          <w:b/>
          <w:i/>
          <w:color w:val="4A4A4A"/>
          <w:sz w:val="18"/>
        </w:rPr>
        <w:t>22 USD/MWh</w:t>
      </w:r>
      <w:r>
        <w:rPr>
          <w:rFonts w:ascii="Arial" w:hAnsi="Arial"/>
          <w:i/>
          <w:color w:val="4A4A4A"/>
          <w:sz w:val="18"/>
        </w:rPr>
        <w:t xml:space="preserve">; en 2026, </w:t>
      </w:r>
      <w:r>
        <w:rPr>
          <w:rFonts w:ascii="Arial" w:hAnsi="Arial"/>
          <w:b/>
          <w:i/>
          <w:color w:val="4A4A4A"/>
          <w:sz w:val="18"/>
        </w:rPr>
        <w:t>18 USD/MWh</w:t>
      </w:r>
      <w:r>
        <w:rPr>
          <w:rFonts w:ascii="Arial" w:hAnsi="Arial"/>
          <w:i/>
          <w:color w:val="4A4A4A"/>
          <w:sz w:val="18"/>
        </w:rPr>
        <w:t>.</w:t>
      </w:r>
    </w:p>
    <w:p>
      <w:pPr>
        <w:pStyle w:val="RhoH2"/>
      </w:pPr>
      <w:r>
        <w:t>4.4  Mapa de calor del precio (USD/MWh)</w:t>
      </w:r>
    </w:p>
    <w:p>
      <w:pPr>
        <w:spacing w:before="40" w:after="40"/>
        <w:jc w:val="center"/>
      </w:pPr>
      <w:r>
        <w:drawing>
          <wp:inline xmlns:a="http://schemas.openxmlformats.org/drawingml/2006/main" xmlns:pic="http://schemas.openxmlformats.org/drawingml/2006/picture">
            <wp:extent cx="5940000" cy="2176091"/>
            <wp:docPr id="5" name="Picture 5"/>
            <wp:cNvGraphicFramePr>
              <a:graphicFrameLocks noChangeAspect="1"/>
            </wp:cNvGraphicFramePr>
            <a:graphic>
              <a:graphicData uri="http://schemas.openxmlformats.org/drawingml/2006/picture">
                <pic:pic>
                  <pic:nvPicPr>
                    <pic:cNvPr id="0" name="g4_heatmap_precio.png"/>
                    <pic:cNvPicPr/>
                  </pic:nvPicPr>
                  <pic:blipFill>
                    <a:blip r:embed="rId16"/>
                    <a:stretch>
                      <a:fillRect/>
                    </a:stretch>
                  </pic:blipFill>
                  <pic:spPr>
                    <a:xfrm>
                      <a:off x="0" y="0"/>
                      <a:ext cx="5940000" cy="2176091"/>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Los tonos verdes — precios por debajo de la oferta del PPA — dominan la banda solar de manera estable desde 2023. Ese bloque verde es la ventana económica del proyecto.</w:t>
      </w:r>
    </w:p>
    <w:p>
      <w:r>
        <w:br w:type="page"/>
      </w:r>
    </w:p>
    <w:p>
      <w:pPr>
        <w:pStyle w:val="RhoH1"/>
      </w:pPr>
      <w:r>
        <w:t>5.  Análisis de sensibilidad sobre el precio del PPA</w:t>
      </w:r>
    </w:p>
    <w:p>
      <w:pPr>
        <w:pStyle w:val="RhoBody"/>
      </w:pPr>
      <w:r>
        <w:t>Ahorro promedio en banda solar bajo precios alternativos de PPA. La sensibilidad es positiva en todos los escenarios: la conclusión es robusta ante una renegociación moderada.</w:t>
      </w:r>
    </w:p>
    <w:tbl>
      <w:tblPr>
        <w:tblW w:type="auto" w:w="0"/>
        <w:jc w:val="center"/>
        <w:tblLayout w:type="fixed"/>
        <w:tblLook w:firstColumn="1" w:firstRow="1" w:lastColumn="0" w:lastRow="0" w:noHBand="0" w:noVBand="1" w:val="04A0"/>
      </w:tblPr>
      <w:tblGrid>
        <w:gridCol w:w="1247"/>
        <w:gridCol w:w="1474"/>
        <w:gridCol w:w="1474"/>
        <w:gridCol w:w="1474"/>
        <w:gridCol w:w="1474"/>
        <w:gridCol w:w="1474"/>
      </w:tblGrid>
      <w:tr>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Año</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22</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25</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28</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30</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34</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2022</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10</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12</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13</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16</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2023</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15</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17</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19</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21</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23</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18</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22</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27</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2025</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13</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15</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16</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18</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2026</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16</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18</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23</w:t>
            </w:r>
          </w:p>
        </w:tc>
      </w:tr>
    </w:tbl>
    <w:p>
      <w:pPr>
        <w:pStyle w:val="RhoNote"/>
      </w:pPr>
      <w:r>
        <w:t>Ahorro promedio en banda solar (09–17 h) = max(0, P − spot). Columna destacada: oferta vigente del PPA (28 USD/MWh).</w:t>
      </w:r>
    </w:p>
    <w:p>
      <w:pPr>
        <w:pStyle w:val="RhoH1"/>
      </w:pPr>
      <w:r>
        <w:t>6.  Marco regulatorio y horizonte 2030</w:t>
      </w:r>
    </w:p>
    <w:p>
      <w:pPr>
        <w:pStyle w:val="RhoH2"/>
      </w:pPr>
      <w:r>
        <w:t>6.1  Marco institucional</w:t>
      </w:r>
    </w:p>
    <w:p>
      <w:pPr>
        <w:pStyle w:val="RhoBody"/>
      </w:pPr>
      <w:r>
        <w:t>El Coordinador Eléctrico Nacional determina los costos marginales por nodo. La CNE publica los planes de expansión de transmisión, que identifican refuerzos previstos para la zona con entrada en operación esperable hacia 2030.</w:t>
      </w:r>
    </w:p>
    <w:p>
      <w:pPr>
        <w:pStyle w:val="RhoH2"/>
      </w:pPr>
      <w:r>
        <w:t>6.2  Horizonte de revisión</w:t>
      </w:r>
    </w:p>
    <w:p>
      <w:pPr>
        <w:pStyle w:val="RhoBody"/>
      </w:pPr>
      <w:r>
        <w:rPr>
          <w:rFonts w:ascii="Arial" w:hAnsi="Arial"/>
          <w:color w:val="1A1A1A"/>
          <w:sz w:val="20"/>
        </w:rPr>
        <w:t xml:space="preserve">La suscripción del PPA resultará económicamente atractiva cuando el precio del nodo se recomponga por encima de la oferta. Ese escenario es plausible a partir de los refuerzos de transmisión, pero </w:t>
      </w:r>
      <w:r>
        <w:rPr>
          <w:rFonts w:ascii="Arial" w:hAnsi="Arial"/>
          <w:i/>
          <w:color w:val="1A1A1A"/>
          <w:sz w:val="20"/>
        </w:rPr>
        <w:t>no verificable como certeza al cierre del análisis</w:t>
      </w:r>
      <w:r>
        <w:rPr>
          <w:rFonts w:ascii="Arial" w:hAnsi="Arial"/>
          <w:color w:val="1A1A1A"/>
          <w:sz w:val="20"/>
        </w:rPr>
        <w:t>.</w:t>
      </w:r>
    </w:p>
    <w:p>
      <w:r>
        <w:br w:type="page"/>
      </w:r>
    </w:p>
    <w:p>
      <w:pPr>
        <w:pStyle w:val="RhoH1"/>
      </w:pPr>
      <w:r>
        <w:t>7.  Recomendación al Comité de Crédito</w:t>
      </w:r>
    </w:p>
    <w:p>
      <w:pPr>
        <w:pStyle w:val="RhoBullet"/>
      </w:pPr>
      <w:r>
        <w:rPr>
          <w:rFonts w:ascii="Arial" w:hAnsi="Arial"/>
          <w:color w:val="1A1A1A"/>
          <w:sz w:val="20"/>
        </w:rPr>
        <w:t xml:space="preserve">•   </w:t>
      </w:r>
      <w:r>
        <w:rPr>
          <w:rFonts w:ascii="Arial" w:hAnsi="Arial"/>
          <w:b/>
          <w:color w:val="1A1A1A"/>
          <w:sz w:val="20"/>
        </w:rPr>
        <w:t>No suscribir</w:t>
      </w:r>
      <w:r>
        <w:rPr>
          <w:rFonts w:ascii="Arial" w:hAnsi="Arial"/>
          <w:color w:val="1A1A1A"/>
          <w:sz w:val="20"/>
        </w:rPr>
        <w:t xml:space="preserve"> la oferta de PPA a 28 USD/MWh en las condiciones actuales del nodo.</w:t>
      </w:r>
    </w:p>
    <w:p>
      <w:pPr>
        <w:pStyle w:val="RhoBullet"/>
      </w:pPr>
      <w:r>
        <w:rPr>
          <w:rFonts w:ascii="Arial" w:hAnsi="Arial"/>
          <w:color w:val="1A1A1A"/>
          <w:sz w:val="20"/>
        </w:rPr>
        <w:t xml:space="preserve">•   </w:t>
      </w:r>
      <w:r>
        <w:rPr>
          <w:rFonts w:ascii="Arial" w:hAnsi="Arial"/>
          <w:b/>
          <w:color w:val="1A1A1A"/>
          <w:sz w:val="20"/>
        </w:rPr>
        <w:t>Abastecerse a costo spot</w:t>
      </w:r>
      <w:r>
        <w:rPr>
          <w:rFonts w:ascii="Arial" w:hAnsi="Arial"/>
          <w:color w:val="1A1A1A"/>
          <w:sz w:val="20"/>
        </w:rPr>
        <w:t xml:space="preserve"> mientras persista el desacople, preservando el costo unitario del proyecto.</w:t>
      </w:r>
    </w:p>
    <w:p>
      <w:pPr>
        <w:pStyle w:val="RhoBullet"/>
      </w:pPr>
      <w:r>
        <w:rPr>
          <w:rFonts w:ascii="Arial" w:hAnsi="Arial"/>
          <w:color w:val="1A1A1A"/>
          <w:sz w:val="20"/>
        </w:rPr>
        <w:t xml:space="preserve">•   </w:t>
      </w:r>
      <w:r>
        <w:rPr>
          <w:rFonts w:ascii="Arial" w:hAnsi="Arial"/>
          <w:b/>
          <w:color w:val="1A1A1A"/>
          <w:sz w:val="20"/>
        </w:rPr>
        <w:t>Reevaluar hacia 2030</w:t>
      </w:r>
      <w:r>
        <w:rPr>
          <w:rFonts w:ascii="Arial" w:hAnsi="Arial"/>
          <w:color w:val="1A1A1A"/>
          <w:sz w:val="20"/>
        </w:rPr>
        <w:t>, condicionado a la entrada en operación de los refuerzos de transmisión.</w:t>
      </w:r>
    </w:p>
    <w:p>
      <w:pPr>
        <w:pStyle w:val="RhoBullet"/>
      </w:pPr>
      <w:r>
        <w:rPr>
          <w:rFonts w:ascii="Arial" w:hAnsi="Arial"/>
          <w:color w:val="1A1A1A"/>
          <w:sz w:val="20"/>
        </w:rPr>
        <w:t xml:space="preserve">•   </w:t>
      </w:r>
      <w:r>
        <w:rPr>
          <w:rFonts w:ascii="Arial" w:hAnsi="Arial"/>
          <w:b/>
          <w:color w:val="1A1A1A"/>
          <w:sz w:val="20"/>
        </w:rPr>
        <w:t>Monitorear trimestralmente</w:t>
      </w:r>
      <w:r>
        <w:rPr>
          <w:rFonts w:ascii="Arial" w:hAnsi="Arial"/>
          <w:color w:val="1A1A1A"/>
          <w:sz w:val="20"/>
        </w:rPr>
        <w:t xml:space="preserve"> los indicadores nodales para detectar tempranamente cualquier inflexión que adelante la decisión.</w:t>
      </w:r>
    </w:p>
    <w:p>
      <w:pPr>
        <w:pStyle w:val="RhoH1"/>
      </w:pPr>
      <w:r>
        <w:t>8.  Riesgos identificados y mitigantes</w:t>
      </w:r>
    </w:p>
    <w:tbl>
      <w:tblPr>
        <w:tblW w:type="auto" w:w="0"/>
        <w:tblLayout w:type="fixed"/>
        <w:tblLook w:firstColumn="1" w:firstRow="1" w:lastColumn="0" w:lastRow="0" w:noHBand="0" w:noVBand="1" w:val="04A0"/>
      </w:tblPr>
      <w:tblGrid>
        <w:gridCol w:w="2494"/>
        <w:gridCol w:w="3628"/>
        <w:gridCol w:w="3742"/>
      </w:tblGrid>
      <w:tr>
        <w:tc>
          <w:tcPr>
            <w:tcW w:type="dxa" w:w="2494"/>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Riesgo</w:t>
            </w:r>
          </w:p>
        </w:tc>
        <w:tc>
          <w:tcPr>
            <w:tcW w:type="dxa" w:w="3628"/>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Descripción</w:t>
            </w:r>
          </w:p>
        </w:tc>
        <w:tc>
          <w:tcPr>
            <w:tcW w:type="dxa" w:w="3742"/>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Mitigante</w:t>
            </w:r>
          </w:p>
        </w:tc>
      </w:tr>
      <w:tr>
        <w:tc>
          <w:tcPr>
            <w:tcW w:type="dxa" w:w="2494"/>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Recomposición anticipada del nodo</w:t>
            </w:r>
          </w:p>
        </w:tc>
        <w:tc>
          <w:tcPr>
            <w:tcW w:type="dxa" w:w="3628"/>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El precio del nodo podría subir antes de 2030 si los refuerzos de transmisión se adelantan.</w:t>
            </w:r>
          </w:p>
        </w:tc>
        <w:tc>
          <w:tcPr>
            <w:tcW w:type="dxa" w:w="3742"/>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Monitoreo trimestral. Reevaluación formal si el promedio anual supera 22 USD/MWh por dos trimestres.</w:t>
            </w:r>
          </w:p>
        </w:tc>
      </w:tr>
      <w:tr>
        <w:tc>
          <w:tcPr>
            <w:tcW w:type="dxa" w:w="2494"/>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Retiro de la oferta del PPA</w:t>
            </w:r>
          </w:p>
        </w:tc>
        <w:tc>
          <w:tcPr>
            <w:tcW w:type="dxa" w:w="3628"/>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La contraparte podría retirar o modificar la oferta.</w:t>
            </w:r>
          </w:p>
        </w:tc>
        <w:tc>
          <w:tcPr>
            <w:tcW w:type="dxa" w:w="3742"/>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Mantener canal abierto y disposición a revisar la propuesta bajo nuevos parámetros.</w:t>
            </w:r>
          </w:p>
        </w:tc>
      </w:tr>
      <w:tr>
        <w:tc>
          <w:tcPr>
            <w:tcW w:type="dxa" w:w="2494"/>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Cambios regulatorios</w:t>
            </w:r>
          </w:p>
        </w:tc>
        <w:tc>
          <w:tcPr>
            <w:tcW w:type="dxa" w:w="3628"/>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Modificaciones normativas podrían alterar el comportamiento del costo marginal.</w:t>
            </w:r>
          </w:p>
        </w:tc>
        <w:tc>
          <w:tcPr>
            <w:tcW w:type="dxa" w:w="3742"/>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Seguimiento del marco Coordinador / CNE y reevaluación ante anuncios materiales.</w:t>
            </w:r>
          </w:p>
        </w:tc>
      </w:tr>
      <w:tr>
        <w:tc>
          <w:tcPr>
            <w:tcW w:type="dxa" w:w="2494"/>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Volatilidad operacional</w:t>
            </w:r>
          </w:p>
        </w:tc>
        <w:tc>
          <w:tcPr>
            <w:tcW w:type="dxa" w:w="3628"/>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Hidrología o fallas pueden subir el precio en horas no solares, sin alterar el patrón estructural.</w:t>
            </w:r>
          </w:p>
        </w:tc>
        <w:tc>
          <w:tcPr>
            <w:tcW w:type="dxa" w:w="3742"/>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Análisis basado en 38.064 horas agregadas — los eventos puntuales se diluyen.</w:t>
            </w:r>
          </w:p>
        </w:tc>
      </w:tr>
    </w:tbl>
    <w:p>
      <w:r>
        <w:br w:type="page"/>
      </w:r>
    </w:p>
    <w:p>
      <w:pPr>
        <w:pStyle w:val="RhoH1"/>
      </w:pPr>
      <w:r>
        <w:t>9.  Metodología y limitaciones</w:t>
      </w:r>
    </w:p>
    <w:p>
      <w:pPr>
        <w:pStyle w:val="RhoBody"/>
      </w:pPr>
      <w:r>
        <w:rPr>
          <w:rFonts w:ascii="Arial" w:hAnsi="Arial"/>
          <w:color w:val="1A1A1A"/>
          <w:sz w:val="20"/>
        </w:rPr>
        <w:t xml:space="preserve">Toda métrica se recalcula desde la serie horaria cruda </w:t>
      </w:r>
      <w:r>
        <w:rPr>
          <w:rFonts w:ascii="Arial" w:hAnsi="Arial"/>
          <w:b/>
          <w:color w:val="1A1A1A"/>
          <w:sz w:val="20"/>
        </w:rPr>
        <w:t>Datos_CMg</w:t>
      </w:r>
      <w:r>
        <w:rPr>
          <w:rFonts w:ascii="Arial" w:hAnsi="Arial"/>
          <w:color w:val="1A1A1A"/>
          <w:sz w:val="20"/>
        </w:rPr>
        <w:t xml:space="preserve"> del Coordinador Eléctrico Nacional (versión Real Definitivo).</w:t>
      </w:r>
    </w:p>
    <w:p>
      <w:pPr>
        <w:pStyle w:val="RhoBullet"/>
      </w:pPr>
      <w:r>
        <w:rPr>
          <w:rFonts w:ascii="Arial" w:hAnsi="Arial"/>
          <w:color w:val="1A1A1A"/>
          <w:sz w:val="20"/>
        </w:rPr>
        <w:t xml:space="preserve">•   </w:t>
      </w:r>
      <w:r>
        <w:rPr>
          <w:rFonts w:ascii="Arial" w:hAnsi="Arial"/>
          <w:color w:val="1A1A1A"/>
          <w:sz w:val="20"/>
        </w:rPr>
        <w:t>Período: 2022-01-01 a 2026-05-22 (38.064 horas).</w:t>
      </w:r>
    </w:p>
    <w:p>
      <w:pPr>
        <w:pStyle w:val="RhoBullet"/>
      </w:pPr>
      <w:r>
        <w:rPr>
          <w:rFonts w:ascii="Arial" w:hAnsi="Arial"/>
          <w:color w:val="1A1A1A"/>
          <w:sz w:val="20"/>
        </w:rPr>
        <w:t xml:space="preserve">•   </w:t>
      </w:r>
      <w:r>
        <w:rPr>
          <w:rFonts w:ascii="Arial" w:hAnsi="Arial"/>
          <w:color w:val="1A1A1A"/>
          <w:sz w:val="20"/>
        </w:rPr>
        <w:t>Horas en formato 0–23. Banda solar: 09:00 a 17:59 (inclusivo).</w:t>
      </w:r>
    </w:p>
    <w:p>
      <w:pPr>
        <w:pStyle w:val="RhoBullet"/>
      </w:pPr>
      <w:r>
        <w:rPr>
          <w:rFonts w:ascii="Arial" w:hAnsi="Arial"/>
          <w:color w:val="1A1A1A"/>
          <w:sz w:val="20"/>
        </w:rPr>
        <w:t xml:space="preserve">•   </w:t>
      </w:r>
      <w:r>
        <w:rPr>
          <w:rFonts w:ascii="Arial" w:hAnsi="Arial"/>
          <w:color w:val="1A1A1A"/>
          <w:sz w:val="20"/>
        </w:rPr>
        <w:t>Redondeo: precios y porcentajes a enteros.</w:t>
      </w:r>
    </w:p>
    <w:p>
      <w:pPr>
        <w:pStyle w:val="RhoBullet"/>
      </w:pPr>
      <w:r>
        <w:rPr>
          <w:rFonts w:ascii="Arial" w:hAnsi="Arial"/>
          <w:color w:val="1A1A1A"/>
          <w:sz w:val="20"/>
        </w:rPr>
        <w:t xml:space="preserve">•   </w:t>
      </w:r>
      <w:r>
        <w:rPr>
          <w:rFonts w:ascii="Arial" w:hAnsi="Arial"/>
          <w:color w:val="1A1A1A"/>
          <w:sz w:val="20"/>
        </w:rPr>
        <w:t>Ahorro unitario: max(0, P − spot).</w:t>
      </w:r>
    </w:p>
    <w:p>
      <w:pPr>
        <w:pStyle w:val="RhoBullet"/>
      </w:pPr>
      <w:r>
        <w:rPr>
          <w:rFonts w:ascii="Arial" w:hAnsi="Arial"/>
          <w:color w:val="1A1A1A"/>
          <w:sz w:val="20"/>
        </w:rPr>
        <w:t xml:space="preserve">•   </w:t>
      </w:r>
      <w:r>
        <w:rPr>
          <w:rFonts w:ascii="Arial" w:hAnsi="Arial"/>
          <w:color w:val="1A1A1A"/>
          <w:sz w:val="20"/>
        </w:rPr>
        <w:t>Vacíos de serie: 2024 sin 15–31 jul (dato no publicado) · 2026 hasta 22 may.</w:t>
      </w:r>
    </w:p>
    <w:p>
      <w:pPr>
        <w:pStyle w:val="RhoBullet"/>
      </w:pPr>
      <w:r>
        <w:rPr>
          <w:rFonts w:ascii="Arial" w:hAnsi="Arial"/>
          <w:color w:val="1A1A1A"/>
          <w:sz w:val="20"/>
        </w:rPr>
        <w:t xml:space="preserve">•   </w:t>
      </w:r>
      <w:r>
        <w:rPr>
          <w:rFonts w:ascii="Arial" w:hAnsi="Arial"/>
          <w:color w:val="1A1A1A"/>
          <w:sz w:val="20"/>
        </w:rPr>
        <w:t>Análisis histórico; no es proyección determinista. El escenario 2030 está condicionado a los refuerzos de transmisión.</w:t>
      </w:r>
    </w:p>
    <w:p>
      <w:pPr>
        <w:pStyle w:val="RhoH1"/>
      </w:pPr>
      <w:r>
        <w:t>10.  Glosario</w:t>
      </w:r>
    </w:p>
    <w:tbl>
      <w:tblPr>
        <w:tblW w:type="auto" w:w="0"/>
        <w:tblLayout w:type="fixed"/>
        <w:tblLook w:firstColumn="1" w:firstRow="1" w:lastColumn="0" w:lastRow="0" w:noHBand="0" w:noVBand="1" w:val="04A0"/>
      </w:tblPr>
      <w:tblGrid>
        <w:gridCol w:w="2608"/>
        <w:gridCol w:w="7257"/>
      </w:tblGrid>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Costo marginal / spot</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Precio horario de la energía en un nodo, según la última unidad despachada.</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PPA de compra</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Contrato de adquisición de energía a precio fijo por un plazo. Aquí, oferta a 28 USD/MWh.</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Nodo</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Punto del sistema con costo marginal propio. Aquí, BA S/E Panimávida 13.2 kV (BP1).</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Desacople</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Diferencial sostenido del precio de un nodo respecto del sistema, por restricciones de transmisión.</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Banda solar</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09:00 a 17:59 (hora-reloj): franja en la que la solar domina la oferta y el precio tiende a cero.</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Refuerzos de transmisión</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Obras que reducen restricciones y recomponen los precios nodales.</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Coordinador / CNE</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Coordinador Eléctrico Nacional (operador) y Comisión Nacional de Energía (regulador).</w:t>
            </w:r>
          </w:p>
        </w:tc>
      </w:tr>
    </w:tbl>
    <w:p>
      <w:r>
        <w:br w:type="page"/>
      </w:r>
    </w:p>
    <w:p>
      <w:pPr>
        <w:pStyle w:val="RhoH1"/>
      </w:pPr>
      <w:r>
        <w:t>Anexo A.  Frecuencia de horas con CMg = 0 USD/MWh (vista complementaria)</w:t>
      </w:r>
    </w:p>
    <w:p>
      <w:pPr>
        <w:pStyle w:val="RhoBody"/>
      </w:pPr>
      <w:r>
        <w:t>Vista complementaria — porcentaje de horas con costo marginal en exactamente 0 USD/MWh por hora del día.</w:t>
      </w:r>
    </w:p>
    <w:p>
      <w:pPr>
        <w:spacing w:before="40" w:after="40"/>
        <w:jc w:val="center"/>
      </w:pPr>
      <w:r>
        <w:drawing>
          <wp:inline xmlns:a="http://schemas.openxmlformats.org/drawingml/2006/main" xmlns:pic="http://schemas.openxmlformats.org/drawingml/2006/picture">
            <wp:extent cx="5940000" cy="2028483"/>
            <wp:docPr id="6" name="Picture 6"/>
            <wp:cNvGraphicFramePr>
              <a:graphicFrameLocks noChangeAspect="1"/>
            </wp:cNvGraphicFramePr>
            <a:graphic>
              <a:graphicData uri="http://schemas.openxmlformats.org/drawingml/2006/picture">
                <pic:pic>
                  <pic:nvPicPr>
                    <pic:cNvPr id="0" name="anexo_frecuencia.png"/>
                    <pic:cNvPicPr/>
                  </pic:nvPicPr>
                  <pic:blipFill>
                    <a:blip r:embed="rId17"/>
                    <a:stretch>
                      <a:fillRect/>
                    </a:stretch>
                  </pic:blipFill>
                  <pic:spPr>
                    <a:xfrm>
                      <a:off x="0" y="0"/>
                      <a:ext cx="5940000" cy="2028483"/>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En banda solar, la fracción de horas en 0 USD/MWh supera el 50% de manera persistente desde 2023.</w:t>
      </w:r>
    </w:p>
    <w:sectPr w:rsidR="00FC693F" w:rsidRPr="0006063C" w:rsidSect="00034616">
      <w:headerReference w:type="default" r:id="rId9"/>
      <w:footerReference w:type="default" r:id="rId10"/>
      <w:pgSz w:w="11906" w:h="16838"/>
      <w:pgMar w:top="1134" w:right="1020" w:bottom="1134" w:left="1020"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819"/>
      <w:gridCol w:w="2268"/>
      <w:gridCol w:w="2778"/>
    </w:tblGrid>
    <w:tr>
      <w:tc>
        <w:tcPr>
          <w:tcW w:type="dxa" w:w="4819"/>
        </w:tcPr>
        <w:p>
          <w:pPr>
            <w:spacing w:after="0"/>
          </w:pPr>
          <w:r>
            <w:rPr>
              <w:rFonts w:ascii="Arial" w:hAnsi="Arial"/>
              <w:color w:val="9A9A9A"/>
              <w:sz w:val="16"/>
            </w:rPr>
            <w:t>Fuente: Coordinador Eléctrico Nacional · Real Definitivo</w:t>
          </w:r>
        </w:p>
      </w:tc>
      <w:tc>
        <w:tcPr>
          <w:tcW w:type="dxa" w:w="2268"/>
        </w:tcPr>
        <w:p>
          <w:pPr>
            <w:spacing w:after="0"/>
            <w:jc w:val="center"/>
          </w:pPr>
          <w:r>
            <w:rPr>
              <w:rFonts w:ascii="Arial" w:hAnsi="Arial"/>
              <w:b/>
              <w:color w:val="F59E0B"/>
              <w:sz w:val="16"/>
            </w:rPr>
            <w:t>CONFIDENCIAL</w:t>
          </w:r>
        </w:p>
      </w:tc>
      <w:tc>
        <w:tcPr>
          <w:tcW w:type="dxa" w:w="2778"/>
        </w:tcPr>
        <w:p>
          <w:pPr>
            <w:spacing w:after="0"/>
            <w:jc w:val="right"/>
          </w:pPr>
          <w:r>
            <w:rPr>
              <w:rFonts w:ascii="Arial" w:hAnsi="Arial"/>
              <w:color w:val="9A9A9A"/>
              <w:sz w:val="16"/>
            </w:rPr>
            <w:t xml:space="preserve">Página </w:t>
          </w:r>
          <w:r>
            <w:rPr>
              <w:rFonts w:ascii="Arial" w:hAnsi="Arial"/>
              <w:color w:val="9A9A9A"/>
              <w:sz w:val="16"/>
            </w:rPr>
            <w:fldChar w:fldCharType="begin"/>
            <w:instrText xml:space="preserve">PAGE  \* MERGEFORMAT</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6803"/>
      <w:gridCol w:w="3061"/>
    </w:tblGrid>
    <w:tr>
      <w:tc>
        <w:tcPr>
          <w:tcW w:type="dxa" w:w="6803"/>
        </w:tcPr>
        <w:p>
          <w:pPr>
            <w:spacing w:after="0"/>
          </w:pPr>
          <w:r>
            <w:rPr>
              <w:rFonts w:ascii="Arial" w:hAnsi="Arial"/>
              <w:color w:val="4A4A4A"/>
              <w:sz w:val="17"/>
            </w:rPr>
            <w:t>Análisis crediticio · Nodo Panimávida 13.2 kV · v2.1</w:t>
          </w:r>
        </w:p>
      </w:tc>
      <w:tc>
        <w:tcPr>
          <w:tcW w:type="dxa" w:w="3061"/>
        </w:tcPr>
        <w:p>
          <w:pPr>
            <w:spacing w:after="0"/>
            <w:jc w:val="right"/>
          </w:pPr>
          <w:r>
            <w:drawing>
              <wp:inline xmlns:a="http://schemas.openxmlformats.org/drawingml/2006/main" xmlns:pic="http://schemas.openxmlformats.org/drawingml/2006/picture">
                <wp:extent cx="720000" cy="470865"/>
                <wp:docPr id="1" name="Picture 1"/>
                <wp:cNvGraphicFramePr>
                  <a:graphicFrameLocks noChangeAspect="1"/>
                </wp:cNvGraphicFramePr>
                <a:graphic>
                  <a:graphicData uri="http://schemas.openxmlformats.org/drawingml/2006/picture">
                    <pic:pic>
                      <pic:nvPicPr>
                        <pic:cNvPr id="0" name="rho-full.png"/>
                        <pic:cNvPicPr/>
                      </pic:nvPicPr>
                      <pic:blipFill>
                        <a:blip r:embed="rId1"/>
                        <a:stretch>
                          <a:fillRect/>
                        </a:stretch>
                      </pic:blipFill>
                      <pic:spPr>
                        <a:xfrm>
                          <a:off x="0" y="0"/>
                          <a:ext cx="720000" cy="470865"/>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hoCoverEye">
    <w:name w:val="RhoCoverEye"/>
    <w:pPr>
      <w:keepNext w:val="0"/>
      <w:spacing w:after="80"/>
    </w:pPr>
    <w:rPr>
      <w:rFonts w:ascii="Arial" w:hAnsi="Arial"/>
      <w:b/>
      <w:i w:val="0"/>
      <w:color w:val="3C8B3C"/>
      <w:sz w:val="18"/>
    </w:rPr>
  </w:style>
  <w:style w:type="paragraph" w:customStyle="1" w:styleId="RhoCoverTitle">
    <w:name w:val="RhoCoverTitle"/>
    <w:pPr>
      <w:keepNext w:val="0"/>
      <w:spacing w:after="160" w:line="276" w:lineRule="auto"/>
    </w:pPr>
    <w:rPr>
      <w:rFonts w:ascii="Georgia" w:hAnsi="Georgia"/>
      <w:b/>
      <w:i w:val="0"/>
      <w:color w:val="1A4A1A"/>
      <w:sz w:val="52"/>
    </w:rPr>
  </w:style>
  <w:style w:type="paragraph" w:customStyle="1" w:styleId="RhoCoverSub">
    <w:name w:val="RhoCoverSub"/>
    <w:pPr>
      <w:keepNext w:val="0"/>
      <w:spacing w:after="200"/>
    </w:pPr>
    <w:rPr>
      <w:rFonts w:ascii="Georgia" w:hAnsi="Georgia"/>
      <w:b w:val="0"/>
      <w:i/>
      <w:color w:val="4A4A4A"/>
      <w:sz w:val="26"/>
    </w:rPr>
  </w:style>
  <w:style w:type="paragraph" w:customStyle="1" w:styleId="RhoCoverMeta">
    <w:name w:val="RhoCoverMeta"/>
    <w:pPr>
      <w:keepNext w:val="0"/>
      <w:spacing w:after="40"/>
    </w:pPr>
    <w:rPr>
      <w:rFonts w:ascii="Arial" w:hAnsi="Arial"/>
      <w:b w:val="0"/>
      <w:i w:val="0"/>
      <w:color w:val="4A4A4A"/>
      <w:sz w:val="20"/>
    </w:rPr>
  </w:style>
  <w:style w:type="paragraph" w:customStyle="1" w:styleId="RhoCoverConf">
    <w:name w:val="RhoCoverConf"/>
    <w:pPr>
      <w:keepNext w:val="0"/>
      <w:jc w:val="center"/>
    </w:pPr>
    <w:rPr>
      <w:rFonts w:ascii="Arial" w:hAnsi="Arial"/>
      <w:b/>
      <w:i w:val="0"/>
      <w:color w:val="F59E0B"/>
      <w:sz w:val="18"/>
    </w:rPr>
  </w:style>
  <w:style w:type="paragraph" w:customStyle="1" w:styleId="RhoH1">
    <w:name w:val="RhoH1"/>
    <w:pPr>
      <w:keepNext/>
      <w:spacing w:before="280" w:after="160" w:line="276" w:lineRule="auto"/>
    </w:pPr>
    <w:rPr>
      <w:rFonts w:ascii="Georgia" w:hAnsi="Georgia"/>
      <w:b/>
      <w:i w:val="0"/>
      <w:color w:val="1A4A1A"/>
      <w:sz w:val="30"/>
    </w:rPr>
  </w:style>
  <w:style w:type="paragraph" w:customStyle="1" w:styleId="RhoH2">
    <w:name w:val="RhoH2"/>
    <w:pPr>
      <w:keepNext/>
      <w:spacing w:before="200" w:after="80"/>
    </w:pPr>
    <w:rPr>
      <w:rFonts w:ascii="Georgia" w:hAnsi="Georgia"/>
      <w:b/>
      <w:i w:val="0"/>
      <w:color w:val="1A4A1A"/>
      <w:sz w:val="23"/>
    </w:rPr>
  </w:style>
  <w:style w:type="paragraph" w:customStyle="1" w:styleId="RhoBody">
    <w:name w:val="RhoBody"/>
    <w:pPr>
      <w:keepNext w:val="0"/>
      <w:spacing w:after="120" w:line="312" w:lineRule="auto"/>
      <w:jc w:val="both"/>
    </w:pPr>
    <w:rPr>
      <w:rFonts w:ascii="Arial" w:hAnsi="Arial"/>
      <w:b w:val="0"/>
      <w:i w:val="0"/>
      <w:color w:val="1A1A1A"/>
      <w:sz w:val="20"/>
    </w:rPr>
  </w:style>
  <w:style w:type="paragraph" w:customStyle="1" w:styleId="RhoBodyLead">
    <w:name w:val="RhoBodyLead"/>
    <w:pPr>
      <w:keepNext w:val="0"/>
      <w:spacing w:after="160" w:line="312" w:lineRule="auto"/>
      <w:jc w:val="both"/>
    </w:pPr>
    <w:rPr>
      <w:rFonts w:ascii="Arial" w:hAnsi="Arial"/>
      <w:b w:val="0"/>
      <w:i w:val="0"/>
      <w:color w:val="1A1A1A"/>
      <w:sz w:val="21"/>
    </w:rPr>
  </w:style>
  <w:style w:type="paragraph" w:customStyle="1" w:styleId="RhoLect">
    <w:name w:val="RhoLect"/>
    <w:pPr>
      <w:keepNext w:val="0"/>
      <w:spacing w:after="200" w:line="300" w:lineRule="auto"/>
    </w:pPr>
    <w:rPr>
      <w:rFonts w:ascii="Arial" w:hAnsi="Arial"/>
      <w:b w:val="0"/>
      <w:i/>
      <w:color w:val="4A4A4A"/>
      <w:sz w:val="18"/>
    </w:rPr>
  </w:style>
  <w:style w:type="paragraph" w:customStyle="1" w:styleId="RhoNote">
    <w:name w:val="RhoNote"/>
    <w:pPr>
      <w:keepNext w:val="0"/>
      <w:spacing w:after="40"/>
    </w:pPr>
    <w:rPr>
      <w:rFonts w:ascii="Arial" w:hAnsi="Arial"/>
      <w:b w:val="0"/>
      <w:i w:val="0"/>
      <w:color w:val="9A9A9A"/>
      <w:sz w:val="16"/>
    </w:rPr>
  </w:style>
  <w:style w:type="paragraph" w:customStyle="1" w:styleId="RhoBullet">
    <w:name w:val="RhoBullet"/>
    <w:pPr>
      <w:keepNext w:val="0"/>
      <w:spacing w:after="60" w:line="288" w:lineRule="auto"/>
      <w:ind w:left="340" w:hanging="340"/>
      <w:jc w:val="both"/>
    </w:pPr>
    <w:rPr>
      <w:rFonts w:ascii="Arial" w:hAnsi="Arial"/>
      <w:b w:val="0"/>
      <w:i w:val="0"/>
      <w:color w:val="1A1A1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rho-panimavida-banco.vercel.app"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