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0"/>
        <w:jc w:val="center"/>
      </w:pPr>
      <w:r>
        <w:drawing>
          <wp:inline xmlns:a="http://schemas.openxmlformats.org/drawingml/2006/main" xmlns:pic="http://schemas.openxmlformats.org/drawingml/2006/picture">
            <wp:extent cx="1980000" cy="1294879"/>
            <wp:docPr id="1" name="Picture 1"/>
            <wp:cNvGraphicFramePr>
              <a:graphicFrameLocks noChangeAspect="1"/>
            </wp:cNvGraphicFramePr>
            <a:graphic>
              <a:graphicData uri="http://schemas.openxmlformats.org/drawingml/2006/picture">
                <pic:pic>
                  <pic:nvPicPr>
                    <pic:cNvPr id="0" name="rho-full.png"/>
                    <pic:cNvPicPr/>
                  </pic:nvPicPr>
                  <pic:blipFill>
                    <a:blip r:embed="rId11"/>
                    <a:stretch>
                      <a:fillRect/>
                    </a:stretch>
                  </pic:blipFill>
                  <pic:spPr>
                    <a:xfrm>
                      <a:off x="0" y="0"/>
                      <a:ext cx="1980000" cy="1294879"/>
                    </a:xfrm>
                    <a:prstGeom prst="rect"/>
                  </pic:spPr>
                </pic:pic>
              </a:graphicData>
            </a:graphic>
          </wp:inline>
        </w:drawing>
      </w:r>
    </w:p>
    <w:p>
      <w:pPr>
        <w:pStyle w:val="RhoEyebrow"/>
      </w:pPr>
      <w:r>
        <w:t>Nodo Panimávida 13.2 kV</w:t>
      </w:r>
    </w:p>
    <w:p>
      <w:pPr>
        <w:pStyle w:val="RhoTitle"/>
      </w:pPr>
      <w:r>
        <w:t>Costo marginal del nodo y decisión sobre el PPA de compra</w:t>
      </w:r>
    </w:p>
    <w:p>
      <w:pPr>
        <w:pStyle w:val="RhoSubtitle"/>
      </w:pPr>
      <w:r>
        <w:t>Análisis para el área de crédito y riesgo del Banco</w:t>
      </w:r>
    </w:p>
    <w:p>
      <w:pPr>
        <w:spacing w:before="200" w:after="200"/>
      </w:pPr>
      <w:r>
        <w:rPr>
          <w:color w:val="3C8B3C"/>
        </w:rPr>
        <w:t>___________________</w:t>
      </w:r>
    </w:p>
    <w:p>
      <w:pPr>
        <w:pStyle w:val="RhoMeta"/>
      </w:pPr>
      <w:r>
        <w:rPr>
          <w:rFonts w:ascii="Arial" w:hAnsi="Arial"/>
          <w:b/>
          <w:color w:val="4A4A4A"/>
          <w:sz w:val="20"/>
        </w:rPr>
        <w:t xml:space="preserve">Preparado para: </w:t>
      </w:r>
      <w:r>
        <w:rPr>
          <w:rFonts w:ascii="Arial" w:hAnsi="Arial"/>
          <w:color w:val="4A4A4A"/>
          <w:sz w:val="20"/>
        </w:rPr>
        <w:t>Banco — Martín</w:t>
      </w:r>
    </w:p>
    <w:p>
      <w:pPr>
        <w:pStyle w:val="RhoMeta"/>
      </w:pPr>
      <w:r>
        <w:rPr>
          <w:rFonts w:ascii="Arial" w:hAnsi="Arial"/>
          <w:b/>
          <w:color w:val="4A4A4A"/>
          <w:sz w:val="20"/>
        </w:rPr>
        <w:t xml:space="preserve">Fuente: </w:t>
      </w:r>
      <w:r>
        <w:rPr>
          <w:rFonts w:ascii="Arial" w:hAnsi="Arial"/>
          <w:color w:val="4A4A4A"/>
          <w:sz w:val="20"/>
        </w:rPr>
        <w:t>Coordinador Eléctrico Nacional · Real Definitivo</w:t>
      </w:r>
    </w:p>
    <w:p>
      <w:pPr>
        <w:pStyle w:val="RhoMeta"/>
      </w:pPr>
      <w:r>
        <w:rPr>
          <w:rFonts w:ascii="Arial" w:hAnsi="Arial"/>
          <w:b/>
          <w:color w:val="4A4A4A"/>
          <w:sz w:val="20"/>
        </w:rPr>
        <w:t xml:space="preserve">Período analizado: </w:t>
      </w:r>
      <w:r>
        <w:rPr>
          <w:rFonts w:ascii="Arial" w:hAnsi="Arial"/>
          <w:color w:val="4A4A4A"/>
          <w:sz w:val="20"/>
        </w:rPr>
        <w:t xml:space="preserve">2022-01-01 a 2026-05-22 — </w:t>
      </w:r>
      <w:r>
        <w:rPr>
          <w:rFonts w:ascii="Arial" w:hAnsi="Arial"/>
          <w:b/>
          <w:color w:val="4A4A4A"/>
          <w:sz w:val="20"/>
        </w:rPr>
        <w:t>38.064</w:t>
      </w:r>
      <w:r>
        <w:rPr>
          <w:rFonts w:ascii="Arial" w:hAnsi="Arial"/>
          <w:color w:val="4A4A4A"/>
          <w:sz w:val="20"/>
        </w:rPr>
        <w:t xml:space="preserve"> horas reales</w:t>
      </w:r>
    </w:p>
    <w:p>
      <w:pPr>
        <w:pStyle w:val="RhoMeta"/>
      </w:pPr>
      <w:r>
        <w:rPr>
          <w:rFonts w:ascii="Arial" w:hAnsi="Arial"/>
          <w:b/>
          <w:color w:val="4A4A4A"/>
          <w:sz w:val="20"/>
        </w:rPr>
        <w:t xml:space="preserve">Versión: </w:t>
      </w:r>
      <w:r>
        <w:rPr>
          <w:rFonts w:ascii="Arial" w:hAnsi="Arial"/>
          <w:color w:val="4A4A4A"/>
          <w:sz w:val="20"/>
        </w:rPr>
        <w:t>2.0 — Mayo 2026</w:t>
      </w:r>
    </w:p>
    <w:p>
      <w:pPr>
        <w:pStyle w:val="RhoMeta"/>
        <w:spacing w:before="360"/>
      </w:pPr>
      <w:r>
        <w:rPr>
          <w:rFonts w:ascii="Arial" w:hAnsi="Arial"/>
          <w:b/>
          <w:color w:val="4A4A4A"/>
          <w:sz w:val="20"/>
        </w:rPr>
        <w:t xml:space="preserve">Versión interactiva online: </w:t>
      </w:r>
      <w:hyperlink r:id="rId12">
        <w:r>
          <w:rPr>
            <w:color w:val="1A4A1A"/>
            <w:b/>
            <w:rFonts w:ascii="Arial" w:hAnsi="Arial"/>
            <w:sz w:val="20"/>
          </w:rPr>
          <w:t xml:space="preserve">https://rho-panimavida-banco.vercel.app</w:t>
        </w:r>
      </w:hyperlink>
    </w:p>
    <w:p>
      <w:pPr>
        <w:spacing w:before="1600"/>
      </w:pPr>
    </w:p>
    <w:p>
      <w:pPr>
        <w:pStyle w:val="RhoConf"/>
      </w:pPr>
      <w:r>
        <w:t>CONFIDENCIAL — uso interno del Banco</w:t>
      </w:r>
    </w:p>
    <w:p>
      <w:r>
        <w:br w:type="page"/>
      </w:r>
    </w:p>
    <w:p>
      <w:pPr>
        <w:pStyle w:val="RhoH1"/>
      </w:pPr>
      <w:r>
        <w:t>1.  Resumen ejecutivo</w:t>
      </w:r>
    </w:p>
    <w:p>
      <w:pPr>
        <w:pStyle w:val="RhoBody"/>
      </w:pPr>
      <w:r>
        <w:rPr>
          <w:rFonts w:ascii="Arial" w:hAnsi="Arial"/>
          <w:color w:val="1A1A1A"/>
          <w:sz w:val="20"/>
        </w:rPr>
        <w:t xml:space="preserve">El proyecto stand-alone de Panimávida </w:t>
      </w:r>
      <w:r>
        <w:rPr>
          <w:rFonts w:ascii="Arial" w:hAnsi="Arial"/>
          <w:b/>
          <w:color w:val="1A1A1A"/>
          <w:sz w:val="20"/>
        </w:rPr>
        <w:t>no ha suscrito un PPA de compra a 28 USD/MWh</w:t>
      </w:r>
      <w:r>
        <w:rPr>
          <w:rFonts w:ascii="Arial" w:hAnsi="Arial"/>
          <w:color w:val="1A1A1A"/>
          <w:sz w:val="20"/>
        </w:rPr>
        <w:t xml:space="preserve">, y la decisión es económicamente fundamentada. </w:t>
      </w:r>
      <w:r>
        <w:rPr>
          <w:rFonts w:ascii="Arial" w:hAnsi="Arial"/>
          <w:color w:val="1A1A1A"/>
          <w:sz w:val="20"/>
        </w:rPr>
        <w:t xml:space="preserve">El costo marginal (precio spot) del nodo, recalculado sobre </w:t>
      </w:r>
      <w:r>
        <w:rPr>
          <w:rFonts w:ascii="Arial" w:hAnsi="Arial"/>
          <w:b/>
          <w:color w:val="1A1A1A"/>
          <w:sz w:val="20"/>
        </w:rPr>
        <w:t>38.064</w:t>
      </w:r>
      <w:r>
        <w:rPr>
          <w:rFonts w:ascii="Arial" w:hAnsi="Arial"/>
          <w:color w:val="1A1A1A"/>
          <w:sz w:val="20"/>
        </w:rPr>
        <w:t xml:space="preserve"> horas reales del período 2022-01-01 a 2026-05-22, se sitúa de manera estructural por debajo de la oferta del PPA durante la mayor parte de las horas solares (09–17 h). En el año más reciente, el promedio en esa franja fue </w:t>
      </w:r>
      <w:r>
        <w:rPr>
          <w:rFonts w:ascii="Arial" w:hAnsi="Arial"/>
          <w:b/>
          <w:color w:val="1A1A1A"/>
          <w:sz w:val="20"/>
        </w:rPr>
        <w:t>17 USD/MWh</w:t>
      </w:r>
      <w:r>
        <w:rPr>
          <w:rFonts w:ascii="Arial" w:hAnsi="Arial"/>
          <w:color w:val="1A1A1A"/>
          <w:sz w:val="20"/>
        </w:rPr>
        <w:t xml:space="preserve">, frente a una oferta de </w:t>
      </w:r>
      <w:r>
        <w:rPr>
          <w:rFonts w:ascii="Arial" w:hAnsi="Arial"/>
          <w:b/>
          <w:color w:val="1A1A1A"/>
          <w:sz w:val="20"/>
        </w:rPr>
        <w:t>28 USD/MWh</w:t>
      </w:r>
      <w:r>
        <w:rPr>
          <w:rFonts w:ascii="Arial" w:hAnsi="Arial"/>
          <w:color w:val="1A1A1A"/>
          <w:sz w:val="20"/>
        </w:rPr>
        <w:t>. Suscribir el PPA hoy implicaría adquirir energía por encima del precio del nodo durante una fracción material del día y, por lo tanto, no es la alternativa económicamente óptima.</w:t>
      </w:r>
    </w:p>
    <w:p>
      <w:pPr>
        <w:pStyle w:val="RhoBody"/>
      </w:pPr>
      <w:r>
        <w:rPr>
          <w:rFonts w:ascii="Arial" w:hAnsi="Arial"/>
          <w:b/>
          <w:color w:val="1A1A1A"/>
          <w:sz w:val="20"/>
        </w:rPr>
        <w:t xml:space="preserve">Recomendación: </w:t>
      </w:r>
      <w:r>
        <w:rPr>
          <w:rFonts w:ascii="Arial" w:hAnsi="Arial"/>
          <w:color w:val="1A1A1A"/>
          <w:sz w:val="20"/>
        </w:rPr>
        <w:t>mantener el abastecimiento a costo spot y reevaluar la suscripción del PPA hacia 2030, condicionada a la entrada en operación de los refuerzos de transmisión previstos para la zona.</w:t>
      </w:r>
    </w:p>
    <w:p>
      <w:pPr>
        <w:pStyle w:val="RhoH1"/>
      </w:pPr>
      <w:r>
        <w:t>2.  El dilema económico</w:t>
      </w:r>
    </w:p>
    <w:p>
      <w:pPr>
        <w:pStyle w:val="RhoBody"/>
      </w:pPr>
      <w:r>
        <w:rPr>
          <w:rFonts w:ascii="Arial" w:hAnsi="Arial"/>
          <w:color w:val="1A1A1A"/>
          <w:sz w:val="20"/>
        </w:rPr>
        <w:t xml:space="preserve">Sobre la mesa existe una oferta de </w:t>
      </w:r>
      <w:r>
        <w:rPr>
          <w:rFonts w:ascii="Arial" w:hAnsi="Arial"/>
          <w:b/>
          <w:color w:val="1A1A1A"/>
          <w:sz w:val="20"/>
        </w:rPr>
        <w:t>PPA de compra a 28 USD/MWh</w:t>
      </w:r>
      <w:r>
        <w:rPr>
          <w:rFonts w:ascii="Arial" w:hAnsi="Arial"/>
          <w:color w:val="1A1A1A"/>
          <w:sz w:val="20"/>
        </w:rPr>
        <w:t xml:space="preserve">. El costo marginal real del nodo Panimávida 13.2 kV (BP1) muestra un nivel promedio anual de </w:t>
      </w:r>
      <w:r>
        <w:rPr>
          <w:rFonts w:ascii="Arial" w:hAnsi="Arial"/>
          <w:b/>
          <w:color w:val="1A1A1A"/>
          <w:sz w:val="20"/>
        </w:rPr>
        <w:t>44 USD/MWh</w:t>
      </w:r>
      <w:r>
        <w:rPr>
          <w:rFonts w:ascii="Arial" w:hAnsi="Arial"/>
          <w:color w:val="1A1A1A"/>
          <w:sz w:val="20"/>
        </w:rPr>
        <w:t xml:space="preserve"> en 2026 (frente a 108 USD/MWh en 2022) y, en las horas solares, un promedio de </w:t>
      </w:r>
      <w:r>
        <w:rPr>
          <w:rFonts w:ascii="Arial" w:hAnsi="Arial"/>
          <w:b/>
          <w:color w:val="1A1A1A"/>
          <w:sz w:val="20"/>
        </w:rPr>
        <w:t>17 USD/MWh</w:t>
      </w:r>
      <w:r>
        <w:rPr>
          <w:rFonts w:ascii="Arial" w:hAnsi="Arial"/>
          <w:color w:val="1A1A1A"/>
          <w:sz w:val="20"/>
        </w:rPr>
        <w:t>. En consecuencia, la fracción de tiempo en que abastecerse a spot resulta más económico que la oferta es alta y estructural.</w:t>
      </w:r>
    </w:p>
    <w:p>
      <w:pPr>
        <w:pStyle w:val="RhoH1"/>
      </w:pPr>
      <w:r>
        <w:t>3.  Evidencia</w:t>
      </w:r>
    </w:p>
    <w:p>
      <w:pPr>
        <w:pStyle w:val="RhoH2"/>
      </w:pPr>
      <w:r>
        <w:t>3.1  Evolución mensual del costo marginal</w:t>
      </w:r>
    </w:p>
    <w:p>
      <w:pPr>
        <w:spacing w:before="40" w:after="40"/>
        <w:jc w:val="center"/>
      </w:pPr>
      <w:r>
        <w:drawing>
          <wp:inline xmlns:a="http://schemas.openxmlformats.org/drawingml/2006/main" xmlns:pic="http://schemas.openxmlformats.org/drawingml/2006/picture">
            <wp:extent cx="5940000" cy="1999913"/>
            <wp:docPr id="2" name="Picture 2"/>
            <wp:cNvGraphicFramePr>
              <a:graphicFrameLocks noChangeAspect="1"/>
            </wp:cNvGraphicFramePr>
            <a:graphic>
              <a:graphicData uri="http://schemas.openxmlformats.org/drawingml/2006/picture">
                <pic:pic>
                  <pic:nvPicPr>
                    <pic:cNvPr id="0" name="g1_mensual.png"/>
                    <pic:cNvPicPr/>
                  </pic:nvPicPr>
                  <pic:blipFill>
                    <a:blip r:embed="rId13"/>
                    <a:stretch>
                      <a:fillRect/>
                    </a:stretch>
                  </pic:blipFill>
                  <pic:spPr>
                    <a:xfrm>
                      <a:off x="0" y="0"/>
                      <a:ext cx="5940000" cy="1999913"/>
                    </a:xfrm>
                    <a:prstGeom prst="rect"/>
                  </pic:spPr>
                </pic:pic>
              </a:graphicData>
            </a:graphic>
          </wp:inline>
        </w:drawing>
      </w:r>
    </w:p>
    <w:p>
      <w:pPr>
        <w:pStyle w:val="RhoLect"/>
      </w:pPr>
      <w:r>
        <w:rPr>
          <w:rFonts w:ascii="Arial" w:hAnsi="Arial"/>
          <w:b/>
          <w:i/>
          <w:color w:val="4A4A4A"/>
          <w:sz w:val="18"/>
        </w:rPr>
        <w:t xml:space="preserve">Lectura: </w:t>
      </w:r>
      <w:r>
        <w:rPr>
          <w:rFonts w:ascii="Arial" w:hAnsi="Arial"/>
          <w:i/>
          <w:color w:val="4A4A4A"/>
          <w:sz w:val="18"/>
        </w:rPr>
        <w:t>el promedio mensual cruza por debajo de los 28 USD/MWh durante una parte creciente del año desde 2023. El promedio anual baja de 108 USD/MWh (2022) a 44 USD/MWh (2026).</w:t>
      </w:r>
    </w:p>
    <w:p>
      <w:pPr>
        <w:pStyle w:val="RhoH2"/>
      </w:pPr>
      <w:r>
        <w:t>3.2  Perfil horario del precio por año (gráfico héroe)</w:t>
      </w:r>
    </w:p>
    <w:p>
      <w:pPr>
        <w:spacing w:before="40" w:after="40"/>
        <w:jc w:val="center"/>
      </w:pPr>
      <w:r>
        <w:drawing>
          <wp:inline xmlns:a="http://schemas.openxmlformats.org/drawingml/2006/main" xmlns:pic="http://schemas.openxmlformats.org/drawingml/2006/picture">
            <wp:extent cx="6120000" cy="2269243"/>
            <wp:docPr id="3" name="Picture 3"/>
            <wp:cNvGraphicFramePr>
              <a:graphicFrameLocks noChangeAspect="1"/>
            </wp:cNvGraphicFramePr>
            <a:graphic>
              <a:graphicData uri="http://schemas.openxmlformats.org/drawingml/2006/picture">
                <pic:pic>
                  <pic:nvPicPr>
                    <pic:cNvPr id="0" name="g2_perfil_precio.png"/>
                    <pic:cNvPicPr/>
                  </pic:nvPicPr>
                  <pic:blipFill>
                    <a:blip r:embed="rId14"/>
                    <a:stretch>
                      <a:fillRect/>
                    </a:stretch>
                  </pic:blipFill>
                  <pic:spPr>
                    <a:xfrm>
                      <a:off x="0" y="0"/>
                      <a:ext cx="6120000" cy="2269243"/>
                    </a:xfrm>
                    <a:prstGeom prst="rect"/>
                  </pic:spPr>
                </pic:pic>
              </a:graphicData>
            </a:graphic>
          </wp:inline>
        </w:drawing>
      </w:r>
    </w:p>
    <w:p>
      <w:pPr>
        <w:pStyle w:val="RhoLect"/>
      </w:pPr>
      <w:r>
        <w:rPr>
          <w:rFonts w:ascii="Arial" w:hAnsi="Arial"/>
          <w:b/>
          <w:i/>
          <w:color w:val="4A4A4A"/>
          <w:sz w:val="18"/>
        </w:rPr>
        <w:t xml:space="preserve">Lectura: </w:t>
      </w:r>
      <w:r>
        <w:rPr>
          <w:rFonts w:ascii="Arial" w:hAnsi="Arial"/>
          <w:i/>
          <w:color w:val="4A4A4A"/>
          <w:sz w:val="18"/>
        </w:rPr>
        <w:t>en la franja solar (09–17 h) el costo marginal cae a niveles cercanos a cero todos los años. El promedio en esa franja se sitúa entre 15 y 64 USD/MWh según el año — muy por debajo de la oferta del PPA.</w:t>
      </w:r>
    </w:p>
    <w:p>
      <w:pPr>
        <w:pStyle w:val="RhoH2"/>
      </w:pPr>
      <w:r>
        <w:t>3.3  Ahorro del spot frente al PPA, por hora</w:t>
      </w:r>
    </w:p>
    <w:p>
      <w:pPr>
        <w:spacing w:before="40" w:after="40"/>
        <w:jc w:val="center"/>
      </w:pPr>
      <w:r>
        <w:drawing>
          <wp:inline xmlns:a="http://schemas.openxmlformats.org/drawingml/2006/main" xmlns:pic="http://schemas.openxmlformats.org/drawingml/2006/picture">
            <wp:extent cx="5940000" cy="2202501"/>
            <wp:docPr id="4" name="Picture 4"/>
            <wp:cNvGraphicFramePr>
              <a:graphicFrameLocks noChangeAspect="1"/>
            </wp:cNvGraphicFramePr>
            <a:graphic>
              <a:graphicData uri="http://schemas.openxmlformats.org/drawingml/2006/picture">
                <pic:pic>
                  <pic:nvPicPr>
                    <pic:cNvPr id="0" name="g3_ahorro.png"/>
                    <pic:cNvPicPr/>
                  </pic:nvPicPr>
                  <pic:blipFill>
                    <a:blip r:embed="rId15"/>
                    <a:stretch>
                      <a:fillRect/>
                    </a:stretch>
                  </pic:blipFill>
                  <pic:spPr>
                    <a:xfrm>
                      <a:off x="0" y="0"/>
                      <a:ext cx="5940000" cy="2202501"/>
                    </a:xfrm>
                    <a:prstGeom prst="rect"/>
                  </pic:spPr>
                </pic:pic>
              </a:graphicData>
            </a:graphic>
          </wp:inline>
        </w:drawing>
      </w:r>
    </w:p>
    <w:p>
      <w:pPr>
        <w:pStyle w:val="RhoLect"/>
      </w:pPr>
      <w:r>
        <w:rPr>
          <w:rFonts w:ascii="Arial" w:hAnsi="Arial"/>
          <w:b/>
          <w:i/>
          <w:color w:val="4A4A4A"/>
          <w:sz w:val="18"/>
        </w:rPr>
        <w:t xml:space="preserve">Lectura: </w:t>
      </w:r>
      <w:r>
        <w:rPr>
          <w:rFonts w:ascii="Arial" w:hAnsi="Arial"/>
          <w:i/>
          <w:color w:val="4A4A4A"/>
          <w:sz w:val="18"/>
        </w:rPr>
        <w:t xml:space="preserve">la diferencia entre la oferta (28 USD/MWh) y el costo spot promedio hora a hora se traduce en un ahorro unitario por consumir desde el mercado en lugar del PPA. En las horas solares de 2024, el ahorro promedio alcanza </w:t>
      </w:r>
      <w:r>
        <w:rPr>
          <w:rFonts w:ascii="Arial" w:hAnsi="Arial"/>
          <w:b/>
          <w:i/>
          <w:color w:val="4A4A4A"/>
          <w:sz w:val="18"/>
        </w:rPr>
        <w:t>22 USD/MWh</w:t>
      </w:r>
      <w:r>
        <w:rPr>
          <w:rFonts w:ascii="Arial" w:hAnsi="Arial"/>
          <w:i/>
          <w:color w:val="4A4A4A"/>
          <w:sz w:val="18"/>
        </w:rPr>
        <w:t xml:space="preserve">; en 2026, </w:t>
      </w:r>
      <w:r>
        <w:rPr>
          <w:rFonts w:ascii="Arial" w:hAnsi="Arial"/>
          <w:b/>
          <w:i/>
          <w:color w:val="4A4A4A"/>
          <w:sz w:val="18"/>
        </w:rPr>
        <w:t>18 USD/MWh</w:t>
      </w:r>
      <w:r>
        <w:rPr>
          <w:rFonts w:ascii="Arial" w:hAnsi="Arial"/>
          <w:i/>
          <w:color w:val="4A4A4A"/>
          <w:sz w:val="18"/>
        </w:rPr>
        <w:t>.</w:t>
      </w:r>
    </w:p>
    <w:p>
      <w:pPr>
        <w:pStyle w:val="RhoH2"/>
      </w:pPr>
      <w:r>
        <w:t>3.4  Mapa de calor de precio (USD/MWh)</w:t>
      </w:r>
    </w:p>
    <w:p>
      <w:pPr>
        <w:spacing w:before="40" w:after="40"/>
        <w:jc w:val="center"/>
      </w:pPr>
      <w:r>
        <w:drawing>
          <wp:inline xmlns:a="http://schemas.openxmlformats.org/drawingml/2006/main" xmlns:pic="http://schemas.openxmlformats.org/drawingml/2006/picture">
            <wp:extent cx="6120000" cy="2183033"/>
            <wp:docPr id="5" name="Picture 5"/>
            <wp:cNvGraphicFramePr>
              <a:graphicFrameLocks noChangeAspect="1"/>
            </wp:cNvGraphicFramePr>
            <a:graphic>
              <a:graphicData uri="http://schemas.openxmlformats.org/drawingml/2006/picture">
                <pic:pic>
                  <pic:nvPicPr>
                    <pic:cNvPr id="0" name="g4_heatmap_precio.png"/>
                    <pic:cNvPicPr/>
                  </pic:nvPicPr>
                  <pic:blipFill>
                    <a:blip r:embed="rId16"/>
                    <a:stretch>
                      <a:fillRect/>
                    </a:stretch>
                  </pic:blipFill>
                  <pic:spPr>
                    <a:xfrm>
                      <a:off x="0" y="0"/>
                      <a:ext cx="6120000" cy="2183033"/>
                    </a:xfrm>
                    <a:prstGeom prst="rect"/>
                  </pic:spPr>
                </pic:pic>
              </a:graphicData>
            </a:graphic>
          </wp:inline>
        </w:drawing>
      </w:r>
    </w:p>
    <w:p>
      <w:pPr>
        <w:pStyle w:val="RhoLect"/>
      </w:pPr>
      <w:r>
        <w:rPr>
          <w:rFonts w:ascii="Arial" w:hAnsi="Arial"/>
          <w:b/>
          <w:i/>
          <w:color w:val="4A4A4A"/>
          <w:sz w:val="18"/>
        </w:rPr>
        <w:t xml:space="preserve">Lectura: </w:t>
      </w:r>
      <w:r>
        <w:rPr>
          <w:rFonts w:ascii="Arial" w:hAnsi="Arial"/>
          <w:i/>
          <w:color w:val="4A4A4A"/>
          <w:sz w:val="18"/>
        </w:rPr>
        <w:t>la escala diverge en 28 USD/MWh (referencia del PPA): tonos verdes indican precios por debajo del PPA — favorables al abastecimiento spot — y los tonos ámbar/rojo, por encima. La banda solar concentra los valores más bajos del día en todos los años.</w:t>
      </w:r>
    </w:p>
    <w:p>
      <w:pPr>
        <w:pStyle w:val="RhoH1"/>
      </w:pPr>
      <w:r>
        <w:t>4.  Tabla resumen anual</w:t>
      </w:r>
    </w:p>
    <w:tbl>
      <w:tblPr>
        <w:tblW w:type="auto" w:w="0"/>
        <w:jc w:val="center"/>
        <w:tblLayout w:type="fixed"/>
        <w:tblLook w:firstColumn="1" w:firstRow="1" w:lastColumn="0" w:lastRow="0" w:noHBand="0" w:noVBand="1" w:val="04A0"/>
      </w:tblPr>
      <w:tblGrid>
        <w:gridCol w:w="1361"/>
        <w:gridCol w:w="1020"/>
        <w:gridCol w:w="907"/>
        <w:gridCol w:w="794"/>
        <w:gridCol w:w="794"/>
        <w:gridCol w:w="907"/>
        <w:gridCol w:w="907"/>
        <w:gridCol w:w="1077"/>
        <w:gridCol w:w="907"/>
        <w:gridCol w:w="1077"/>
      </w:tblGrid>
      <w:tr>
        <w:tc>
          <w:tcPr>
            <w:tcW w:type="dxa" w:w="1361"/>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Año</w:t>
            </w:r>
          </w:p>
        </w:tc>
        <w:tc>
          <w:tcPr>
            <w:tcW w:type="dxa" w:w="102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Promedio</w:t>
            </w:r>
            <w:r>
              <w:br/>
            </w:r>
            <w:r>
              <w:rPr>
                <w:rFonts w:ascii="Arial" w:hAnsi="Arial"/>
                <w:b/>
                <w:color w:val="FFFFFF"/>
                <w:sz w:val="17"/>
              </w:rPr>
              <w:t>USD/MWh</w:t>
            </w:r>
          </w:p>
        </w:tc>
        <w:tc>
          <w:tcPr>
            <w:tcW w:type="dxa" w:w="90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Mediana</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Mín</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Máx</w:t>
            </w:r>
          </w:p>
        </w:tc>
        <w:tc>
          <w:tcPr>
            <w:tcW w:type="dxa" w:w="90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 horas</w:t>
            </w:r>
            <w:r>
              <w:br/>
            </w:r>
            <w:r>
              <w:rPr>
                <w:rFonts w:ascii="Arial" w:hAnsi="Arial"/>
                <w:b/>
                <w:color w:val="FFFFFF"/>
                <w:sz w:val="17"/>
              </w:rPr>
              <w:t>= 0</w:t>
            </w:r>
          </w:p>
        </w:tc>
        <w:tc>
          <w:tcPr>
            <w:tcW w:type="dxa" w:w="90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 horas</w:t>
            </w:r>
            <w:r>
              <w:br/>
            </w:r>
            <w:r>
              <w:rPr>
                <w:rFonts w:ascii="Arial" w:hAnsi="Arial"/>
                <w:b/>
                <w:color w:val="FFFFFF"/>
                <w:sz w:val="17"/>
              </w:rPr>
              <w:t>&lt; 28</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Prom. solar</w:t>
            </w:r>
            <w:r>
              <w:br/>
            </w:r>
            <w:r>
              <w:rPr>
                <w:rFonts w:ascii="Arial" w:hAnsi="Arial"/>
                <w:b/>
                <w:color w:val="FFFFFF"/>
                <w:sz w:val="17"/>
              </w:rPr>
              <w:t>USD/MWh</w:t>
            </w:r>
          </w:p>
        </w:tc>
        <w:tc>
          <w:tcPr>
            <w:tcW w:type="dxa" w:w="90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 solar</w:t>
            </w:r>
            <w:r>
              <w:br/>
            </w:r>
            <w:r>
              <w:rPr>
                <w:rFonts w:ascii="Arial" w:hAnsi="Arial"/>
                <w:b/>
                <w:color w:val="FFFFFF"/>
                <w:sz w:val="17"/>
              </w:rPr>
              <w:t>= 0</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Ahorro solar</w:t>
            </w:r>
            <w:r>
              <w:br/>
            </w:r>
            <w:r>
              <w:rPr>
                <w:rFonts w:ascii="Arial" w:hAnsi="Arial"/>
                <w:b/>
                <w:color w:val="FFFFFF"/>
                <w:sz w:val="17"/>
              </w:rPr>
              <w:t>USD/MWh</w:t>
            </w:r>
          </w:p>
        </w:tc>
      </w:tr>
      <w:tr>
        <w:tc>
          <w:tcPr>
            <w:tcW w:type="dxa" w:w="1361"/>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7"/>
              </w:rPr>
              <w:t>2022</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108</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101</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0</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458</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19%</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64</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45%</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13</w:t>
            </w:r>
          </w:p>
        </w:tc>
      </w:tr>
      <w:tr>
        <w:tc>
          <w:tcPr>
            <w:tcW w:type="dxa" w:w="1361"/>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7"/>
              </w:rPr>
              <w:t>2023</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79</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70</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0</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330</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31%</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34%</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32</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67%</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19</w:t>
            </w:r>
          </w:p>
        </w:tc>
      </w:tr>
      <w:tr>
        <w:tc>
          <w:tcPr>
            <w:tcW w:type="dxa" w:w="1361"/>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2024</w:t>
            </w:r>
            <w:r>
              <w:br/>
            </w:r>
            <w:r>
              <w:rPr>
                <w:rFonts w:ascii="Arial" w:hAnsi="Arial"/>
                <w:color w:val="1A1A1A"/>
                <w:sz w:val="17"/>
              </w:rPr>
              <w:t>(sin 15-31 jul (sin dato publicado))</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47</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55</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0</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462</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36%</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41%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15</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79%</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22</w:t>
            </w:r>
          </w:p>
        </w:tc>
      </w:tr>
      <w:tr>
        <w:tc>
          <w:tcPr>
            <w:tcW w:type="dxa" w:w="1361"/>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7"/>
              </w:rPr>
              <w:t>2025</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63</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60</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0</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577</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25%</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29%</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36</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56%</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16</w:t>
            </w:r>
          </w:p>
        </w:tc>
      </w:tr>
      <w:tr>
        <w:tc>
          <w:tcPr>
            <w:tcW w:type="dxa" w:w="1361"/>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2026</w:t>
            </w:r>
            <w:r>
              <w:br/>
            </w:r>
            <w:r>
              <w:rPr>
                <w:rFonts w:ascii="Arial" w:hAnsi="Arial"/>
                <w:color w:val="1A1A1A"/>
                <w:sz w:val="17"/>
              </w:rPr>
              <w:t>(ene-22 may)</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44</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51</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0</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272</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27%</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32%</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17</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63%</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7"/>
              </w:rPr>
              <w:t>18</w:t>
            </w:r>
          </w:p>
        </w:tc>
      </w:tr>
    </w:tbl>
    <w:p>
      <w:pPr>
        <w:pStyle w:val="RhoNote"/>
      </w:pPr>
      <w:r>
        <w:t>Cifras recalculadas desde la serie horaria cruda (Datos_CMg). Regla única de redondeo: precios y porcentajes a enteros. Notas de período parcial al pie de cada año correspondiente.</w:t>
      </w:r>
    </w:p>
    <w:p>
      <w:pPr>
        <w:pStyle w:val="RhoH1"/>
      </w:pPr>
      <w:r>
        <w:t>5.  Lectura económica y horizonte 2030</w:t>
      </w:r>
    </w:p>
    <w:p>
      <w:pPr>
        <w:pStyle w:val="RhoBody"/>
      </w:pPr>
      <w:r>
        <w:t>La estructura del costo marginal del nodo Panimávida refleja un desacople estable de la zona, vinculado a las restricciones de transmisión. Mientras esta condición persista, la estrategia de menor costo para el proyecto es abastecerse a costo spot. La suscripción de un PPA de compra a 28 USD/MWh resultaría conveniente únicamente cuando el nodo recupere niveles de precio por encima de esa referencia.</w:t>
      </w:r>
    </w:p>
    <w:p>
      <w:pPr>
        <w:pStyle w:val="RhoBody"/>
      </w:pPr>
      <w:r>
        <w:rPr>
          <w:rFonts w:ascii="Arial" w:hAnsi="Arial"/>
          <w:color w:val="1A1A1A"/>
          <w:sz w:val="20"/>
        </w:rPr>
        <w:t xml:space="preserve">Las publicaciones del Coordinador y de la CNE consideran refuerzos de transmisión previstos para la zona, con entrada en operación esperable hacia 2030. La materialización de esos refuerzos es el escenario en el cual se evaluaría la suscripción del PPA. </w:t>
      </w:r>
      <w:r>
        <w:rPr>
          <w:rFonts w:ascii="Arial" w:hAnsi="Arial"/>
          <w:i/>
          <w:color w:val="1A1A1A"/>
          <w:sz w:val="20"/>
        </w:rPr>
        <w:t>No se afirman aquí proyecciones de precio futuro como certezas; el horizonte 2030 es un escenario condicionado.</w:t>
      </w:r>
    </w:p>
    <w:p>
      <w:pPr>
        <w:pStyle w:val="RhoH1"/>
      </w:pPr>
      <w:r>
        <w:t>6.  Recomendación</w:t>
      </w:r>
    </w:p>
    <w:p>
      <w:pPr>
        <w:pStyle w:val="RhoBullet"/>
      </w:pPr>
      <w:r>
        <w:rPr>
          <w:rFonts w:ascii="Arial" w:hAnsi="Arial"/>
          <w:color w:val="1A1A1A"/>
          <w:sz w:val="20"/>
        </w:rPr>
        <w:t xml:space="preserve">•   </w:t>
      </w:r>
      <w:r>
        <w:rPr>
          <w:rFonts w:ascii="Arial" w:hAnsi="Arial"/>
          <w:b/>
          <w:color w:val="1A1A1A"/>
          <w:sz w:val="20"/>
        </w:rPr>
        <w:t xml:space="preserve">No suscribir </w:t>
      </w:r>
      <w:r>
        <w:rPr>
          <w:rFonts w:ascii="Arial" w:hAnsi="Arial"/>
          <w:color w:val="1A1A1A"/>
          <w:sz w:val="20"/>
        </w:rPr>
        <w:t>la oferta de PPA de compra a 28 USD/MWh en las condiciones actuales del nodo.</w:t>
      </w:r>
    </w:p>
    <w:p>
      <w:pPr>
        <w:pStyle w:val="RhoBullet"/>
      </w:pPr>
      <w:r>
        <w:rPr>
          <w:rFonts w:ascii="Arial" w:hAnsi="Arial"/>
          <w:color w:val="1A1A1A"/>
          <w:sz w:val="20"/>
        </w:rPr>
        <w:t xml:space="preserve">•   </w:t>
      </w:r>
      <w:r>
        <w:rPr>
          <w:rFonts w:ascii="Arial" w:hAnsi="Arial"/>
          <w:b/>
          <w:color w:val="1A1A1A"/>
          <w:sz w:val="20"/>
        </w:rPr>
        <w:t xml:space="preserve">Abastecerse a costo spot </w:t>
      </w:r>
      <w:r>
        <w:rPr>
          <w:rFonts w:ascii="Arial" w:hAnsi="Arial"/>
          <w:color w:val="1A1A1A"/>
          <w:sz w:val="20"/>
        </w:rPr>
        <w:t>mientras persista el desacople, preservando el menor costo de energía del proyecto.</w:t>
      </w:r>
    </w:p>
    <w:p>
      <w:pPr>
        <w:pStyle w:val="RhoBullet"/>
      </w:pPr>
      <w:r>
        <w:rPr>
          <w:rFonts w:ascii="Arial" w:hAnsi="Arial"/>
          <w:color w:val="1A1A1A"/>
          <w:sz w:val="20"/>
        </w:rPr>
        <w:t xml:space="preserve">•   </w:t>
      </w:r>
      <w:r>
        <w:rPr>
          <w:rFonts w:ascii="Arial" w:hAnsi="Arial"/>
          <w:b/>
          <w:color w:val="1A1A1A"/>
          <w:sz w:val="20"/>
        </w:rPr>
        <w:t>Reevaluar la suscripción del PPA hacia 2030</w:t>
      </w:r>
      <w:r>
        <w:rPr>
          <w:rFonts w:ascii="Arial" w:hAnsi="Arial"/>
          <w:color w:val="1A1A1A"/>
          <w:sz w:val="20"/>
        </w:rPr>
        <w:t>, condicionado a la entrada en operación de los refuerzos de transmisión previstos para la zona.</w:t>
      </w:r>
    </w:p>
    <w:p>
      <w:pPr>
        <w:pStyle w:val="RhoH1"/>
      </w:pPr>
      <w:r>
        <w:t>7.  Metodología y limitaciones</w:t>
      </w:r>
    </w:p>
    <w:p>
      <w:pPr>
        <w:pStyle w:val="RhoBody"/>
      </w:pPr>
      <w:r>
        <w:rPr>
          <w:rFonts w:ascii="Arial" w:hAnsi="Arial"/>
          <w:color w:val="1A1A1A"/>
          <w:sz w:val="20"/>
        </w:rPr>
        <w:t xml:space="preserve">Toda métrica se recalcula desde la serie horaria cruda </w:t>
      </w:r>
      <w:r>
        <w:rPr>
          <w:rFonts w:ascii="Arial" w:hAnsi="Arial"/>
          <w:b/>
          <w:color w:val="1A1A1A"/>
          <w:sz w:val="20"/>
        </w:rPr>
        <w:t>Datos_CMg</w:t>
      </w:r>
      <w:r>
        <w:rPr>
          <w:rFonts w:ascii="Arial" w:hAnsi="Arial"/>
          <w:color w:val="1A1A1A"/>
          <w:sz w:val="20"/>
        </w:rPr>
        <w:t xml:space="preserve"> del Coordinador Eléctrico Nacional (versión Real Definitivo). Una sola regla de redondeo se aplica en todo el paquete: precios y porcentajes se presentan como enteros.</w:t>
      </w:r>
    </w:p>
    <w:p>
      <w:pPr>
        <w:pStyle w:val="RhoBullet"/>
      </w:pPr>
      <w:r>
        <w:rPr>
          <w:rFonts w:ascii="Arial" w:hAnsi="Arial"/>
          <w:color w:val="1A1A1A"/>
          <w:sz w:val="20"/>
        </w:rPr>
        <w:t xml:space="preserve">•   </w:t>
      </w:r>
      <w:r>
        <w:rPr>
          <w:rFonts w:ascii="Arial" w:hAnsi="Arial"/>
          <w:color w:val="1A1A1A"/>
          <w:sz w:val="20"/>
        </w:rPr>
        <w:t>Período: 2022-01-01 a 2026-05-22 (38.064 horas).</w:t>
      </w:r>
    </w:p>
    <w:p>
      <w:pPr>
        <w:pStyle w:val="RhoBullet"/>
      </w:pPr>
      <w:r>
        <w:rPr>
          <w:rFonts w:ascii="Arial" w:hAnsi="Arial"/>
          <w:color w:val="1A1A1A"/>
          <w:sz w:val="20"/>
        </w:rPr>
        <w:t xml:space="preserve">•   </w:t>
      </w:r>
      <w:r>
        <w:rPr>
          <w:rFonts w:ascii="Arial" w:hAnsi="Arial"/>
          <w:color w:val="1A1A1A"/>
          <w:sz w:val="20"/>
        </w:rPr>
        <w:t>Horas en formato 0–23 (hora-reloj). Banda solar: 09–17 h inclusive.</w:t>
      </w:r>
    </w:p>
    <w:p>
      <w:pPr>
        <w:pStyle w:val="RhoBullet"/>
      </w:pPr>
      <w:r>
        <w:rPr>
          <w:rFonts w:ascii="Arial" w:hAnsi="Arial"/>
          <w:color w:val="1A1A1A"/>
          <w:sz w:val="20"/>
        </w:rPr>
        <w:t xml:space="preserve">•   </w:t>
      </w:r>
      <w:r>
        <w:rPr>
          <w:rFonts w:ascii="Arial" w:hAnsi="Arial"/>
          <w:color w:val="1A1A1A"/>
          <w:sz w:val="20"/>
        </w:rPr>
        <w:t>2024 no incluye 15–31 de julio (sin dato publicado al cierre).</w:t>
      </w:r>
    </w:p>
    <w:p>
      <w:pPr>
        <w:pStyle w:val="RhoBullet"/>
      </w:pPr>
      <w:r>
        <w:rPr>
          <w:rFonts w:ascii="Arial" w:hAnsi="Arial"/>
          <w:color w:val="1A1A1A"/>
          <w:sz w:val="20"/>
        </w:rPr>
        <w:t xml:space="preserve">•   </w:t>
      </w:r>
      <w:r>
        <w:rPr>
          <w:rFonts w:ascii="Arial" w:hAnsi="Arial"/>
          <w:color w:val="1A1A1A"/>
          <w:sz w:val="20"/>
        </w:rPr>
        <w:t>2026 cuenta con datos hasta el 22 de mayo.</w:t>
      </w:r>
    </w:p>
    <w:p>
      <w:pPr>
        <w:pStyle w:val="RhoBullet"/>
      </w:pPr>
      <w:r>
        <w:rPr>
          <w:rFonts w:ascii="Arial" w:hAnsi="Arial"/>
          <w:color w:val="1A1A1A"/>
          <w:sz w:val="20"/>
        </w:rPr>
        <w:t xml:space="preserve">•   </w:t>
      </w:r>
      <w:r>
        <w:rPr>
          <w:rFonts w:ascii="Arial" w:hAnsi="Arial"/>
          <w:color w:val="1A1A1A"/>
          <w:sz w:val="20"/>
        </w:rPr>
        <w:t>El análisis es histórico; no constituye proyección determinista de precios futuros. El escenario 2030 está condicionado a los refuerzos de transmisión previstos.</w:t>
      </w:r>
    </w:p>
    <w:p>
      <w:pPr>
        <w:pStyle w:val="RhoH1"/>
      </w:pPr>
      <w:r>
        <w:t>8.  Glosario</w:t>
      </w:r>
    </w:p>
    <w:tbl>
      <w:tblPr>
        <w:tblW w:type="auto" w:w="0"/>
        <w:tblLayout w:type="fixed"/>
        <w:tblLook w:firstColumn="1" w:firstRow="1" w:lastColumn="0" w:lastRow="0" w:noHBand="0" w:noVBand="1" w:val="04A0"/>
      </w:tblPr>
      <w:tblGrid>
        <w:gridCol w:w="2721"/>
        <w:gridCol w:w="7143"/>
      </w:tblGrid>
      <w:tr>
        <w:tc>
          <w:tcPr>
            <w:tcW w:type="dxa" w:w="2721"/>
            <w:vAlign w:val="top"/>
            <w:shd w:val="clear" w:color="auto" w:fill="F7F7F2"/>
          </w:tcPr>
          <w:p>
            <w:pPr>
              <w:spacing w:after="40"/>
            </w:pPr>
            <w:r/>
            <w:r>
              <w:rPr>
                <w:rFonts w:ascii="Arial" w:hAnsi="Arial"/>
                <w:b/>
                <w:color w:val="1A1A1A"/>
                <w:sz w:val="20"/>
              </w:rPr>
              <w:t>Costo marginal / spot</w:t>
            </w:r>
          </w:p>
        </w:tc>
        <w:tc>
          <w:tcPr>
            <w:tcW w:type="dxa" w:w="7143"/>
            <w:vAlign w:val="top"/>
            <w:shd w:val="clear" w:color="auto" w:fill="F7F7F2"/>
          </w:tcPr>
          <w:p>
            <w:pPr>
              <w:spacing w:after="40"/>
              <w:jc w:val="both"/>
            </w:pPr>
            <w:r/>
            <w:r>
              <w:rPr>
                <w:rFonts w:ascii="Arial" w:hAnsi="Arial"/>
                <w:color w:val="1A1A1A"/>
                <w:sz w:val="20"/>
              </w:rPr>
              <w:t>Precio horario al que se valoriza la energía en un nodo específico, según la última unidad despachada.</w:t>
            </w:r>
          </w:p>
        </w:tc>
      </w:tr>
      <w:tr>
        <w:tc>
          <w:tcPr>
            <w:tcW w:type="dxa" w:w="2721"/>
            <w:vAlign w:val="top"/>
            <w:shd w:val="clear" w:color="auto" w:fill="FFFFFF"/>
          </w:tcPr>
          <w:p>
            <w:pPr>
              <w:spacing w:after="40"/>
            </w:pPr>
            <w:r/>
            <w:r>
              <w:rPr>
                <w:rFonts w:ascii="Arial" w:hAnsi="Arial"/>
                <w:b/>
                <w:color w:val="1A1A1A"/>
                <w:sz w:val="20"/>
              </w:rPr>
              <w:t>PPA de compra</w:t>
            </w:r>
          </w:p>
        </w:tc>
        <w:tc>
          <w:tcPr>
            <w:tcW w:type="dxa" w:w="7143"/>
            <w:vAlign w:val="top"/>
            <w:shd w:val="clear" w:color="auto" w:fill="FFFFFF"/>
          </w:tcPr>
          <w:p>
            <w:pPr>
              <w:spacing w:after="40"/>
              <w:jc w:val="both"/>
            </w:pPr>
            <w:r/>
            <w:r>
              <w:rPr>
                <w:rFonts w:ascii="Arial" w:hAnsi="Arial"/>
                <w:color w:val="1A1A1A"/>
                <w:sz w:val="20"/>
              </w:rPr>
              <w:t>Contrato de adquisición de energía a precio definido por un plazo determinado. En este caso, oferta a 28 USD/MWh.</w:t>
            </w:r>
          </w:p>
        </w:tc>
      </w:tr>
      <w:tr>
        <w:tc>
          <w:tcPr>
            <w:tcW w:type="dxa" w:w="2721"/>
            <w:vAlign w:val="top"/>
            <w:shd w:val="clear" w:color="auto" w:fill="F7F7F2"/>
          </w:tcPr>
          <w:p>
            <w:pPr>
              <w:spacing w:after="40"/>
            </w:pPr>
            <w:r/>
            <w:r>
              <w:rPr>
                <w:rFonts w:ascii="Arial" w:hAnsi="Arial"/>
                <w:b/>
                <w:color w:val="1A1A1A"/>
                <w:sz w:val="20"/>
              </w:rPr>
              <w:t>Nodo</w:t>
            </w:r>
          </w:p>
        </w:tc>
        <w:tc>
          <w:tcPr>
            <w:tcW w:type="dxa" w:w="7143"/>
            <w:vAlign w:val="top"/>
            <w:shd w:val="clear" w:color="auto" w:fill="F7F7F2"/>
          </w:tcPr>
          <w:p>
            <w:pPr>
              <w:spacing w:after="40"/>
              <w:jc w:val="both"/>
            </w:pPr>
            <w:r/>
            <w:r>
              <w:rPr>
                <w:rFonts w:ascii="Arial" w:hAnsi="Arial"/>
                <w:color w:val="1A1A1A"/>
                <w:sz w:val="20"/>
              </w:rPr>
              <w:t>Punto del sistema eléctrico donde se inyecta o retira energía y al que corresponde un costo marginal específico — aquí, BA S/E Panimávida 13.2 kV (BP1).</w:t>
            </w:r>
          </w:p>
        </w:tc>
      </w:tr>
      <w:tr>
        <w:tc>
          <w:tcPr>
            <w:tcW w:type="dxa" w:w="2721"/>
            <w:vAlign w:val="top"/>
            <w:shd w:val="clear" w:color="auto" w:fill="FFFFFF"/>
          </w:tcPr>
          <w:p>
            <w:pPr>
              <w:spacing w:after="40"/>
            </w:pPr>
            <w:r/>
            <w:r>
              <w:rPr>
                <w:rFonts w:ascii="Arial" w:hAnsi="Arial"/>
                <w:b/>
                <w:color w:val="1A1A1A"/>
                <w:sz w:val="20"/>
              </w:rPr>
              <w:t>Desacople</w:t>
            </w:r>
          </w:p>
        </w:tc>
        <w:tc>
          <w:tcPr>
            <w:tcW w:type="dxa" w:w="7143"/>
            <w:vAlign w:val="top"/>
            <w:shd w:val="clear" w:color="auto" w:fill="FFFFFF"/>
          </w:tcPr>
          <w:p>
            <w:pPr>
              <w:spacing w:after="40"/>
              <w:jc w:val="both"/>
            </w:pPr>
            <w:r/>
            <w:r>
              <w:rPr>
                <w:rFonts w:ascii="Arial" w:hAnsi="Arial"/>
                <w:color w:val="1A1A1A"/>
                <w:sz w:val="20"/>
              </w:rPr>
              <w:t>Diferencial sostenido entre el costo marginal de un nodo y otros del sistema, asociado a restricciones de transmisión.</w:t>
            </w:r>
          </w:p>
        </w:tc>
      </w:tr>
      <w:tr>
        <w:tc>
          <w:tcPr>
            <w:tcW w:type="dxa" w:w="2721"/>
            <w:vAlign w:val="top"/>
            <w:shd w:val="clear" w:color="auto" w:fill="F7F7F2"/>
          </w:tcPr>
          <w:p>
            <w:pPr>
              <w:spacing w:after="40"/>
            </w:pPr>
            <w:r/>
            <w:r>
              <w:rPr>
                <w:rFonts w:ascii="Arial" w:hAnsi="Arial"/>
                <w:b/>
                <w:color w:val="1A1A1A"/>
                <w:sz w:val="20"/>
              </w:rPr>
              <w:t>Refuerzos de transmisión</w:t>
            </w:r>
          </w:p>
        </w:tc>
        <w:tc>
          <w:tcPr>
            <w:tcW w:type="dxa" w:w="7143"/>
            <w:vAlign w:val="top"/>
            <w:shd w:val="clear" w:color="auto" w:fill="F7F7F2"/>
          </w:tcPr>
          <w:p>
            <w:pPr>
              <w:spacing w:after="40"/>
              <w:jc w:val="both"/>
            </w:pPr>
            <w:r/>
            <w:r>
              <w:rPr>
                <w:rFonts w:ascii="Arial" w:hAnsi="Arial"/>
                <w:color w:val="1A1A1A"/>
                <w:sz w:val="20"/>
              </w:rPr>
              <w:t>Obras de expansión del sistema de transmisión que reducen restricciones y, con ello, tienden a recomponer los precios nodales.</w:t>
            </w:r>
          </w:p>
        </w:tc>
      </w:tr>
      <w:tr>
        <w:tc>
          <w:tcPr>
            <w:tcW w:type="dxa" w:w="2721"/>
            <w:vAlign w:val="top"/>
            <w:shd w:val="clear" w:color="auto" w:fill="FFFFFF"/>
          </w:tcPr>
          <w:p>
            <w:pPr>
              <w:spacing w:after="40"/>
            </w:pPr>
            <w:r/>
            <w:r>
              <w:rPr>
                <w:rFonts w:ascii="Arial" w:hAnsi="Arial"/>
                <w:b/>
                <w:color w:val="1A1A1A"/>
                <w:sz w:val="20"/>
              </w:rPr>
              <w:t>Horas solares</w:t>
            </w:r>
          </w:p>
        </w:tc>
        <w:tc>
          <w:tcPr>
            <w:tcW w:type="dxa" w:w="7143"/>
            <w:vAlign w:val="top"/>
            <w:shd w:val="clear" w:color="auto" w:fill="FFFFFF"/>
          </w:tcPr>
          <w:p>
            <w:pPr>
              <w:spacing w:after="40"/>
              <w:jc w:val="both"/>
            </w:pPr>
            <w:r/>
            <w:r>
              <w:rPr>
                <w:rFonts w:ascii="Arial" w:hAnsi="Arial"/>
                <w:color w:val="1A1A1A"/>
                <w:sz w:val="20"/>
              </w:rPr>
              <w:t>Para este análisis, 09:00 a 17:59 (hora-reloj), franja en la que la generación solar domina la oferta del sistema.</w:t>
            </w:r>
          </w:p>
        </w:tc>
      </w:tr>
    </w:tbl>
    <w:p>
      <w:r>
        <w:br w:type="page"/>
      </w:r>
    </w:p>
    <w:p>
      <w:pPr>
        <w:pStyle w:val="RhoH1"/>
      </w:pPr>
      <w:r>
        <w:t>Anexo  ·  Frecuencia de horas con CMg = 0 USD/MWh</w:t>
      </w:r>
    </w:p>
    <w:p>
      <w:pPr>
        <w:pStyle w:val="RhoBody"/>
      </w:pPr>
      <w:r>
        <w:rPr>
          <w:rFonts w:ascii="Arial" w:hAnsi="Arial"/>
          <w:color w:val="1A1A1A"/>
          <w:sz w:val="20"/>
        </w:rPr>
        <w:t xml:space="preserve">Este anexo conserva la vista de </w:t>
      </w:r>
      <w:r>
        <w:rPr>
          <w:rFonts w:ascii="Arial" w:hAnsi="Arial"/>
          <w:b/>
          <w:color w:val="1A1A1A"/>
          <w:sz w:val="20"/>
        </w:rPr>
        <w:t>frecuencia</w:t>
      </w:r>
      <w:r>
        <w:rPr>
          <w:rFonts w:ascii="Arial" w:hAnsi="Arial"/>
          <w:color w:val="1A1A1A"/>
          <w:sz w:val="20"/>
        </w:rPr>
        <w:t xml:space="preserve"> (porcentaje de horas en 0 USD/MWh por hora del día) como información complementaria. Se distingue explícitamente del análisis principal, que se presenta en unidades de precio (USD/MWh).</w:t>
      </w:r>
    </w:p>
    <w:p>
      <w:pPr>
        <w:spacing w:before="40" w:after="40"/>
        <w:jc w:val="center"/>
      </w:pPr>
      <w:r>
        <w:drawing>
          <wp:inline xmlns:a="http://schemas.openxmlformats.org/drawingml/2006/main" xmlns:pic="http://schemas.openxmlformats.org/drawingml/2006/picture">
            <wp:extent cx="6120000" cy="2089952"/>
            <wp:docPr id="6" name="Picture 6"/>
            <wp:cNvGraphicFramePr>
              <a:graphicFrameLocks noChangeAspect="1"/>
            </wp:cNvGraphicFramePr>
            <a:graphic>
              <a:graphicData uri="http://schemas.openxmlformats.org/drawingml/2006/picture">
                <pic:pic>
                  <pic:nvPicPr>
                    <pic:cNvPr id="0" name="anexo_frecuencia.png"/>
                    <pic:cNvPicPr/>
                  </pic:nvPicPr>
                  <pic:blipFill>
                    <a:blip r:embed="rId17"/>
                    <a:stretch>
                      <a:fillRect/>
                    </a:stretch>
                  </pic:blipFill>
                  <pic:spPr>
                    <a:xfrm>
                      <a:off x="0" y="0"/>
                      <a:ext cx="6120000" cy="2089952"/>
                    </a:xfrm>
                    <a:prstGeom prst="rect"/>
                  </pic:spPr>
                </pic:pic>
              </a:graphicData>
            </a:graphic>
          </wp:inline>
        </w:drawing>
      </w:r>
    </w:p>
    <w:p>
      <w:pPr>
        <w:pStyle w:val="RhoLect"/>
      </w:pPr>
      <w:r>
        <w:rPr>
          <w:rFonts w:ascii="Arial" w:hAnsi="Arial"/>
          <w:b/>
          <w:i/>
          <w:color w:val="4A4A4A"/>
          <w:sz w:val="18"/>
        </w:rPr>
        <w:t xml:space="preserve">Lectura: </w:t>
      </w:r>
      <w:r>
        <w:rPr>
          <w:rFonts w:ascii="Arial" w:hAnsi="Arial"/>
          <w:i/>
          <w:color w:val="4A4A4A"/>
          <w:sz w:val="18"/>
        </w:rPr>
        <w:t>en la franja solar, la fracción de horas con costo marginal en exactamente 0 USD/MWh supera el 50% de manera persistente desde 2023, consistente con la evidencia de precio del cuerpo principal.</w:t>
      </w:r>
    </w:p>
    <w:sectPr w:rsidR="00FC693F" w:rsidRPr="0006063C" w:rsidSect="00034616">
      <w:headerReference w:type="default" r:id="rId9"/>
      <w:footerReference w:type="default" r:id="rId10"/>
      <w:pgSz w:w="11906" w:h="16838"/>
      <w:pgMar w:top="1134" w:right="1020" w:bottom="1134" w:left="1020"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37"/>
      <w:gridCol w:w="1928"/>
    </w:tblGrid>
    <w:tr>
      <w:tc>
        <w:tcPr>
          <w:tcW w:type="dxa" w:w="7937"/>
        </w:tcPr>
        <w:p>
          <w:pPr>
            <w:spacing w:after="0"/>
          </w:pPr>
          <w:r>
            <w:rPr>
              <w:rFonts w:ascii="Arial" w:hAnsi="Arial"/>
              <w:color w:val="9A9A9A"/>
              <w:sz w:val="16"/>
            </w:rPr>
            <w:t>Fuente: Coordinador Eléctrico Nacional (Real Definitivo) · Rho Generación</w:t>
          </w:r>
        </w:p>
      </w:tc>
      <w:tc>
        <w:tcPr>
          <w:tcW w:type="dxa" w:w="1928"/>
        </w:tcPr>
        <w:p>
          <w:pPr>
            <w:spacing w:after="0"/>
            <w:jc w:val="right"/>
          </w:pPr>
          <w:r>
            <w:rPr>
              <w:rFonts w:ascii="Arial" w:hAnsi="Arial"/>
              <w:color w:val="9A9A9A"/>
              <w:sz w:val="16"/>
            </w:rPr>
            <w:t xml:space="preserve">Página </w:t>
          </w:r>
          <w:r>
            <w:rPr>
              <w:rFonts w:ascii="Arial" w:hAnsi="Arial"/>
              <w:color w:val="9A9A9A"/>
              <w:sz w:val="16"/>
            </w:rPr>
            <w:fldChar w:fldCharType="begin"/>
            <w:instrText xml:space="preserve">PAGE  \* MERGEFORMAT</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6803"/>
      <w:gridCol w:w="3061"/>
    </w:tblGrid>
    <w:tr>
      <w:tc>
        <w:tcPr>
          <w:tcW w:type="dxa" w:w="6803"/>
        </w:tcPr>
        <w:p>
          <w:pPr>
            <w:spacing w:after="0"/>
          </w:pPr>
          <w:r>
            <w:rPr>
              <w:rFonts w:ascii="Arial" w:hAnsi="Arial"/>
              <w:color w:val="4A4A4A"/>
              <w:sz w:val="17"/>
            </w:rPr>
            <w:t>Nodo Panimávida — Costo marginal y PPA de compra · v2.0</w:t>
          </w:r>
        </w:p>
      </w:tc>
      <w:tc>
        <w:tcPr>
          <w:tcW w:type="dxa" w:w="3061"/>
        </w:tcPr>
        <w:p>
          <w:pPr>
            <w:spacing w:after="0"/>
            <w:jc w:val="right"/>
          </w:pPr>
          <w:r>
            <w:drawing>
              <wp:inline xmlns:a="http://schemas.openxmlformats.org/drawingml/2006/main" xmlns:pic="http://schemas.openxmlformats.org/drawingml/2006/picture">
                <wp:extent cx="720000" cy="470865"/>
                <wp:docPr id="1" name="Picture 1"/>
                <wp:cNvGraphicFramePr>
                  <a:graphicFrameLocks noChangeAspect="1"/>
                </wp:cNvGraphicFramePr>
                <a:graphic>
                  <a:graphicData uri="http://schemas.openxmlformats.org/drawingml/2006/picture">
                    <pic:pic>
                      <pic:nvPicPr>
                        <pic:cNvPr id="0" name="rho-full.png"/>
                        <pic:cNvPicPr/>
                      </pic:nvPicPr>
                      <pic:blipFill>
                        <a:blip r:embed="rId1"/>
                        <a:stretch>
                          <a:fillRect/>
                        </a:stretch>
                      </pic:blipFill>
                      <pic:spPr>
                        <a:xfrm>
                          <a:off x="0" y="0"/>
                          <a:ext cx="720000" cy="470865"/>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hoTitle">
    <w:name w:val="RhoTitle"/>
    <w:pPr>
      <w:keepNext w:val="0"/>
      <w:spacing w:after="200"/>
    </w:pPr>
    <w:rPr>
      <w:rFonts w:ascii="Georgia" w:hAnsi="Georgia"/>
      <w:b/>
      <w:i w:val="0"/>
      <w:color w:val="1A4A1A"/>
      <w:sz w:val="48"/>
    </w:rPr>
  </w:style>
  <w:style w:type="paragraph" w:customStyle="1" w:styleId="RhoEyebrow">
    <w:name w:val="RhoEyebrow"/>
    <w:pPr>
      <w:keepNext w:val="0"/>
      <w:spacing w:after="40"/>
    </w:pPr>
    <w:rPr>
      <w:rFonts w:ascii="Arial" w:hAnsi="Arial"/>
      <w:b/>
      <w:i w:val="0"/>
      <w:color w:val="3C8B3C"/>
      <w:sz w:val="18"/>
    </w:rPr>
  </w:style>
  <w:style w:type="paragraph" w:customStyle="1" w:styleId="RhoH1">
    <w:name w:val="RhoH1"/>
    <w:pPr>
      <w:keepNext/>
      <w:spacing w:before="280" w:after="160"/>
    </w:pPr>
    <w:rPr>
      <w:rFonts w:ascii="Georgia" w:hAnsi="Georgia"/>
      <w:b/>
      <w:i w:val="0"/>
      <w:color w:val="1A4A1A"/>
      <w:sz w:val="32"/>
    </w:rPr>
  </w:style>
  <w:style w:type="paragraph" w:customStyle="1" w:styleId="RhoH2">
    <w:name w:val="RhoH2"/>
    <w:pPr>
      <w:keepNext/>
      <w:spacing w:before="200" w:after="80"/>
    </w:pPr>
    <w:rPr>
      <w:rFonts w:ascii="Georgia" w:hAnsi="Georgia"/>
      <w:b/>
      <w:i w:val="0"/>
      <w:color w:val="1A4A1A"/>
      <w:sz w:val="24"/>
    </w:rPr>
  </w:style>
  <w:style w:type="paragraph" w:customStyle="1" w:styleId="RhoBody">
    <w:name w:val="RhoBody"/>
    <w:pPr>
      <w:keepNext w:val="0"/>
      <w:spacing w:after="120" w:line="300" w:lineRule="auto"/>
      <w:jc w:val="both"/>
    </w:pPr>
    <w:rPr>
      <w:rFonts w:ascii="Arial" w:hAnsi="Arial"/>
      <w:b w:val="0"/>
      <w:i w:val="0"/>
      <w:color w:val="1A1A1A"/>
      <w:sz w:val="20"/>
    </w:rPr>
  </w:style>
  <w:style w:type="paragraph" w:customStyle="1" w:styleId="RhoMeta">
    <w:name w:val="RhoMeta"/>
    <w:pPr>
      <w:keepNext w:val="0"/>
      <w:spacing w:after="40"/>
    </w:pPr>
    <w:rPr>
      <w:rFonts w:ascii="Arial" w:hAnsi="Arial"/>
      <w:b w:val="0"/>
      <w:i w:val="0"/>
      <w:color w:val="4A4A4A"/>
      <w:sz w:val="20"/>
    </w:rPr>
  </w:style>
  <w:style w:type="paragraph" w:customStyle="1" w:styleId="RhoSubtitle">
    <w:name w:val="RhoSubtitle"/>
    <w:pPr>
      <w:keepNext w:val="0"/>
      <w:spacing w:after="160"/>
    </w:pPr>
    <w:rPr>
      <w:rFonts w:ascii="Arial" w:hAnsi="Arial"/>
      <w:b w:val="0"/>
      <w:i w:val="0"/>
      <w:color w:val="4A4A4A"/>
      <w:sz w:val="24"/>
    </w:rPr>
  </w:style>
  <w:style w:type="paragraph" w:customStyle="1" w:styleId="RhoConf">
    <w:name w:val="RhoConf"/>
    <w:pPr>
      <w:keepNext w:val="0"/>
      <w:jc w:val="center"/>
    </w:pPr>
    <w:rPr>
      <w:rFonts w:ascii="Arial" w:hAnsi="Arial"/>
      <w:b/>
      <w:i w:val="0"/>
      <w:color w:val="F59E0B"/>
      <w:sz w:val="18"/>
    </w:rPr>
  </w:style>
  <w:style w:type="paragraph" w:customStyle="1" w:styleId="RhoLect">
    <w:name w:val="RhoLect"/>
    <w:pPr>
      <w:keepNext w:val="0"/>
      <w:spacing w:after="160"/>
    </w:pPr>
    <w:rPr>
      <w:rFonts w:ascii="Arial" w:hAnsi="Arial"/>
      <w:b w:val="0"/>
      <w:i/>
      <w:color w:val="4A4A4A"/>
      <w:sz w:val="18"/>
    </w:rPr>
  </w:style>
  <w:style w:type="paragraph" w:customStyle="1" w:styleId="RhoNote">
    <w:name w:val="RhoNote"/>
    <w:pPr>
      <w:keepNext w:val="0"/>
      <w:spacing w:after="40"/>
    </w:pPr>
    <w:rPr>
      <w:rFonts w:ascii="Arial" w:hAnsi="Arial"/>
      <w:b w:val="0"/>
      <w:i w:val="0"/>
      <w:color w:val="9A9A9A"/>
      <w:sz w:val="16"/>
    </w:rPr>
  </w:style>
  <w:style w:type="paragraph" w:customStyle="1" w:styleId="RhoBullet">
    <w:name w:val="RhoBullet"/>
    <w:pPr>
      <w:keepNext w:val="0"/>
      <w:spacing w:after="60" w:line="288" w:lineRule="auto"/>
      <w:ind w:left="340" w:hanging="340"/>
      <w:jc w:val="both"/>
    </w:pPr>
    <w:rPr>
      <w:rFonts w:ascii="Arial" w:hAnsi="Arial"/>
      <w:b w:val="0"/>
      <w:i w:val="0"/>
      <w:color w:val="1A1A1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ho-panimavida-banco.vercel.app"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