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872000" cy="122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22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hoCoverEye"/>
      </w:pPr>
      <w:r>
        <w:t>ANÁLISIS CREDITICIO · NODO PANIMÁVIDA 13.2 kV</w:t>
      </w:r>
    </w:p>
    <w:p>
      <w:pPr>
        <w:pStyle w:val="RhoCoverTitle"/>
      </w:pPr>
      <w:r>
        <w:t>Panimávida 13.2 kV — Modelo de arbitraje horario</w:t>
      </w:r>
    </w:p>
    <w:p>
      <w:pPr>
        <w:pStyle w:val="RhoCoverSub"/>
      </w:pPr>
      <w:r>
        <w:t>Por qué el financiamiento no debe condicionarse al PPA de compra a 28 USD/MWh</w:t>
      </w:r>
    </w:p>
    <w:p>
      <w:pPr>
        <w:spacing w:before="120" w:after="200"/>
      </w:pPr>
      <w:r>
        <w:rPr>
          <w:color w:val="3C8B3C"/>
          <w:sz w:val="24"/>
        </w:rPr>
        <w:t>───────────────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 xml:space="preserve">Preparado para: </w:t>
      </w:r>
      <w:r>
        <w:rPr>
          <w:rFonts w:ascii="Arial" w:hAnsi="Arial"/>
          <w:color w:val="4A4A4A"/>
          <w:sz w:val="20"/>
        </w:rPr>
        <w:t>Banco — Martín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 xml:space="preserve">Audiencia: </w:t>
      </w:r>
      <w:r>
        <w:rPr>
          <w:rFonts w:ascii="Arial" w:hAnsi="Arial"/>
          <w:color w:val="4A4A4A"/>
          <w:sz w:val="20"/>
        </w:rPr>
        <w:t>Material preparado para el Comité de Crédito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 xml:space="preserve">Fuente: </w:t>
      </w:r>
      <w:r>
        <w:rPr>
          <w:rFonts w:ascii="Arial" w:hAnsi="Arial"/>
          <w:color w:val="4A4A4A"/>
          <w:sz w:val="20"/>
        </w:rPr>
        <w:t>Coordinador Eléctrico Nacional · Versión Real Definitivo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 xml:space="preserve">Nodo: </w:t>
      </w:r>
      <w:r>
        <w:rPr>
          <w:rFonts w:ascii="Arial" w:hAnsi="Arial"/>
          <w:color w:val="4A4A4A"/>
          <w:sz w:val="20"/>
        </w:rPr>
        <w:t>BA S/E Panimávida 13.2 kV (BP1)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 xml:space="preserve">Período: </w:t>
      </w:r>
      <w:r>
        <w:rPr>
          <w:rFonts w:ascii="Arial" w:hAnsi="Arial"/>
          <w:color w:val="4A4A4A"/>
          <w:sz w:val="20"/>
        </w:rPr>
        <w:t xml:space="preserve">2022-01-01 a 2026-05-22 — </w:t>
      </w:r>
      <w:r>
        <w:rPr>
          <w:rFonts w:ascii="Arial" w:hAnsi="Arial"/>
          <w:b/>
          <w:color w:val="4A4A4A"/>
          <w:sz w:val="20"/>
        </w:rPr>
        <w:t>38.064</w:t>
      </w:r>
      <w:r>
        <w:rPr>
          <w:rFonts w:ascii="Arial" w:hAnsi="Arial"/>
          <w:color w:val="4A4A4A"/>
          <w:sz w:val="20"/>
        </w:rPr>
        <w:t xml:space="preserve"> horas reales</w:t>
      </w:r>
    </w:p>
    <w:p>
      <w:pPr>
        <w:pStyle w:val="RhoCoverMeta"/>
      </w:pPr>
      <w:r>
        <w:rPr>
          <w:rFonts w:ascii="Arial" w:hAnsi="Arial"/>
          <w:b/>
          <w:color w:val="4A4A4A"/>
          <w:sz w:val="20"/>
        </w:rPr>
        <w:t>Versión 3.1 — Mayo 2026</w:t>
      </w:r>
    </w:p>
    <w:p>
      <w:pPr>
        <w:pStyle w:val="RhoCoverMeta"/>
        <w:spacing w:before="280"/>
      </w:pPr>
      <w:r>
        <w:rPr>
          <w:rFonts w:ascii="Arial" w:hAnsi="Arial"/>
          <w:b/>
          <w:color w:val="4A4A4A"/>
          <w:sz w:val="20"/>
        </w:rPr>
        <w:t xml:space="preserve">Versión interactiva — </w:t>
      </w:r>
      <w:hyperlink r:id="rId12">
        <w:r>
          <w:rPr>
            <w:color w:val="1A4A1A"/>
            <w:b/>
            <w:rFonts w:ascii="Arial" w:hAnsi="Arial"/>
            <w:sz w:val="20"/>
          </w:rPr>
          <w:t xml:space="preserve">https://rho-panimavida-banco.vercel.app</w:t>
        </w:r>
      </w:hyperlink>
    </w:p>
    <w:p>
      <w:pPr>
        <w:spacing w:before="1200"/>
      </w:pPr>
    </w:p>
    <w:p>
      <w:pPr>
        <w:pStyle w:val="RhoCoverConf"/>
      </w:pPr>
      <w:r>
        <w:t>CONFIDENCIAL — uso interno del Comité de Crédito</w:t>
      </w:r>
    </w:p>
    <w:p>
      <w:r>
        <w:br w:type="page"/>
      </w:r>
    </w:p>
    <w:p>
      <w:pPr>
        <w:pStyle w:val="RhoH1"/>
      </w:pPr>
      <w:r>
        <w:t>1.  Resumen ejecutivo</w:t>
      </w:r>
    </w:p>
    <w:p>
      <w:pPr>
        <w:pStyle w:val="RhoBody"/>
      </w:pPr>
      <w:r>
        <w:rPr>
          <w:rFonts w:ascii="Arial" w:hAnsi="Arial"/>
          <w:color w:val="1A1A1A"/>
          <w:sz w:val="20"/>
        </w:rPr>
        <w:t xml:space="preserve">El proyecto Panimávida opera un modelo de </w:t>
      </w:r>
      <w:r>
        <w:rPr>
          <w:rFonts w:ascii="Arial" w:hAnsi="Arial"/>
          <w:b/>
          <w:color w:val="1A1A1A"/>
          <w:sz w:val="20"/>
        </w:rPr>
        <w:t>arbitraje horario</w:t>
      </w:r>
      <w:r>
        <w:rPr>
          <w:rFonts w:ascii="Arial" w:hAnsi="Arial"/>
          <w:color w:val="1A1A1A"/>
          <w:sz w:val="20"/>
        </w:rPr>
        <w:t xml:space="preserve"> sobre el costo marginal del nodo: </w:t>
      </w:r>
      <w:r>
        <w:rPr>
          <w:rFonts w:ascii="Arial" w:hAnsi="Arial"/>
          <w:b/>
          <w:color w:val="1A1A1A"/>
          <w:sz w:val="20"/>
        </w:rPr>
        <w:t>carga su almacenamiento durante la banda solar (09–17 h) cuando el precio del nodo está en cero</w:t>
      </w:r>
      <w:r>
        <w:rPr>
          <w:rFonts w:ascii="Arial" w:hAnsi="Arial"/>
          <w:color w:val="1A1A1A"/>
          <w:sz w:val="20"/>
        </w:rPr>
        <w:t xml:space="preserve">, y </w:t>
      </w:r>
      <w:r>
        <w:rPr>
          <w:rFonts w:ascii="Arial" w:hAnsi="Arial"/>
          <w:b/>
          <w:color w:val="1A1A1A"/>
          <w:sz w:val="20"/>
        </w:rPr>
        <w:t>vende durante la banda nocturna (19–07 h) cuando el precio se recompone</w:t>
      </w:r>
      <w:r>
        <w:rPr>
          <w:rFonts w:ascii="Arial" w:hAnsi="Arial"/>
          <w:color w:val="1A1A1A"/>
          <w:sz w:val="20"/>
        </w:rPr>
        <w:t>. Esa asimetría intradiaria, verificada sobre 38.064 horas reales del Coordinador, sostiene los ingresos del proyecto.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F7F7F2"/>
            <w:tcBorders>
              <w:top w:val="single" w:sz="6" w:color="D8DDD3"/>
              <w:left w:val="single" w:sz="6" w:color="D8DDD3"/>
              <w:bottom w:val="single" w:sz="6" w:color="D8DDD3"/>
              <w:right w:val="single" w:sz="6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3C8B3C"/>
                <w:sz w:val="16"/>
              </w:rPr>
              <w:t>PRECIO DEL NODO EN BANDA SOLAR</w:t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1A4A1A"/>
                <w:sz w:val="44"/>
              </w:rPr>
              <w:t>17</w:t>
            </w:r>
            <w:r>
              <w:rPr>
                <w:rFonts w:ascii="Arial" w:hAnsi="Arial"/>
                <w:color w:val="4A4A4A"/>
                <w:sz w:val="18"/>
              </w:rPr>
              <w:t xml:space="preserve">  USD/MWh</w:t>
            </w:r>
          </w:p>
          <w:p>
            <w:pPr>
              <w:spacing w:after="40"/>
            </w:pPr>
            <w:r>
              <w:rPr>
                <w:rFonts w:ascii="Arial" w:hAnsi="Arial"/>
                <w:color w:val="4A4A4A"/>
                <w:sz w:val="16"/>
              </w:rPr>
              <w:t>Promedio 2026 · 09–17 h · ventana de carga</w:t>
            </w:r>
          </w:p>
        </w:tc>
        <w:tc>
          <w:tcPr>
            <w:tcW w:type="dxa" w:w="4819"/>
            <w:vAlign w:val="top"/>
            <w:shd w:val="clear" w:color="auto" w:fill="F7F7F2"/>
            <w:tcBorders>
              <w:top w:val="single" w:sz="6" w:color="D8DDD3"/>
              <w:left w:val="single" w:sz="6" w:color="D8DDD3"/>
              <w:bottom w:val="single" w:sz="6" w:color="D8DDD3"/>
              <w:right w:val="single" w:sz="6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3C8B3C"/>
                <w:sz w:val="16"/>
              </w:rPr>
              <w:t>PRECIO DEL NODO EN BANDA NOCTURNA</w:t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1A4A1A"/>
                <w:sz w:val="44"/>
              </w:rPr>
              <w:t>65</w:t>
            </w:r>
            <w:r>
              <w:rPr>
                <w:rFonts w:ascii="Arial" w:hAnsi="Arial"/>
                <w:color w:val="4A4A4A"/>
                <w:sz w:val="18"/>
              </w:rPr>
              <w:t xml:space="preserve">  USD/MWh</w:t>
            </w:r>
          </w:p>
          <w:p>
            <w:pPr>
              <w:spacing w:after="40"/>
            </w:pPr>
            <w:r>
              <w:rPr>
                <w:rFonts w:ascii="Arial" w:hAnsi="Arial"/>
                <w:color w:val="4A4A4A"/>
                <w:sz w:val="16"/>
              </w:rPr>
              <w:t>Promedio 2026 · 19–07 h · ventana de venta</w:t>
            </w:r>
          </w:p>
        </w:tc>
      </w:tr>
      <w:tr>
        <w:tc>
          <w:tcPr>
            <w:tcW w:type="dxa" w:w="4819"/>
            <w:vAlign w:val="top"/>
            <w:shd w:val="clear" w:color="auto" w:fill="F7F7F2"/>
            <w:tcBorders>
              <w:top w:val="single" w:sz="6" w:color="D8DDD3"/>
              <w:left w:val="single" w:sz="6" w:color="D8DDD3"/>
              <w:bottom w:val="single" w:sz="6" w:color="D8DDD3"/>
              <w:right w:val="single" w:sz="6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3C8B3C"/>
                <w:sz w:val="16"/>
              </w:rPr>
              <w:t>SPREAD HORARIO CAPTURADO</w:t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1A4A1A"/>
                <w:sz w:val="44"/>
              </w:rPr>
              <w:t>48</w:t>
            </w:r>
            <w:r>
              <w:rPr>
                <w:rFonts w:ascii="Arial" w:hAnsi="Arial"/>
                <w:color w:val="4A4A4A"/>
                <w:sz w:val="18"/>
              </w:rPr>
              <w:t xml:space="preserve">  USD/MWh</w:t>
            </w:r>
          </w:p>
          <w:p>
            <w:pPr>
              <w:spacing w:after="40"/>
            </w:pPr>
            <w:r>
              <w:rPr>
                <w:rFonts w:ascii="Arial" w:hAnsi="Arial"/>
                <w:color w:val="4A4A4A"/>
                <w:sz w:val="16"/>
              </w:rPr>
              <w:t>Delta noche − día · sustento del arbitraje</w:t>
            </w:r>
          </w:p>
        </w:tc>
        <w:tc>
          <w:tcPr>
            <w:tcW w:type="dxa" w:w="4819"/>
            <w:vAlign w:val="top"/>
            <w:shd w:val="clear" w:color="auto" w:fill="F7F7F2"/>
            <w:tcBorders>
              <w:top w:val="single" w:sz="6" w:color="D8DDD3"/>
              <w:left w:val="single" w:sz="6" w:color="D8DDD3"/>
              <w:bottom w:val="single" w:sz="6" w:color="D8DDD3"/>
              <w:right w:val="single" w:sz="6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3C8B3C"/>
                <w:sz w:val="16"/>
              </w:rPr>
              <w:t>OFERTA DEL PPA DE COMPRA</w:t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1A4A1A"/>
                <w:sz w:val="44"/>
              </w:rPr>
              <w:t>28</w:t>
            </w:r>
            <w:r>
              <w:rPr>
                <w:rFonts w:ascii="Arial" w:hAnsi="Arial"/>
                <w:color w:val="4A4A4A"/>
                <w:sz w:val="18"/>
              </w:rPr>
              <w:t xml:space="preserve">  USD/MWh</w:t>
            </w:r>
          </w:p>
          <w:p>
            <w:pPr>
              <w:spacing w:after="40"/>
            </w:pPr>
            <w:r>
              <w:rPr>
                <w:rFonts w:ascii="Arial" w:hAnsi="Arial"/>
                <w:color w:val="4A4A4A"/>
                <w:sz w:val="16"/>
              </w:rPr>
              <w:t>Precio fijo · sería para comprar, no para vender</w:t>
            </w:r>
          </w:p>
        </w:tc>
      </w:tr>
    </w:tbl>
    <w:p/>
    <w:p>
      <w:pPr>
        <w:pStyle w:val="RhoH2"/>
      </w:pPr>
      <w:r>
        <w:t>Hechos clave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El nodo carga gratis.</w:t>
      </w:r>
      <w:r>
        <w:rPr>
          <w:rFonts w:ascii="Arial" w:hAnsi="Arial"/>
          <w:color w:val="1A1A1A"/>
          <w:sz w:val="20"/>
        </w:rPr>
        <w:t xml:space="preserve"> En banda solar, el costo marginal promedio en 2026 es de </w:t>
      </w:r>
      <w:r>
        <w:rPr>
          <w:rFonts w:ascii="Arial" w:hAnsi="Arial"/>
          <w:b/>
          <w:color w:val="1A1A1A"/>
          <w:sz w:val="20"/>
        </w:rPr>
        <w:t>17 USD/MWh</w:t>
      </w:r>
      <w:r>
        <w:rPr>
          <w:rFonts w:ascii="Arial" w:hAnsi="Arial"/>
          <w:color w:val="1A1A1A"/>
          <w:sz w:val="20"/>
        </w:rPr>
        <w:t xml:space="preserve">: </w:t>
      </w:r>
      <w:r>
        <w:rPr>
          <w:rFonts w:ascii="Arial" w:hAnsi="Arial"/>
          <w:b/>
          <w:color w:val="1A1A1A"/>
          <w:sz w:val="20"/>
        </w:rPr>
        <w:t>63% de las horas se transan en cero</w:t>
      </w:r>
      <w:r>
        <w:rPr>
          <w:rFonts w:ascii="Arial" w:hAnsi="Arial"/>
          <w:color w:val="1A1A1A"/>
          <w:sz w:val="20"/>
        </w:rPr>
        <w:t>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El nodo vende caro.</w:t>
      </w:r>
      <w:r>
        <w:rPr>
          <w:rFonts w:ascii="Arial" w:hAnsi="Arial"/>
          <w:color w:val="1A1A1A"/>
          <w:sz w:val="20"/>
        </w:rPr>
        <w:t xml:space="preserve"> En banda nocturna, el promedio en 2026 es de </w:t>
      </w:r>
      <w:r>
        <w:rPr>
          <w:rFonts w:ascii="Arial" w:hAnsi="Arial"/>
          <w:b/>
          <w:color w:val="1A1A1A"/>
          <w:sz w:val="20"/>
        </w:rPr>
        <w:t>65 USD/MWh</w:t>
      </w:r>
      <w:r>
        <w:rPr>
          <w:rFonts w:ascii="Arial" w:hAnsi="Arial"/>
          <w:color w:val="1A1A1A"/>
          <w:sz w:val="20"/>
        </w:rPr>
        <w:t xml:space="preserve">, con peak en torno a las </w:t>
      </w:r>
      <w:r>
        <w:rPr>
          <w:rFonts w:ascii="Arial" w:hAnsi="Arial"/>
          <w:b/>
          <w:color w:val="1A1A1A"/>
          <w:sz w:val="20"/>
        </w:rPr>
        <w:t>20:00 h (124 USD/MWh)</w:t>
      </w:r>
      <w:r>
        <w:rPr>
          <w:rFonts w:ascii="Arial" w:hAnsi="Arial"/>
          <w:color w:val="1A1A1A"/>
          <w:sz w:val="20"/>
        </w:rPr>
        <w:t>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Un PPA a 28 USD/MWh rompe el arbitraje.</w:t>
      </w:r>
      <w:r>
        <w:rPr>
          <w:rFonts w:ascii="Arial" w:hAnsi="Arial"/>
          <w:color w:val="1A1A1A"/>
          <w:sz w:val="20"/>
        </w:rPr>
        <w:t xml:space="preserve"> Obligaría a comprar a precio fijo durante las horas en que el proyecto carga a costo cero — destruye el margen del arbitraje y agrega una obligación de caja innecesaria.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4A1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RECOMENDACIÓN AL COMITÉ DE CRÉDITO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jc w:val="both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Otorgar el financiamiento sin condicionarlo a la firma del PPA de compra a 28 USD/MWh.</w:t>
            </w:r>
            <w:r>
              <w:rPr>
                <w:rFonts w:ascii="Arial" w:hAnsi="Arial"/>
                <w:color w:val="1A1A1A"/>
                <w:sz w:val="20"/>
              </w:rPr>
              <w:t xml:space="preserve"> El modelo de ingresos del proyecto se sustenta en el arbitraje entre la carga diurna (precio del nodo ≈ 0) y la venta nocturna (promedio 65 USD/MWh). Firmar el PPA agregaría una obligación de compra a precio fijo durante la ventana de carga — anularía el spread capturado.</w:t>
            </w:r>
          </w:p>
        </w:tc>
      </w:tr>
    </w:tbl>
    <w:p>
      <w:r>
        <w:br w:type="page"/>
      </w:r>
    </w:p>
    <w:p>
      <w:pPr>
        <w:pStyle w:val="RhoH1"/>
      </w:pPr>
      <w:r>
        <w:t>2.  Modelo de negocio del proyecto</w:t>
      </w:r>
    </w:p>
    <w:p>
      <w:pPr>
        <w:pStyle w:val="RhoBody"/>
      </w:pPr>
      <w:r>
        <w:t>El proyecto Panimávida combina generación solar con almacenamiento por batería (BESS). El modelo opera dos ciclos diarios sobre la asimetría intradiaria del costo marginal del nodo BA S/E Panimávida 13.2 kV (BP1):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92400E"/>
                <w:sz w:val="19"/>
              </w:rPr>
              <w:t>BANDA SOLAR  ·  09:00 a 17:59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21"/>
              </w:rPr>
              <w:t>CARGAR.</w:t>
            </w:r>
            <w:r>
              <w:rPr>
                <w:rFonts w:ascii="Arial" w:hAnsi="Arial"/>
                <w:color w:val="1A1A1A"/>
                <w:sz w:val="20"/>
              </w:rPr>
              <w:t xml:space="preserve"> El costo marginal del nodo cae a cero por saturación de la generación solar. El proyecto carga su batería con energía a costo cercano a cero.</w:t>
            </w:r>
          </w:p>
        </w:tc>
        <w:tc>
          <w:tcPr>
            <w:tcW w:type="dxa" w:w="4819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A4A1A"/>
                <w:sz w:val="19"/>
              </w:rPr>
              <w:t>BANDA NOCTURNA  ·  19:00 a 07:59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A4A1A"/>
                <w:sz w:val="21"/>
              </w:rPr>
              <w:t>DESCARGAR Y VENDER.</w:t>
            </w:r>
            <w:r>
              <w:rPr>
                <w:rFonts w:ascii="Arial" w:hAnsi="Arial"/>
                <w:color w:val="1A1A1A"/>
                <w:sz w:val="20"/>
              </w:rPr>
              <w:t xml:space="preserve"> El precio del nodo se recompone. El proyecto descarga la batería y vende al sistema, capturando el spread intradiario.</w:t>
            </w:r>
          </w:p>
        </w:tc>
      </w:tr>
    </w:tbl>
    <w:p/>
    <w:p>
      <w:pPr>
        <w:pStyle w:val="RhoLect"/>
      </w:pPr>
      <w:r>
        <w:rPr>
          <w:rFonts w:ascii="Arial" w:hAnsi="Arial"/>
          <w:i/>
          <w:color w:val="4A4A4A"/>
          <w:sz w:val="18"/>
        </w:rPr>
        <w:t>Perfil intradiario del costo marginal del nodo, por año (USD/MWh) — muestra la asimetría que el proyecto monetiza.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2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perfil_pre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hoLect"/>
      </w:pPr>
      <w:r>
        <w:rPr>
          <w:rFonts w:ascii="Arial" w:hAnsi="Arial"/>
          <w:b/>
          <w:i/>
          <w:color w:val="4A4A4A"/>
          <w:sz w:val="18"/>
        </w:rPr>
        <w:t>Lectura.</w:t>
      </w:r>
      <w:r>
        <w:rPr>
          <w:rFonts w:ascii="Arial" w:hAnsi="Arial"/>
          <w:i/>
          <w:color w:val="4A4A4A"/>
          <w:sz w:val="18"/>
        </w:rPr>
        <w:t xml:space="preserve"> En banda solar el precio se acerca a cero — ventana de </w:t>
      </w:r>
      <w:r>
        <w:rPr>
          <w:rFonts w:ascii="Arial" w:hAnsi="Arial"/>
          <w:b/>
          <w:i/>
          <w:color w:val="4A4A4A"/>
          <w:sz w:val="18"/>
        </w:rPr>
        <w:t>carga</w:t>
      </w:r>
      <w:r>
        <w:rPr>
          <w:rFonts w:ascii="Arial" w:hAnsi="Arial"/>
          <w:i/>
          <w:color w:val="4A4A4A"/>
          <w:sz w:val="18"/>
        </w:rPr>
        <w:t xml:space="preserve"> del proyecto. En banda nocturna sube hasta </w:t>
      </w:r>
      <w:r>
        <w:rPr>
          <w:rFonts w:ascii="Arial" w:hAnsi="Arial"/>
          <w:b/>
          <w:i/>
          <w:color w:val="4A4A4A"/>
          <w:sz w:val="18"/>
        </w:rPr>
        <w:t>124 USD/MWh</w:t>
      </w:r>
      <w:r>
        <w:rPr>
          <w:rFonts w:ascii="Arial" w:hAnsi="Arial"/>
          <w:i/>
          <w:color w:val="4A4A4A"/>
          <w:sz w:val="18"/>
        </w:rPr>
        <w:t xml:space="preserve"> en el peak (20:00 h) — ventana de </w:t>
      </w:r>
      <w:r>
        <w:rPr>
          <w:rFonts w:ascii="Arial" w:hAnsi="Arial"/>
          <w:b/>
          <w:i/>
          <w:color w:val="4A4A4A"/>
          <w:sz w:val="18"/>
        </w:rPr>
        <w:t>descarga y venta</w:t>
      </w:r>
      <w:r>
        <w:rPr>
          <w:rFonts w:ascii="Arial" w:hAnsi="Arial"/>
          <w:i/>
          <w:color w:val="4A4A4A"/>
          <w:sz w:val="18"/>
        </w:rPr>
        <w:t>. El spread intradiario es el sustento del arbitraje.</w:t>
      </w:r>
    </w:p>
    <w:p>
      <w:r>
        <w:br w:type="page"/>
      </w:r>
    </w:p>
    <w:p>
      <w:pPr>
        <w:pStyle w:val="RhoH1"/>
      </w:pPr>
      <w:r>
        <w:t>3.  Evidencia del arbitraje — cargar de día, vender de noche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5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ahor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hoLect"/>
      </w:pPr>
      <w:r>
        <w:rPr>
          <w:rFonts w:ascii="Arial" w:hAnsi="Arial"/>
          <w:b/>
          <w:i/>
          <w:color w:val="4A4A4A"/>
          <w:sz w:val="18"/>
        </w:rPr>
        <w:t>Lectura.</w:t>
      </w:r>
      <w:r>
        <w:rPr>
          <w:rFonts w:ascii="Arial" w:hAnsi="Arial"/>
          <w:i/>
          <w:color w:val="4A4A4A"/>
          <w:sz w:val="18"/>
        </w:rPr>
        <w:t xml:space="preserve"> La asimetría que el proyecto monetiza: banda solar en ≈ 0 USD/MWh, banda nocturna entre 60 y 124 USD/MWh. Suscribir el PPA a 28 USD/MWh fijaría una obligación de compra durante toda la ventana de carga — el período en el que el proyecto adquiere energía a costo cero.</w:t>
      </w:r>
    </w:p>
    <w:p/>
    <w:p>
      <w:pPr>
        <w:pStyle w:val="RhoH2"/>
      </w:pPr>
      <w:r>
        <w:t>Mapa de calor del precio del nodo (USD/MWh)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42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heatmap_pre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hoLect"/>
      </w:pPr>
      <w:r>
        <w:rPr>
          <w:rFonts w:ascii="Arial" w:hAnsi="Arial"/>
          <w:b/>
          <w:i/>
          <w:color w:val="4A4A4A"/>
          <w:sz w:val="18"/>
        </w:rPr>
        <w:t>Lectura.</w:t>
      </w:r>
      <w:r>
        <w:rPr>
          <w:rFonts w:ascii="Arial" w:hAnsi="Arial"/>
          <w:i/>
          <w:color w:val="4A4A4A"/>
          <w:sz w:val="18"/>
        </w:rPr>
        <w:t xml:space="preserve"> Año × hora del precio del nodo. Verde: zona de carga (precios bajo el PPA). Ámbar/rojo: zona de venta. Patrón estable desde 2023.</w:t>
      </w:r>
    </w:p>
    <w:p>
      <w:r>
        <w:br w:type="page"/>
      </w:r>
    </w:p>
    <w:p>
      <w:pPr>
        <w:pStyle w:val="RhoH1"/>
      </w:pPr>
      <w:r>
        <w:t>4.  Hechos clave anuales</w:t>
      </w:r>
    </w:p>
    <w:p>
      <w:pPr>
        <w:pStyle w:val="RhoBody"/>
      </w:pPr>
      <w:r>
        <w:rPr>
          <w:rFonts w:ascii="Arial" w:hAnsi="Arial"/>
          <w:color w:val="1A1A1A"/>
          <w:sz w:val="20"/>
        </w:rPr>
        <w:t xml:space="preserve">Las columnas </w:t>
      </w:r>
      <w:r>
        <w:rPr>
          <w:rFonts w:ascii="Arial" w:hAnsi="Arial"/>
          <w:b/>
          <w:color w:val="1A1A1A"/>
          <w:sz w:val="20"/>
        </w:rPr>
        <w:t>diurno</w:t>
      </w:r>
      <w:r>
        <w:rPr>
          <w:rFonts w:ascii="Arial" w:hAnsi="Arial"/>
          <w:color w:val="1A1A1A"/>
          <w:sz w:val="20"/>
        </w:rPr>
        <w:t xml:space="preserve"> y </w:t>
      </w:r>
      <w:r>
        <w:rPr>
          <w:rFonts w:ascii="Arial" w:hAnsi="Arial"/>
          <w:b/>
          <w:color w:val="1A1A1A"/>
          <w:sz w:val="20"/>
        </w:rPr>
        <w:t>nocturno</w:t>
      </w:r>
      <w:r>
        <w:rPr>
          <w:rFonts w:ascii="Arial" w:hAnsi="Arial"/>
          <w:color w:val="1A1A1A"/>
          <w:sz w:val="20"/>
        </w:rPr>
        <w:t xml:space="preserve"> describen el spread intradiario que el proyecto captura. El spread se mantiene en torno a 50 USD/MWh desde 2024.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247"/>
        <w:gridCol w:w="1361"/>
        <w:gridCol w:w="1361"/>
        <w:gridCol w:w="1361"/>
        <w:gridCol w:w="1191"/>
        <w:gridCol w:w="1191"/>
      </w:tblGrid>
      <w:tr>
        <w:tc>
          <w:tcPr>
            <w:tcW w:type="dxa" w:w="1020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Año</w:t>
            </w:r>
          </w:p>
        </w:tc>
        <w:tc>
          <w:tcPr>
            <w:tcW w:type="dxa" w:w="1247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Promedio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anual</w:t>
            </w:r>
          </w:p>
        </w:tc>
        <w:tc>
          <w:tcPr>
            <w:tcW w:type="dxa" w:w="1361"/>
            <w:vAlign w:val="center"/>
            <w:shd w:val="clear" w:color="auto" w:fill="92400E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Precio diurno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(carga)</w:t>
            </w:r>
          </w:p>
        </w:tc>
        <w:tc>
          <w:tcPr>
            <w:tcW w:type="dxa" w:w="1361"/>
            <w:vAlign w:val="center"/>
            <w:shd w:val="clear" w:color="auto" w:fill="0E3A0E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Precio nocturno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(venta)</w:t>
            </w:r>
          </w:p>
        </w:tc>
        <w:tc>
          <w:tcPr>
            <w:tcW w:type="dxa" w:w="1361"/>
            <w:vAlign w:val="center"/>
            <w:shd w:val="clear" w:color="auto" w:fill="0E3A0E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Spread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(noche−día)</w:t>
            </w:r>
          </w:p>
        </w:tc>
        <w:tc>
          <w:tcPr>
            <w:tcW w:type="dxa" w:w="1191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% horas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en cero</w:t>
            </w:r>
          </w:p>
        </w:tc>
        <w:tc>
          <w:tcPr>
            <w:tcW w:type="dxa" w:w="1191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% horas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7"/>
              </w:rPr>
              <w:t>&lt; 28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2022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108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64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140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76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19%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21%</w:t>
            </w:r>
          </w:p>
        </w:tc>
      </w:tr>
      <w:tr>
        <w:tc>
          <w:tcPr>
            <w:tcW w:type="dxa" w:w="1020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2023</w:t>
            </w:r>
          </w:p>
        </w:tc>
        <w:tc>
          <w:tcPr>
            <w:tcW w:type="dxa" w:w="1247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79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32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114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82</w:t>
            </w:r>
          </w:p>
        </w:tc>
        <w:tc>
          <w:tcPr>
            <w:tcW w:type="dxa" w:w="119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31%</w:t>
            </w:r>
          </w:p>
        </w:tc>
        <w:tc>
          <w:tcPr>
            <w:tcW w:type="dxa" w:w="119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34%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2024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47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15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71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56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36%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41%</w:t>
            </w:r>
          </w:p>
        </w:tc>
      </w:tr>
      <w:tr>
        <w:tc>
          <w:tcPr>
            <w:tcW w:type="dxa" w:w="1020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2025</w:t>
            </w:r>
          </w:p>
        </w:tc>
        <w:tc>
          <w:tcPr>
            <w:tcW w:type="dxa" w:w="1247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63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36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84</w:t>
            </w:r>
          </w:p>
        </w:tc>
        <w:tc>
          <w:tcPr>
            <w:tcW w:type="dxa" w:w="136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25%</w:t>
            </w:r>
          </w:p>
        </w:tc>
        <w:tc>
          <w:tcPr>
            <w:tcW w:type="dxa" w:w="1191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29%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2026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44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17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65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27%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19"/>
              </w:rPr>
              <w:t>32%</w:t>
            </w:r>
          </w:p>
        </w:tc>
      </w:tr>
    </w:tbl>
    <w:p/>
    <w:p>
      <w:pPr>
        <w:pStyle w:val="RhoH2"/>
      </w:pPr>
      <w:r>
        <w:t>Tendencia mensual del precio del nodo (USD/MWh)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60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hoLect"/>
      </w:pPr>
      <w:r>
        <w:rPr>
          <w:rFonts w:ascii="Arial" w:hAnsi="Arial"/>
          <w:b/>
          <w:i/>
          <w:color w:val="4A4A4A"/>
          <w:sz w:val="18"/>
        </w:rPr>
        <w:t>Lectura.</w:t>
      </w:r>
      <w:r>
        <w:rPr>
          <w:rFonts w:ascii="Arial" w:hAnsi="Arial"/>
          <w:i/>
          <w:color w:val="4A4A4A"/>
          <w:sz w:val="18"/>
        </w:rPr>
        <w:t xml:space="preserve"> El promedio mensual del nodo desciende de </w:t>
      </w:r>
      <w:r>
        <w:rPr>
          <w:rFonts w:ascii="Arial" w:hAnsi="Arial"/>
          <w:b/>
          <w:i/>
          <w:color w:val="4A4A4A"/>
          <w:sz w:val="18"/>
        </w:rPr>
        <w:t>108 a 44 USD/MWh</w:t>
      </w:r>
      <w:r>
        <w:rPr>
          <w:rFonts w:ascii="Arial" w:hAnsi="Arial"/>
          <w:i/>
          <w:color w:val="4A4A4A"/>
          <w:sz w:val="18"/>
        </w:rPr>
        <w:t xml:space="preserve"> entre 2022 y 2026 — la compresión es diurna (saturación solar); la dinámica nocturna preserva precios.</w:t>
      </w:r>
    </w:p>
    <w:p>
      <w:r>
        <w:br w:type="page"/>
      </w:r>
    </w:p>
    <w:p>
      <w:pPr>
        <w:pStyle w:val="RhoH1"/>
      </w:pPr>
      <w:r>
        <w:t>5.  Por qué el proyecto no debe firmar el PPA de compra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Rompe el arbitraje.</w:t>
      </w:r>
      <w:r>
        <w:rPr>
          <w:rFonts w:ascii="Arial" w:hAnsi="Arial"/>
          <w:color w:val="1A1A1A"/>
          <w:sz w:val="20"/>
        </w:rPr>
        <w:t xml:space="preserve"> Obliga a comprar a 28 USD/MWh fijos durante toda la banda solar — exactamente cuando el proyecto carga a costo cero. Destruye el margen del modelo.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Cubre un riesgo que el proyecto no tiene.</w:t>
      </w:r>
      <w:r>
        <w:rPr>
          <w:rFonts w:ascii="Arial" w:hAnsi="Arial"/>
          <w:color w:val="1A1A1A"/>
          <w:sz w:val="20"/>
        </w:rPr>
        <w:t xml:space="preserve"> El proyecto no consume energía de manera estructural: vende. El PPA de compra es un seguro contra precio alto en horas de consumo — escenario que no aplica.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Compromete caja innecesariamente.</w:t>
      </w:r>
      <w:r>
        <w:rPr>
          <w:rFonts w:ascii="Arial" w:hAnsi="Arial"/>
          <w:color w:val="1A1A1A"/>
          <w:sz w:val="20"/>
        </w:rPr>
        <w:t xml:space="preserve"> Una obligación fija de compra reduce la flexibilidad de caja del proyecto y deteriora DSCR/LLCR — debilita el perfil crediticio frente al Banco.</w:t>
      </w:r>
    </w:p>
    <w:p>
      <w:pPr>
        <w:pStyle w:val="RhoH1"/>
      </w:pPr>
      <w:r>
        <w:t>6.  Sensibilidad al precio del PPA</w:t>
      </w:r>
    </w:p>
    <w:p>
      <w:pPr>
        <w:pStyle w:val="RhoBody"/>
      </w:pPr>
      <w:r>
        <w:t>Sobreprecio promedio en banda solar = max(0, P − spot). Aun con renegociación del PPA entre 22 y 34 USD/MWh, el spot solar es siempre más barato. La decisión es robusta.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1474"/>
        <w:gridCol w:w="1474"/>
        <w:gridCol w:w="1474"/>
        <w:gridCol w:w="1474"/>
      </w:tblGrid>
      <w:tr>
        <w:tc>
          <w:tcPr>
            <w:tcW w:type="dxa" w:w="1247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1474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= 22</w:t>
            </w:r>
          </w:p>
        </w:tc>
        <w:tc>
          <w:tcPr>
            <w:tcW w:type="dxa" w:w="1474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= 25</w:t>
            </w:r>
          </w:p>
        </w:tc>
        <w:tc>
          <w:tcPr>
            <w:tcW w:type="dxa" w:w="1474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= 28</w:t>
            </w:r>
          </w:p>
        </w:tc>
        <w:tc>
          <w:tcPr>
            <w:tcW w:type="dxa" w:w="1474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= 30</w:t>
            </w:r>
          </w:p>
        </w:tc>
        <w:tc>
          <w:tcPr>
            <w:tcW w:type="dxa" w:w="1474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= 34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2022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10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12</w:t>
            </w:r>
          </w:p>
        </w:tc>
        <w:tc>
          <w:tcPr>
            <w:tcW w:type="dxa" w:w="1474"/>
            <w:vAlign w:val="center"/>
            <w:shd w:val="clear" w:color="auto" w:fill="DCEAD3"/>
            <w:tcBorders>
              <w:top w:val="single" w:sz="8" w:color="3C8B3C"/>
              <w:left w:val="single" w:sz="8" w:color="3C8B3C"/>
              <w:bottom w:val="single" w:sz="8" w:color="3C8B3C"/>
              <w:right w:val="single" w:sz="8" w:color="3C8B3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13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14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16</w:t>
            </w:r>
          </w:p>
        </w:tc>
      </w:tr>
      <w:tr>
        <w:tc>
          <w:tcPr>
            <w:tcW w:type="dxa" w:w="1247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2023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15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17</w:t>
            </w:r>
          </w:p>
        </w:tc>
        <w:tc>
          <w:tcPr>
            <w:tcW w:type="dxa" w:w="1474"/>
            <w:vAlign w:val="center"/>
            <w:shd w:val="clear" w:color="auto" w:fill="DCEAD3"/>
            <w:tcBorders>
              <w:top w:val="single" w:sz="8" w:color="3C8B3C"/>
              <w:left w:val="single" w:sz="8" w:color="3C8B3C"/>
              <w:bottom w:val="single" w:sz="8" w:color="3C8B3C"/>
              <w:right w:val="single" w:sz="8" w:color="3C8B3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19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21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23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2024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18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20</w:t>
            </w:r>
          </w:p>
        </w:tc>
        <w:tc>
          <w:tcPr>
            <w:tcW w:type="dxa" w:w="1474"/>
            <w:vAlign w:val="center"/>
            <w:shd w:val="clear" w:color="auto" w:fill="DCEAD3"/>
            <w:tcBorders>
              <w:top w:val="single" w:sz="8" w:color="3C8B3C"/>
              <w:left w:val="single" w:sz="8" w:color="3C8B3C"/>
              <w:bottom w:val="single" w:sz="8" w:color="3C8B3C"/>
              <w:right w:val="single" w:sz="8" w:color="3C8B3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22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24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27</w:t>
            </w:r>
          </w:p>
        </w:tc>
      </w:tr>
      <w:tr>
        <w:tc>
          <w:tcPr>
            <w:tcW w:type="dxa" w:w="1247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2025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13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15</w:t>
            </w:r>
          </w:p>
        </w:tc>
        <w:tc>
          <w:tcPr>
            <w:tcW w:type="dxa" w:w="1474"/>
            <w:vAlign w:val="center"/>
            <w:shd w:val="clear" w:color="auto" w:fill="DCEAD3"/>
            <w:tcBorders>
              <w:top w:val="single" w:sz="8" w:color="3C8B3C"/>
              <w:left w:val="single" w:sz="8" w:color="3C8B3C"/>
              <w:bottom w:val="single" w:sz="8" w:color="3C8B3C"/>
              <w:right w:val="single" w:sz="8" w:color="3C8B3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16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18</w:t>
            </w:r>
          </w:p>
        </w:tc>
        <w:tc>
          <w:tcPr>
            <w:tcW w:type="dxa" w:w="1474"/>
            <w:vAlign w:val="center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20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2026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14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16</w:t>
            </w:r>
          </w:p>
        </w:tc>
        <w:tc>
          <w:tcPr>
            <w:tcW w:type="dxa" w:w="1474"/>
            <w:vAlign w:val="center"/>
            <w:shd w:val="clear" w:color="auto" w:fill="DCEAD3"/>
            <w:tcBorders>
              <w:top w:val="single" w:sz="8" w:color="3C8B3C"/>
              <w:left w:val="single" w:sz="8" w:color="3C8B3C"/>
              <w:bottom w:val="single" w:sz="8" w:color="3C8B3C"/>
              <w:right w:val="single" w:sz="8" w:color="3C8B3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18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20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color w:val="1A1A1A"/>
                <w:sz w:val="20"/>
              </w:rPr>
              <w:t>23</w:t>
            </w:r>
          </w:p>
        </w:tc>
      </w:tr>
    </w:tbl>
    <w:p>
      <w:pPr>
        <w:pStyle w:val="RhoNote"/>
      </w:pPr>
      <w:r>
        <w:t>Sobreprecio promedio en banda solar (09–17 h) = max(0, P − spot). Columna destacada: oferta vigente del PPA.</w:t>
      </w:r>
    </w:p>
    <w:p>
      <w:r>
        <w:br w:type="page"/>
      </w:r>
    </w:p>
    <w:p>
      <w:pPr>
        <w:pStyle w:val="RhoH1"/>
      </w:pPr>
      <w:r>
        <w:t>7.  Implicancias sobre el servicio de la deuda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Ingresos sostenidos por la venta nocturna.</w:t>
      </w:r>
      <w:r>
        <w:rPr>
          <w:rFonts w:ascii="Arial" w:hAnsi="Arial"/>
          <w:color w:val="1A1A1A"/>
          <w:sz w:val="20"/>
        </w:rPr>
        <w:t xml:space="preserve"> Precio promedio en banda nocturna 2026: </w:t>
      </w:r>
      <w:r>
        <w:rPr>
          <w:rFonts w:ascii="Arial" w:hAnsi="Arial"/>
          <w:b/>
          <w:color w:val="1A1A1A"/>
          <w:sz w:val="20"/>
        </w:rPr>
        <w:t>65 USD/MWh</w:t>
      </w:r>
      <w:r>
        <w:rPr>
          <w:rFonts w:ascii="Arial" w:hAnsi="Arial"/>
          <w:color w:val="1A1A1A"/>
          <w:sz w:val="20"/>
        </w:rPr>
        <w:t xml:space="preserve">. Peak intradiario </w:t>
      </w:r>
      <w:r>
        <w:rPr>
          <w:rFonts w:ascii="Arial" w:hAnsi="Arial"/>
          <w:b/>
          <w:color w:val="1A1A1A"/>
          <w:sz w:val="20"/>
        </w:rPr>
        <w:t>124 USD/MWh</w:t>
      </w:r>
      <w:r>
        <w:rPr>
          <w:rFonts w:ascii="Arial" w:hAnsi="Arial"/>
          <w:color w:val="1A1A1A"/>
          <w:sz w:val="20"/>
        </w:rPr>
        <w:t>. Fuente principal de ingresos del proyecto.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Flexibilidad de caja sin obligación de compra.</w:t>
      </w:r>
      <w:r>
        <w:rPr>
          <w:rFonts w:ascii="Arial" w:hAnsi="Arial"/>
          <w:color w:val="1A1A1A"/>
          <w:sz w:val="20"/>
        </w:rPr>
        <w:t xml:space="preserve"> Sin el PPA, el proyecto preserva DSCR/LLCR holgados — una posición preferible para el Banco como acreedor.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Cobertura natural por la solar propia.</w:t>
      </w:r>
      <w:r>
        <w:rPr>
          <w:rFonts w:ascii="Arial" w:hAnsi="Arial"/>
          <w:color w:val="1A1A1A"/>
          <w:sz w:val="20"/>
        </w:rPr>
        <w:t xml:space="preserve"> El proyecto produce su propia energía de día. El riesgo de precio alto en horas solares está estructuralmente cubierto.</w:t>
      </w:r>
    </w:p>
    <w:p>
      <w:pPr>
        <w:pStyle w:val="RhoH1"/>
      </w:pPr>
      <w:r>
        <w:t>8.  Riesgos y mitigantes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5216"/>
      </w:tblGrid>
      <w:tr>
        <w:tc>
          <w:tcPr>
            <w:tcW w:type="dxa" w:w="4649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5216"/>
            <w:vAlign w:val="center"/>
            <w:shd w:val="clear" w:color="auto" w:fill="1A4A1A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Mitigante</w:t>
            </w:r>
          </w:p>
        </w:tc>
      </w:tr>
      <w:tr>
        <w:tc>
          <w:tcPr>
            <w:tcW w:type="dxa" w:w="4649"/>
            <w:vAlign w:val="top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Compresión del precio nocturno.</w:t>
            </w:r>
            <w:r>
              <w:rPr>
                <w:rFonts w:ascii="Arial" w:hAnsi="Arial"/>
                <w:color w:val="1A1A1A"/>
                <w:sz w:val="19"/>
              </w:rPr>
              <w:t xml:space="preserve"> Caída del promedio en horas no solares.</w:t>
            </w:r>
          </w:p>
        </w:tc>
        <w:tc>
          <w:tcPr>
            <w:tcW w:type="dxa" w:w="5216"/>
            <w:vAlign w:val="top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color w:val="1A1A1A"/>
                <w:sz w:val="19"/>
              </w:rPr>
              <w:t>Monitoreo trimestral. Covenant de DSCR mínimo con observación si el promedio cae bajo 50 USD/MWh.</w:t>
            </w:r>
          </w:p>
        </w:tc>
      </w:tr>
      <w:tr>
        <w:tc>
          <w:tcPr>
            <w:tcW w:type="dxa" w:w="4649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Expansión de la banda saturada.</w:t>
            </w:r>
            <w:r>
              <w:rPr>
                <w:rFonts w:ascii="Arial" w:hAnsi="Arial"/>
                <w:color w:val="1A1A1A"/>
                <w:sz w:val="19"/>
              </w:rPr>
              <w:t xml:space="preserve"> Ampliación de la franja diurna a horas de borde.</w:t>
            </w:r>
          </w:p>
        </w:tc>
        <w:tc>
          <w:tcPr>
            <w:tcW w:type="dxa" w:w="5216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color w:val="1A1A1A"/>
                <w:sz w:val="19"/>
              </w:rPr>
              <w:t>Reporte trimestral del perfil intradiario.</w:t>
            </w:r>
          </w:p>
        </w:tc>
      </w:tr>
      <w:tr>
        <w:tc>
          <w:tcPr>
            <w:tcW w:type="dxa" w:w="4649"/>
            <w:vAlign w:val="top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Cambios regulatorios.</w:t>
            </w:r>
            <w:r>
              <w:rPr>
                <w:rFonts w:ascii="Arial" w:hAnsi="Arial"/>
                <w:color w:val="1A1A1A"/>
                <w:sz w:val="19"/>
              </w:rPr>
              <w:t xml:space="preserve"> Reformas a la asignación nodal o pisos al CMg.</w:t>
            </w:r>
          </w:p>
        </w:tc>
        <w:tc>
          <w:tcPr>
            <w:tcW w:type="dxa" w:w="5216"/>
            <w:vAlign w:val="top"/>
            <w:shd w:val="clear" w:color="auto" w:fill="FFFFFF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color w:val="1A1A1A"/>
                <w:sz w:val="19"/>
              </w:rPr>
              <w:t>Seguimiento Coordinador / CNE.</w:t>
            </w:r>
          </w:p>
        </w:tc>
      </w:tr>
      <w:tr>
        <w:tc>
          <w:tcPr>
            <w:tcW w:type="dxa" w:w="4649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Volatilidad operacional.</w:t>
            </w:r>
            <w:r>
              <w:rPr>
                <w:rFonts w:ascii="Arial" w:hAnsi="Arial"/>
                <w:color w:val="1A1A1A"/>
                <w:sz w:val="19"/>
              </w:rPr>
              <w:t xml:space="preserve"> Hidrología o fallas que alteren el nodo.</w:t>
            </w:r>
          </w:p>
        </w:tc>
        <w:tc>
          <w:tcPr>
            <w:tcW w:type="dxa" w:w="5216"/>
            <w:vAlign w:val="top"/>
            <w:shd w:val="clear" w:color="auto" w:fill="F7F7F2"/>
            <w:tcBorders>
              <w:top w:val="single" w:sz="4" w:color="D8DDD3"/>
              <w:left w:val="single" w:sz="4" w:color="D8DDD3"/>
              <w:bottom w:val="single" w:sz="4" w:color="D8DDD3"/>
              <w:right w:val="single" w:sz="4" w:color="D8DDD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color w:val="1A1A1A"/>
                <w:sz w:val="19"/>
              </w:rPr>
              <w:t>Análisis sobre 38.064 horas — eventos puntuales se diluyen.</w:t>
            </w:r>
          </w:p>
        </w:tc>
      </w:tr>
    </w:tbl>
    <w:p>
      <w:r>
        <w:br w:type="page"/>
      </w:r>
    </w:p>
    <w:p>
      <w:pPr>
        <w:pStyle w:val="RhoH1"/>
      </w:pPr>
      <w:r>
        <w:t>9.  Recomendación al Comité de Crédito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Aprobar el financiamiento</w:t>
      </w:r>
      <w:r>
        <w:rPr>
          <w:rFonts w:ascii="Arial" w:hAnsi="Arial"/>
          <w:color w:val="1A1A1A"/>
          <w:sz w:val="20"/>
        </w:rPr>
        <w:t xml:space="preserve">  sin condicionarlo a la firma del PPA de compra a 28 USD/MWh.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Reconocer como fuente principal de ingresos</w:t>
      </w:r>
      <w:r>
        <w:rPr>
          <w:rFonts w:ascii="Arial" w:hAnsi="Arial"/>
          <w:color w:val="1A1A1A"/>
          <w:sz w:val="20"/>
        </w:rPr>
        <w:t xml:space="preserve">  el arbitraje intradiario entre carga solar (≈ 0 USD/MWh) y venta nocturna (promedio 65 USD/MWh).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Establecer monitoreo trimestral</w:t>
      </w:r>
      <w:r>
        <w:rPr>
          <w:rFonts w:ascii="Arial" w:hAnsi="Arial"/>
          <w:color w:val="1A1A1A"/>
          <w:sz w:val="20"/>
        </w:rPr>
        <w:t xml:space="preserve">  del precio nocturno del nodo como insumo de covenant.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b/>
          <w:color w:val="1A1A1A"/>
          <w:sz w:val="20"/>
        </w:rPr>
        <w:t>Mantener abierta la opción</w:t>
      </w:r>
      <w:r>
        <w:rPr>
          <w:rFonts w:ascii="Arial" w:hAnsi="Arial"/>
          <w:color w:val="1A1A1A"/>
          <w:sz w:val="20"/>
        </w:rPr>
        <w:t xml:space="preserve">  de reevaluar un PPA hacia 2030, condicionada a la entrada en operación de los refuerzos de transmisión.</w:t>
      </w:r>
    </w:p>
    <w:p>
      <w:pPr>
        <w:pStyle w:val="RhoH1"/>
      </w:pPr>
      <w:r>
        <w:t>10.  Metodología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color w:val="1A1A1A"/>
          <w:sz w:val="20"/>
        </w:rPr>
        <w:t>Período: 2022-01-01 a 2026-05-22 (38.064 horas).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color w:val="1A1A1A"/>
          <w:sz w:val="20"/>
        </w:rPr>
        <w:t>Banda solar: 09:00 a 17:59. Banda nocturna: 19:00 a 07:59.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color w:val="1A1A1A"/>
          <w:sz w:val="20"/>
        </w:rPr>
        <w:t>Precios redondeados a enteros USD/MWh.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color w:val="1A1A1A"/>
          <w:sz w:val="20"/>
        </w:rPr>
        <w:t>Sobreprecio del PPA = max(0, P − spot).</w:t>
      </w:r>
    </w:p>
    <w:p>
      <w:pPr>
        <w:pStyle w:val="RhoBullet"/>
      </w:pPr>
      <w:r>
        <w:rPr>
          <w:rFonts w:ascii="Arial" w:hAnsi="Arial"/>
          <w:color w:val="1A1A1A"/>
          <w:sz w:val="20"/>
        </w:rPr>
        <w:t xml:space="preserve">•   </w:t>
      </w:r>
      <w:r>
        <w:rPr>
          <w:rFonts w:ascii="Arial" w:hAnsi="Arial"/>
          <w:color w:val="1A1A1A"/>
          <w:sz w:val="20"/>
        </w:rPr>
        <w:t>Análisis histórico; no es proyección determinista.</w:t>
      </w:r>
    </w:p>
    <w:p>
      <w:pPr>
        <w:pStyle w:val="RhoH1"/>
      </w:pPr>
      <w:r>
        <w:t>11.  Glosario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c>
          <w:tcPr>
            <w:tcW w:type="dxa" w:w="2381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Costo marginal del nodo</w:t>
            </w:r>
          </w:p>
        </w:tc>
        <w:tc>
          <w:tcPr>
            <w:tcW w:type="dxa" w:w="7483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Precio horario al que se valoriza la energía en el nodo, determinado por la última unidad despachada.</w:t>
            </w:r>
          </w:p>
        </w:tc>
      </w:tr>
      <w:tr>
        <w:tc>
          <w:tcPr>
            <w:tcW w:type="dxa" w:w="2381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BESS / Almacenamiento</w:t>
            </w:r>
          </w:p>
        </w:tc>
        <w:tc>
          <w:tcPr>
            <w:tcW w:type="dxa" w:w="7483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Battery Energy Storage System. Sistema de baterías que permite trasladar energía entre horas (cargar a precio bajo, descargar a precio alto).</w:t>
            </w:r>
          </w:p>
        </w:tc>
      </w:tr>
      <w:tr>
        <w:tc>
          <w:tcPr>
            <w:tcW w:type="dxa" w:w="2381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Arbitraje horario</w:t>
            </w:r>
          </w:p>
        </w:tc>
        <w:tc>
          <w:tcPr>
            <w:tcW w:type="dxa" w:w="7483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Estrategia de captura del diferencial de precios entre horas. El proyecto compra (carga) cuando el precio está bajo y vende (descarga) cuando está alto.</w:t>
            </w:r>
          </w:p>
        </w:tc>
      </w:tr>
      <w:tr>
        <w:tc>
          <w:tcPr>
            <w:tcW w:type="dxa" w:w="2381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Banda solar / nocturna</w:t>
            </w:r>
          </w:p>
        </w:tc>
        <w:tc>
          <w:tcPr>
            <w:tcW w:type="dxa" w:w="7483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Franjas horarias 09–17 y 19–07. La primera concentra saturación solar y precio ≈ 0; la segunda recompone el precio del nodo.</w:t>
            </w:r>
          </w:p>
        </w:tc>
      </w:tr>
      <w:tr>
        <w:tc>
          <w:tcPr>
            <w:tcW w:type="dxa" w:w="2381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PPA de compra</w:t>
            </w:r>
          </w:p>
        </w:tc>
        <w:tc>
          <w:tcPr>
            <w:tcW w:type="dxa" w:w="7483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Power Purchase Agreement de compra: contrato de adquisición de energía a precio fijo. Aquí, oferta a 28 USD/MWh.</w:t>
            </w:r>
          </w:p>
        </w:tc>
      </w:tr>
      <w:tr>
        <w:tc>
          <w:tcPr>
            <w:tcW w:type="dxa" w:w="2381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DSCR / LLCR</w:t>
            </w:r>
          </w:p>
        </w:tc>
        <w:tc>
          <w:tcPr>
            <w:tcW w:type="dxa" w:w="7483"/>
            <w:vAlign w:val="top"/>
            <w:shd w:val="clear" w:color="auto" w:fill="FFFFFF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Debt Service Coverage Ratio y Loan Life Coverage Ratio: métricas estándar de evaluación crediticia.</w:t>
            </w:r>
          </w:p>
        </w:tc>
      </w:tr>
      <w:tr>
        <w:tc>
          <w:tcPr>
            <w:tcW w:type="dxa" w:w="2381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Coordinador / CNE</w:t>
            </w:r>
          </w:p>
        </w:tc>
        <w:tc>
          <w:tcPr>
            <w:tcW w:type="dxa" w:w="7483"/>
            <w:vAlign w:val="top"/>
            <w:shd w:val="clear" w:color="auto" w:fill="F7F7F2"/>
            <w:tcBorders>
              <w:top w:val="single" w:sz="2" w:color="D8DDD3"/>
              <w:left w:val="single" w:sz="2" w:color="D8DDD3"/>
              <w:bottom w:val="single" w:sz="2" w:color="D8DDD3"/>
              <w:right w:val="single" w:sz="2" w:color="D8DDD3"/>
            </w:tcBorders>
          </w:tcPr>
          <w:p>
            <w:pPr>
              <w:spacing w:after="40"/>
              <w:jc w:val="both"/>
            </w:pPr>
            <w:r/>
            <w:r>
              <w:rPr>
                <w:rFonts w:ascii="Arial" w:hAnsi="Arial"/>
                <w:color w:val="1A1A1A"/>
                <w:sz w:val="20"/>
              </w:rPr>
              <w:t>Coordinador Eléctrico Nacional (operador) y Comisión Nacional de Energía (regulador).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2268"/>
      <w:gridCol w:w="2778"/>
    </w:tblGrid>
    <w:tr>
      <w:tc>
        <w:tcPr>
          <w:tcW w:type="dxa" w:w="4819"/>
        </w:tcPr>
        <w:p>
          <w:pPr>
            <w:spacing w:after="0"/>
          </w:pPr>
          <w:r>
            <w:rPr>
              <w:rFonts w:ascii="Arial" w:hAnsi="Arial"/>
              <w:color w:val="9A9A9A"/>
              <w:sz w:val="16"/>
            </w:rPr>
            <w:t>Fuente: Coordinador Eléctrico Nacional · Real Definitivo</w:t>
          </w:r>
        </w:p>
      </w:tc>
      <w:tc>
        <w:tcPr>
          <w:tcW w:type="dxa" w:w="2268"/>
        </w:tcPr>
        <w:p>
          <w:pPr>
            <w:spacing w:after="0"/>
            <w:jc w:val="center"/>
          </w:pPr>
          <w:r>
            <w:rPr>
              <w:rFonts w:ascii="Arial" w:hAnsi="Arial"/>
              <w:b/>
              <w:color w:val="F59E0B"/>
              <w:sz w:val="16"/>
            </w:rPr>
            <w:t>CONFIDENCIAL</w:t>
          </w:r>
        </w:p>
      </w:tc>
      <w:tc>
        <w:tcPr>
          <w:tcW w:type="dxa" w:w="2778"/>
        </w:tcPr>
        <w:p>
          <w:pPr>
            <w:spacing w:after="0"/>
            <w:jc w:val="right"/>
          </w:pPr>
          <w:r>
            <w:rPr>
              <w:rFonts w:ascii="Arial" w:hAnsi="Arial"/>
              <w:color w:val="9A9A9A"/>
              <w:sz w:val="16"/>
            </w:rPr>
            <w:t xml:space="preserve">Página </w:t>
          </w:r>
          <w:r>
            <w:rPr>
              <w:rFonts w:ascii="Arial" w:hAnsi="Arial"/>
              <w:color w:val="9A9A9A"/>
              <w:sz w:val="16"/>
            </w:rPr>
            <w:fldChar w:fldCharType="begin"/>
            <w:instrText xml:space="preserve">PAGE  \* MERGEFORMAT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937"/>
      <w:gridCol w:w="1928"/>
    </w:tblGrid>
    <w:tr>
      <w:tc>
        <w:tcPr>
          <w:tcW w:type="dxa" w:w="7937"/>
        </w:tcPr>
        <w:p>
          <w:pPr>
            <w:spacing w:after="0"/>
          </w:pPr>
          <w:r>
            <w:rPr>
              <w:rFonts w:ascii="Arial" w:hAnsi="Arial"/>
              <w:color w:val="4A4A4A"/>
              <w:sz w:val="17"/>
            </w:rPr>
            <w:t>Panimávida 13.2 kV · Modelo de arbitraje horario · v3.1</w:t>
          </w:r>
        </w:p>
      </w:tc>
      <w:tc>
        <w:tcPr>
          <w:tcW w:type="dxa" w:w="1928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4708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ho-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708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hoCoverEye">
    <w:name w:val="RhoCoverEye"/>
    <w:pPr>
      <w:keepNext w:val="0"/>
      <w:spacing w:after="80"/>
    </w:pPr>
    <w:rPr>
      <w:rFonts w:ascii="Arial" w:hAnsi="Arial"/>
      <w:b/>
      <w:i w:val="0"/>
      <w:color w:val="3C8B3C"/>
      <w:sz w:val="18"/>
    </w:rPr>
  </w:style>
  <w:style w:type="paragraph" w:customStyle="1" w:styleId="RhoCoverTitle">
    <w:name w:val="RhoCoverTitle"/>
    <w:pPr>
      <w:keepNext w:val="0"/>
      <w:spacing w:after="160" w:line="276" w:lineRule="auto"/>
    </w:pPr>
    <w:rPr>
      <w:rFonts w:ascii="Georgia" w:hAnsi="Georgia"/>
      <w:b/>
      <w:i w:val="0"/>
      <w:color w:val="1A4A1A"/>
      <w:sz w:val="52"/>
    </w:rPr>
  </w:style>
  <w:style w:type="paragraph" w:customStyle="1" w:styleId="RhoCoverSub">
    <w:name w:val="RhoCoverSub"/>
    <w:pPr>
      <w:keepNext w:val="0"/>
      <w:spacing w:after="200"/>
    </w:pPr>
    <w:rPr>
      <w:rFonts w:ascii="Georgia" w:hAnsi="Georgia"/>
      <w:b w:val="0"/>
      <w:i/>
      <w:color w:val="4A4A4A"/>
      <w:sz w:val="26"/>
    </w:rPr>
  </w:style>
  <w:style w:type="paragraph" w:customStyle="1" w:styleId="RhoCoverMeta">
    <w:name w:val="RhoCoverMeta"/>
    <w:pPr>
      <w:keepNext w:val="0"/>
      <w:spacing w:after="40"/>
    </w:pPr>
    <w:rPr>
      <w:rFonts w:ascii="Arial" w:hAnsi="Arial"/>
      <w:b w:val="0"/>
      <w:i w:val="0"/>
      <w:color w:val="4A4A4A"/>
      <w:sz w:val="20"/>
    </w:rPr>
  </w:style>
  <w:style w:type="paragraph" w:customStyle="1" w:styleId="RhoCoverConf">
    <w:name w:val="RhoCoverConf"/>
    <w:pPr>
      <w:keepNext w:val="0"/>
      <w:jc w:val="center"/>
    </w:pPr>
    <w:rPr>
      <w:rFonts w:ascii="Arial" w:hAnsi="Arial"/>
      <w:b/>
      <w:i w:val="0"/>
      <w:color w:val="F59E0B"/>
      <w:sz w:val="18"/>
    </w:rPr>
  </w:style>
  <w:style w:type="paragraph" w:customStyle="1" w:styleId="RhoH1">
    <w:name w:val="RhoH1"/>
    <w:pPr>
      <w:keepNext/>
      <w:spacing w:before="280" w:after="160" w:line="276" w:lineRule="auto"/>
    </w:pPr>
    <w:rPr>
      <w:rFonts w:ascii="Georgia" w:hAnsi="Georgia"/>
      <w:b/>
      <w:i w:val="0"/>
      <w:color w:val="1A4A1A"/>
      <w:sz w:val="30"/>
    </w:rPr>
  </w:style>
  <w:style w:type="paragraph" w:customStyle="1" w:styleId="RhoH2">
    <w:name w:val="RhoH2"/>
    <w:pPr>
      <w:keepNext/>
      <w:spacing w:before="200" w:after="80"/>
    </w:pPr>
    <w:rPr>
      <w:rFonts w:ascii="Georgia" w:hAnsi="Georgia"/>
      <w:b/>
      <w:i w:val="0"/>
      <w:color w:val="1A4A1A"/>
      <w:sz w:val="23"/>
    </w:rPr>
  </w:style>
  <w:style w:type="paragraph" w:customStyle="1" w:styleId="RhoBody">
    <w:name w:val="RhoBody"/>
    <w:pPr>
      <w:keepNext w:val="0"/>
      <w:spacing w:after="120" w:line="312" w:lineRule="auto"/>
      <w:jc w:val="both"/>
    </w:pPr>
    <w:rPr>
      <w:rFonts w:ascii="Arial" w:hAnsi="Arial"/>
      <w:b w:val="0"/>
      <w:i w:val="0"/>
      <w:color w:val="1A1A1A"/>
      <w:sz w:val="20"/>
    </w:rPr>
  </w:style>
  <w:style w:type="paragraph" w:customStyle="1" w:styleId="RhoLect">
    <w:name w:val="RhoLect"/>
    <w:pPr>
      <w:keepNext w:val="0"/>
      <w:spacing w:after="200" w:line="300" w:lineRule="auto"/>
    </w:pPr>
    <w:rPr>
      <w:rFonts w:ascii="Arial" w:hAnsi="Arial"/>
      <w:b w:val="0"/>
      <w:i/>
      <w:color w:val="4A4A4A"/>
      <w:sz w:val="18"/>
    </w:rPr>
  </w:style>
  <w:style w:type="paragraph" w:customStyle="1" w:styleId="RhoNote">
    <w:name w:val="RhoNote"/>
    <w:pPr>
      <w:keepNext w:val="0"/>
      <w:spacing w:after="40"/>
    </w:pPr>
    <w:rPr>
      <w:rFonts w:ascii="Arial" w:hAnsi="Arial"/>
      <w:b w:val="0"/>
      <w:i w:val="0"/>
      <w:color w:val="9A9A9A"/>
      <w:sz w:val="16"/>
    </w:rPr>
  </w:style>
  <w:style w:type="paragraph" w:customStyle="1" w:styleId="RhoBullet">
    <w:name w:val="RhoBullet"/>
    <w:pPr>
      <w:keepNext w:val="0"/>
      <w:spacing w:after="60" w:line="288" w:lineRule="auto"/>
      <w:ind w:left="340" w:hanging="340"/>
      <w:jc w:val="both"/>
    </w:pPr>
    <w:rPr>
      <w:rFonts w:ascii="Arial" w:hAnsi="Arial"/>
      <w:b w:val="0"/>
      <w:i w:val="0"/>
      <w:color w:val="1A1A1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ho-panimavida-banco.vercel.app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