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320"/>
        <w:jc w:val="center"/>
      </w:pPr>
      <w:r>
        <w:drawing>
          <wp:inline xmlns:a="http://schemas.openxmlformats.org/drawingml/2006/main" xmlns:pic="http://schemas.openxmlformats.org/drawingml/2006/picture">
            <wp:extent cx="1872000" cy="1224249"/>
            <wp:docPr id="1" name="Picture 1"/>
            <wp:cNvGraphicFramePr>
              <a:graphicFrameLocks noChangeAspect="1"/>
            </wp:cNvGraphicFramePr>
            <a:graphic>
              <a:graphicData uri="http://schemas.openxmlformats.org/drawingml/2006/picture">
                <pic:pic>
                  <pic:nvPicPr>
                    <pic:cNvPr id="0" name="rho-full.png"/>
                    <pic:cNvPicPr/>
                  </pic:nvPicPr>
                  <pic:blipFill>
                    <a:blip r:embed="rId11"/>
                    <a:stretch>
                      <a:fillRect/>
                    </a:stretch>
                  </pic:blipFill>
                  <pic:spPr>
                    <a:xfrm>
                      <a:off x="0" y="0"/>
                      <a:ext cx="1872000" cy="1224249"/>
                    </a:xfrm>
                    <a:prstGeom prst="rect"/>
                  </pic:spPr>
                </pic:pic>
              </a:graphicData>
            </a:graphic>
          </wp:inline>
        </w:drawing>
      </w:r>
    </w:p>
    <w:p>
      <w:pPr>
        <w:pStyle w:val="RhoCoverEye"/>
      </w:pPr>
      <w:r>
        <w:t>ANÁLISIS CREDITICIO · NODO PANIMÁVIDA 13.2 kV</w:t>
      </w:r>
    </w:p>
    <w:p>
      <w:pPr>
        <w:pStyle w:val="RhoCoverTitle"/>
      </w:pPr>
      <w:r>
        <w:t>Análisis crediticio del nodo Panimávida 13.2 kV</w:t>
      </w:r>
    </w:p>
    <w:p>
      <w:pPr>
        <w:pStyle w:val="RhoCoverSub"/>
      </w:pPr>
      <w:r>
        <w:t>Decisión sobre la suscripción del PPA de compra a 28 USD/MWh</w:t>
      </w:r>
    </w:p>
    <w:p>
      <w:pPr>
        <w:spacing w:before="120" w:after="200"/>
      </w:pPr>
      <w:r>
        <w:rPr>
          <w:color w:val="3C8B3C"/>
          <w:sz w:val="24"/>
        </w:rPr>
        <w:t>───────────────</w:t>
      </w:r>
    </w:p>
    <w:p>
      <w:pPr>
        <w:pStyle w:val="RhoCoverMeta"/>
      </w:pPr>
      <w:r>
        <w:rPr>
          <w:rFonts w:ascii="Arial" w:hAnsi="Arial"/>
          <w:b/>
          <w:color w:val="4A4A4A"/>
          <w:sz w:val="20"/>
        </w:rPr>
        <w:t xml:space="preserve">Preparado para: </w:t>
      </w:r>
      <w:r>
        <w:rPr>
          <w:rFonts w:ascii="Arial" w:hAnsi="Arial"/>
          <w:color w:val="4A4A4A"/>
          <w:sz w:val="20"/>
        </w:rPr>
        <w:t>Banco — Martín</w:t>
      </w:r>
    </w:p>
    <w:p>
      <w:pPr>
        <w:pStyle w:val="RhoCoverMeta"/>
      </w:pPr>
      <w:r>
        <w:rPr>
          <w:rFonts w:ascii="Arial" w:hAnsi="Arial"/>
          <w:b/>
          <w:color w:val="4A4A4A"/>
          <w:sz w:val="20"/>
        </w:rPr>
        <w:t xml:space="preserve">Audiencia: </w:t>
      </w:r>
      <w:r>
        <w:rPr>
          <w:rFonts w:ascii="Arial" w:hAnsi="Arial"/>
          <w:color w:val="4A4A4A"/>
          <w:sz w:val="20"/>
        </w:rPr>
        <w:t>Material preparado para el Comité de Crédito</w:t>
      </w:r>
    </w:p>
    <w:p>
      <w:pPr>
        <w:pStyle w:val="RhoCoverMeta"/>
      </w:pPr>
      <w:r>
        <w:rPr>
          <w:rFonts w:ascii="Arial" w:hAnsi="Arial"/>
          <w:b/>
          <w:color w:val="4A4A4A"/>
          <w:sz w:val="20"/>
        </w:rPr>
        <w:t xml:space="preserve">Fuente: </w:t>
      </w:r>
      <w:r>
        <w:rPr>
          <w:rFonts w:ascii="Arial" w:hAnsi="Arial"/>
          <w:color w:val="4A4A4A"/>
          <w:sz w:val="20"/>
        </w:rPr>
        <w:t>Coordinador Eléctrico Nacional · Versión Real Definitivo</w:t>
      </w:r>
    </w:p>
    <w:p>
      <w:pPr>
        <w:pStyle w:val="RhoCoverMeta"/>
      </w:pPr>
      <w:r>
        <w:rPr>
          <w:rFonts w:ascii="Arial" w:hAnsi="Arial"/>
          <w:b/>
          <w:color w:val="4A4A4A"/>
          <w:sz w:val="20"/>
        </w:rPr>
        <w:t xml:space="preserve">Nodo: </w:t>
      </w:r>
      <w:r>
        <w:rPr>
          <w:rFonts w:ascii="Arial" w:hAnsi="Arial"/>
          <w:color w:val="4A4A4A"/>
          <w:sz w:val="20"/>
        </w:rPr>
        <w:t>BA S/E Panimávida 13.2 kV (BP1)</w:t>
      </w:r>
    </w:p>
    <w:p>
      <w:pPr>
        <w:pStyle w:val="RhoCoverMeta"/>
      </w:pPr>
      <w:r>
        <w:rPr>
          <w:rFonts w:ascii="Arial" w:hAnsi="Arial"/>
          <w:b/>
          <w:color w:val="4A4A4A"/>
          <w:sz w:val="20"/>
        </w:rPr>
        <w:t xml:space="preserve">Período analizado: </w:t>
      </w:r>
      <w:r>
        <w:rPr>
          <w:rFonts w:ascii="Arial" w:hAnsi="Arial"/>
          <w:color w:val="4A4A4A"/>
          <w:sz w:val="20"/>
        </w:rPr>
        <w:t xml:space="preserve">2022-01-01 a 2026-05-22 — </w:t>
      </w:r>
      <w:r>
        <w:rPr>
          <w:rFonts w:ascii="Arial" w:hAnsi="Arial"/>
          <w:b/>
          <w:color w:val="4A4A4A"/>
          <w:sz w:val="20"/>
        </w:rPr>
        <w:t>38.064</w:t>
      </w:r>
      <w:r>
        <w:rPr>
          <w:rFonts w:ascii="Arial" w:hAnsi="Arial"/>
          <w:color w:val="4A4A4A"/>
          <w:sz w:val="20"/>
        </w:rPr>
        <w:t xml:space="preserve"> horas reales</w:t>
      </w:r>
    </w:p>
    <w:p>
      <w:pPr>
        <w:pStyle w:val="RhoCoverMeta"/>
      </w:pPr>
      <w:r>
        <w:rPr>
          <w:rFonts w:ascii="Arial" w:hAnsi="Arial"/>
          <w:b/>
          <w:color w:val="4A4A4A"/>
          <w:sz w:val="20"/>
        </w:rPr>
        <w:t>Versión 2.1 — Mayo 2026</w:t>
      </w:r>
    </w:p>
    <w:p>
      <w:pPr>
        <w:pStyle w:val="RhoCoverMeta"/>
        <w:spacing w:before="280"/>
      </w:pPr>
      <w:r>
        <w:rPr>
          <w:rFonts w:ascii="Arial" w:hAnsi="Arial"/>
          <w:b/>
          <w:color w:val="4A4A4A"/>
          <w:sz w:val="20"/>
        </w:rPr>
        <w:t xml:space="preserve">Versión interactiva — </w:t>
      </w:r>
      <w:hyperlink r:id="rId12">
        <w:r>
          <w:rPr>
            <w:color w:val="1A4A1A"/>
            <w:b/>
            <w:rFonts w:ascii="Arial" w:hAnsi="Arial"/>
            <w:sz w:val="20"/>
          </w:rPr>
          <w:t xml:space="preserve">https://rho-panimavida-banco.vercel.app</w:t>
        </w:r>
      </w:hyperlink>
    </w:p>
    <w:p>
      <w:pPr>
        <w:spacing w:before="1200"/>
      </w:pPr>
    </w:p>
    <w:p>
      <w:pPr>
        <w:pStyle w:val="RhoCoverConf"/>
      </w:pPr>
      <w:r>
        <w:t>CONFIDENCIAL — uso interno del Comité de Crédito</w:t>
      </w:r>
    </w:p>
    <w:p>
      <w:r>
        <w:br w:type="page"/>
      </w:r>
    </w:p>
    <w:p>
      <w:pPr>
        <w:pStyle w:val="RhoH1"/>
      </w:pPr>
      <w:r>
        <w:t>1.  Resumen ejecutivo</w:t>
      </w:r>
    </w:p>
    <w:p>
      <w:pPr>
        <w:pStyle w:val="RhoBodyLead"/>
      </w:pPr>
      <w:r>
        <w:rPr>
          <w:rFonts w:ascii="Arial" w:hAnsi="Arial"/>
          <w:color w:val="1A1A1A"/>
          <w:sz w:val="21"/>
        </w:rPr>
        <w:t>El presente análisis fundamenta, sobre la base de 38.064 horas de costo marginal real del nodo Panimávida 13.2 kV publicadas por el Coordinador Eléctrico Nacional, la decisión del proyecto stand-alone de no suscribir la oferta de PPA de compra a 28 USD/MWh en las condiciones actuales del nodo.</w:t>
      </w:r>
    </w:p>
    <w:tbl>
      <w:tblPr>
        <w:tblW w:type="auto" w:w="0"/>
        <w:tblLayout w:type="fixed"/>
        <w:tblLook w:firstColumn="1" w:firstRow="1" w:lastColumn="0" w:lastRow="0" w:noHBand="0" w:noVBand="1" w:val="04A0"/>
      </w:tblPr>
      <w:tblGrid>
        <w:gridCol w:w="4819"/>
        <w:gridCol w:w="4819"/>
      </w:tblGrid>
      <w:tr>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OFERTA DEL PPA DE COMPRA</w:t>
            </w:r>
          </w:p>
          <w:p>
            <w:pPr>
              <w:spacing w:after="40"/>
            </w:pPr>
            <w:r>
              <w:rPr>
                <w:rFonts w:ascii="Georgia" w:hAnsi="Georgia"/>
                <w:b/>
                <w:color w:val="1A4A1A"/>
                <w:sz w:val="44"/>
              </w:rPr>
              <w:t>28</w:t>
            </w:r>
            <w:r>
              <w:rPr>
                <w:rFonts w:ascii="Arial" w:hAnsi="Arial"/>
                <w:color w:val="4A4A4A"/>
                <w:sz w:val="18"/>
              </w:rPr>
              <w:t xml:space="preserve">  USD/MWh</w:t>
            </w:r>
          </w:p>
          <w:p>
            <w:pPr>
              <w:spacing w:after="40"/>
            </w:pPr>
            <w:r>
              <w:rPr>
                <w:rFonts w:ascii="Arial" w:hAnsi="Arial"/>
                <w:color w:val="4A4A4A"/>
                <w:sz w:val="16"/>
              </w:rPr>
              <w:t>Precio fijo propuesto al proyecto.</w:t>
            </w:r>
          </w:p>
        </w:tc>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COSTO MARGINAL DEL NODO · 2026</w:t>
            </w:r>
          </w:p>
          <w:p>
            <w:pPr>
              <w:spacing w:after="40"/>
            </w:pPr>
            <w:r>
              <w:rPr>
                <w:rFonts w:ascii="Georgia" w:hAnsi="Georgia"/>
                <w:b/>
                <w:color w:val="1A4A1A"/>
                <w:sz w:val="44"/>
              </w:rPr>
              <w:t>44</w:t>
            </w:r>
            <w:r>
              <w:rPr>
                <w:rFonts w:ascii="Arial" w:hAnsi="Arial"/>
                <w:color w:val="4A4A4A"/>
                <w:sz w:val="18"/>
              </w:rPr>
              <w:t xml:space="preserve">  USD/MWh</w:t>
            </w:r>
          </w:p>
          <w:p>
            <w:pPr>
              <w:spacing w:after="40"/>
            </w:pPr>
            <w:r>
              <w:rPr>
                <w:rFonts w:ascii="Arial" w:hAnsi="Arial"/>
                <w:color w:val="4A4A4A"/>
                <w:sz w:val="16"/>
              </w:rPr>
              <w:t>Promedio anual 2026 (datos a ene–22 may).</w:t>
            </w:r>
          </w:p>
        </w:tc>
      </w:tr>
      <w:tr>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PROMEDIO EN BANDA SOLAR · 2026</w:t>
            </w:r>
          </w:p>
          <w:p>
            <w:pPr>
              <w:spacing w:after="40"/>
            </w:pPr>
            <w:r>
              <w:rPr>
                <w:rFonts w:ascii="Georgia" w:hAnsi="Georgia"/>
                <w:b/>
                <w:color w:val="1A4A1A"/>
                <w:sz w:val="44"/>
              </w:rPr>
              <w:t>17</w:t>
            </w:r>
            <w:r>
              <w:rPr>
                <w:rFonts w:ascii="Arial" w:hAnsi="Arial"/>
                <w:color w:val="4A4A4A"/>
                <w:sz w:val="18"/>
              </w:rPr>
              <w:t xml:space="preserve">  USD/MWh</w:t>
            </w:r>
          </w:p>
          <w:p>
            <w:pPr>
              <w:spacing w:after="40"/>
            </w:pPr>
            <w:r>
              <w:rPr>
                <w:rFonts w:ascii="Arial" w:hAnsi="Arial"/>
                <w:color w:val="4A4A4A"/>
                <w:sz w:val="16"/>
              </w:rPr>
              <w:t>Hora 09:00 a 17:59 — período de mayor consumo solar.</w:t>
            </w:r>
          </w:p>
        </w:tc>
        <w:tc>
          <w:tcPr>
            <w:tcW w:type="dxa" w:w="4819"/>
            <w:vAlign w:val="top"/>
            <w:shd w:val="clear" w:color="auto" w:fill="F7F7F2"/>
            <w:tcBorders>
              <w:top w:val="single" w:sz="6" w:color="D8DDD3"/>
              <w:left w:val="single" w:sz="6" w:color="D8DDD3"/>
              <w:bottom w:val="single" w:sz="6" w:color="D8DDD3"/>
              <w:right w:val="single" w:sz="6" w:color="D8DDD3"/>
            </w:tcBorders>
          </w:tcPr>
          <w:p>
            <w:pPr>
              <w:spacing w:after="40"/>
            </w:pPr>
            <w:r/>
            <w:r>
              <w:rPr>
                <w:rFonts w:ascii="Arial" w:hAnsi="Arial"/>
                <w:b/>
                <w:color w:val="3C8B3C"/>
                <w:sz w:val="16"/>
              </w:rPr>
              <w:t>HORAS REALES ANALIZADAS</w:t>
            </w:r>
          </w:p>
          <w:p>
            <w:pPr>
              <w:spacing w:after="40"/>
            </w:pPr>
            <w:r>
              <w:rPr>
                <w:rFonts w:ascii="Georgia" w:hAnsi="Georgia"/>
                <w:b/>
                <w:color w:val="1A4A1A"/>
                <w:sz w:val="44"/>
              </w:rPr>
              <w:t>38.064</w:t>
            </w:r>
            <w:r>
              <w:rPr>
                <w:rFonts w:ascii="Arial" w:hAnsi="Arial"/>
                <w:color w:val="4A4A4A"/>
                <w:sz w:val="18"/>
              </w:rPr>
              <w:t xml:space="preserve">  horas</w:t>
            </w:r>
          </w:p>
          <w:p>
            <w:pPr>
              <w:spacing w:after="40"/>
            </w:pPr>
            <w:r>
              <w:rPr>
                <w:rFonts w:ascii="Arial" w:hAnsi="Arial"/>
                <w:color w:val="4A4A4A"/>
                <w:sz w:val="16"/>
              </w:rPr>
              <w:t>Serie horaria 2022-01-01 a 2026-05-22.</w:t>
            </w:r>
          </w:p>
        </w:tc>
      </w:tr>
    </w:tbl>
    <w:p/>
    <w:p>
      <w:pPr>
        <w:pStyle w:val="RhoH2"/>
      </w:pPr>
      <w:r>
        <w:t>Hechos clave</w:t>
      </w:r>
    </w:p>
    <w:p>
      <w:pPr>
        <w:pStyle w:val="RhoBullet"/>
      </w:pPr>
      <w:r>
        <w:rPr>
          <w:rFonts w:ascii="Arial" w:hAnsi="Arial"/>
          <w:color w:val="1A1A1A"/>
          <w:sz w:val="20"/>
        </w:rPr>
        <w:t xml:space="preserve">•   </w:t>
      </w:r>
      <w:r>
        <w:rPr>
          <w:rFonts w:ascii="Arial" w:hAnsi="Arial"/>
          <w:b/>
          <w:color w:val="1A1A1A"/>
          <w:sz w:val="20"/>
        </w:rPr>
        <w:t>Desacople estructural del nodo.</w:t>
      </w:r>
      <w:r>
        <w:rPr>
          <w:rFonts w:ascii="Arial" w:hAnsi="Arial"/>
          <w:color w:val="1A1A1A"/>
          <w:sz w:val="20"/>
        </w:rPr>
        <w:t xml:space="preserve"> El precio promedio ponderado del período es de </w:t>
      </w:r>
      <w:r>
        <w:rPr>
          <w:rFonts w:ascii="Arial" w:hAnsi="Arial"/>
          <w:b/>
          <w:color w:val="1A1A1A"/>
          <w:sz w:val="20"/>
        </w:rPr>
        <w:t>72 USD/MWh</w:t>
      </w:r>
      <w:r>
        <w:rPr>
          <w:rFonts w:ascii="Arial" w:hAnsi="Arial"/>
          <w:color w:val="1A1A1A"/>
          <w:sz w:val="20"/>
        </w:rPr>
        <w:t xml:space="preserve"> y de </w:t>
      </w:r>
      <w:r>
        <w:rPr>
          <w:rFonts w:ascii="Arial" w:hAnsi="Arial"/>
          <w:b/>
          <w:color w:val="1A1A1A"/>
          <w:sz w:val="20"/>
        </w:rPr>
        <w:t>83 USD/MWh</w:t>
      </w:r>
      <w:r>
        <w:rPr>
          <w:rFonts w:ascii="Arial" w:hAnsi="Arial"/>
          <w:color w:val="1A1A1A"/>
          <w:sz w:val="20"/>
        </w:rPr>
        <w:t xml:space="preserve"> en los años calendario completos; en 2026 se ubica en </w:t>
      </w:r>
      <w:r>
        <w:rPr>
          <w:rFonts w:ascii="Arial" w:hAnsi="Arial"/>
          <w:b/>
          <w:color w:val="1A1A1A"/>
          <w:sz w:val="20"/>
        </w:rPr>
        <w:t>44 USD/MWh</w:t>
      </w:r>
      <w:r>
        <w:rPr>
          <w:rFonts w:ascii="Arial" w:hAnsi="Arial"/>
          <w:color w:val="1A1A1A"/>
          <w:sz w:val="20"/>
        </w:rPr>
        <w:t>. La trayectoria muestra una compresión sostenida del precio del nodo respecto del precio ofrecido (28 USD/MWh).</w:t>
      </w:r>
    </w:p>
    <w:p>
      <w:pPr>
        <w:pStyle w:val="RhoBullet"/>
      </w:pPr>
      <w:r>
        <w:rPr>
          <w:rFonts w:ascii="Arial" w:hAnsi="Arial"/>
          <w:color w:val="1A1A1A"/>
          <w:sz w:val="20"/>
        </w:rPr>
        <w:t xml:space="preserve">•   </w:t>
      </w:r>
      <w:r>
        <w:rPr>
          <w:rFonts w:ascii="Arial" w:hAnsi="Arial"/>
          <w:b/>
          <w:color w:val="1A1A1A"/>
          <w:sz w:val="20"/>
        </w:rPr>
        <w:t>Concentración del desacople en horas solares.</w:t>
      </w:r>
      <w:r>
        <w:rPr>
          <w:rFonts w:ascii="Arial" w:hAnsi="Arial"/>
          <w:color w:val="1A1A1A"/>
          <w:sz w:val="20"/>
        </w:rPr>
        <w:t xml:space="preserve"> En la banda 09–17 h, el promedio del nodo en 2026 es de </w:t>
      </w:r>
      <w:r>
        <w:rPr>
          <w:rFonts w:ascii="Arial" w:hAnsi="Arial"/>
          <w:b/>
          <w:color w:val="1A1A1A"/>
          <w:sz w:val="20"/>
        </w:rPr>
        <w:t>17 USD/MWh</w:t>
      </w:r>
      <w:r>
        <w:rPr>
          <w:rFonts w:ascii="Arial" w:hAnsi="Arial"/>
          <w:color w:val="1A1A1A"/>
          <w:sz w:val="20"/>
        </w:rPr>
        <w:t xml:space="preserve"> y el </w:t>
      </w:r>
      <w:r>
        <w:rPr>
          <w:rFonts w:ascii="Arial" w:hAnsi="Arial"/>
          <w:b/>
          <w:color w:val="1A1A1A"/>
          <w:sz w:val="20"/>
        </w:rPr>
        <w:t>63%</w:t>
      </w:r>
      <w:r>
        <w:rPr>
          <w:rFonts w:ascii="Arial" w:hAnsi="Arial"/>
          <w:color w:val="1A1A1A"/>
          <w:sz w:val="20"/>
        </w:rPr>
        <w:t xml:space="preserve"> de las horas se transan en exactamente 0 USD/MWh. El fenómeno es estable desde 2023 y refleja restricciones de transmisión en la zona.</w:t>
      </w:r>
    </w:p>
    <w:p>
      <w:pPr>
        <w:pStyle w:val="RhoBullet"/>
      </w:pPr>
      <w:r>
        <w:rPr>
          <w:rFonts w:ascii="Arial" w:hAnsi="Arial"/>
          <w:color w:val="1A1A1A"/>
          <w:sz w:val="20"/>
        </w:rPr>
        <w:t xml:space="preserve">•   </w:t>
      </w:r>
      <w:r>
        <w:rPr>
          <w:rFonts w:ascii="Arial" w:hAnsi="Arial"/>
          <w:b/>
          <w:color w:val="1A1A1A"/>
          <w:sz w:val="20"/>
        </w:rPr>
        <w:t>Ahorro económico medible.</w:t>
      </w:r>
      <w:r>
        <w:rPr>
          <w:rFonts w:ascii="Arial" w:hAnsi="Arial"/>
          <w:color w:val="1A1A1A"/>
          <w:sz w:val="20"/>
        </w:rPr>
        <w:t xml:space="preserve"> Definiendo el ahorro unitario como max(0, PPA − spot), el promedio en horas solares de </w:t>
      </w:r>
      <w:r>
        <w:rPr>
          <w:rFonts w:ascii="Arial" w:hAnsi="Arial"/>
          <w:b/>
          <w:color w:val="1A1A1A"/>
          <w:sz w:val="20"/>
        </w:rPr>
        <w:t>2024</w:t>
      </w:r>
      <w:r>
        <w:rPr>
          <w:rFonts w:ascii="Arial" w:hAnsi="Arial"/>
          <w:color w:val="1A1A1A"/>
          <w:sz w:val="20"/>
        </w:rPr>
        <w:t xml:space="preserve"> alcanza </w:t>
      </w:r>
      <w:r>
        <w:rPr>
          <w:rFonts w:ascii="Arial" w:hAnsi="Arial"/>
          <w:b/>
          <w:color w:val="1A1A1A"/>
          <w:sz w:val="20"/>
        </w:rPr>
        <w:t>22 USD/MWh</w:t>
      </w:r>
      <w:r>
        <w:rPr>
          <w:rFonts w:ascii="Arial" w:hAnsi="Arial"/>
          <w:color w:val="1A1A1A"/>
          <w:sz w:val="20"/>
        </w:rPr>
        <w:t xml:space="preserve"> y se mantiene en </w:t>
      </w:r>
      <w:r>
        <w:rPr>
          <w:rFonts w:ascii="Arial" w:hAnsi="Arial"/>
          <w:b/>
          <w:color w:val="1A1A1A"/>
          <w:sz w:val="20"/>
        </w:rPr>
        <w:t>18 USD/MWh</w:t>
      </w:r>
      <w:r>
        <w:rPr>
          <w:rFonts w:ascii="Arial" w:hAnsi="Arial"/>
          <w:color w:val="1A1A1A"/>
          <w:sz w:val="20"/>
        </w:rPr>
        <w:t xml:space="preserve"> en 2026. Es la diferencia que captura el proyecto al abastecerse a spot en lugar de suscribir el PPA.</w:t>
      </w:r>
    </w:p>
    <w:p>
      <w:pPr>
        <w:pStyle w:val="RhoBullet"/>
      </w:pPr>
      <w:r>
        <w:rPr>
          <w:rFonts w:ascii="Arial" w:hAnsi="Arial"/>
          <w:color w:val="1A1A1A"/>
          <w:sz w:val="20"/>
        </w:rPr>
        <w:t xml:space="preserve">•   </w:t>
      </w:r>
      <w:r>
        <w:rPr>
          <w:rFonts w:ascii="Arial" w:hAnsi="Arial"/>
          <w:b/>
          <w:color w:val="1A1A1A"/>
          <w:sz w:val="20"/>
        </w:rPr>
        <w:t>Horizonte condicionado a 2030.</w:t>
      </w:r>
      <w:r>
        <w:rPr>
          <w:rFonts w:ascii="Arial" w:hAnsi="Arial"/>
          <w:color w:val="1A1A1A"/>
          <w:sz w:val="20"/>
        </w:rPr>
        <w:t xml:space="preserve"> La materialización de los refuerzos de transmisión previstos por el Coordinador y la CNE para la zona constituye el catalizador esperado para una recomposición de precios nodales y, en consecuencia, la ventana razonable para revisar la suscripción del PPA.</w:t>
      </w:r>
    </w:p>
    <w:p/>
    <w:tbl>
      <w:tblPr>
        <w:tblW w:type="auto" w:w="0"/>
        <w:tblLayout w:type="fixed"/>
        <w:tblLook w:firstColumn="1" w:firstRow="1" w:lastColumn="0" w:lastRow="0" w:noHBand="0" w:noVBand="1" w:val="04A0"/>
      </w:tblPr>
      <w:tblGrid>
        <w:gridCol w:w="9865"/>
      </w:tblGrid>
      <w:tr>
        <w:tc>
          <w:tcPr>
            <w:tcW w:type="dxa" w:w="9865"/>
            <w:shd w:val="clear" w:color="auto" w:fill="1A4A1A"/>
          </w:tcPr>
          <w:p>
            <w:pPr>
              <w:spacing w:after="0"/>
            </w:pPr>
            <w:r/>
            <w:r>
              <w:rPr>
                <w:rFonts w:ascii="Arial" w:hAnsi="Arial"/>
                <w:b/>
                <w:color w:val="FFFFFF"/>
                <w:sz w:val="18"/>
              </w:rPr>
              <w:t>RECOMENDACIÓN AL COMITÉ DE CRÉDITO</w:t>
            </w:r>
          </w:p>
        </w:tc>
      </w:tr>
    </w:tbl>
    <w:tbl>
      <w:tblPr>
        <w:tblW w:type="auto" w:w="0"/>
        <w:tblLayout w:type="fixed"/>
        <w:tblLook w:firstColumn="1" w:firstRow="1" w:lastColumn="0" w:lastRow="0" w:noHBand="0" w:noVBand="1" w:val="04A0"/>
      </w:tblPr>
      <w:tblGrid>
        <w:gridCol w:w="9865"/>
      </w:tblGrid>
      <w:tr>
        <w:tc>
          <w:tcPr>
            <w:tcW w:type="dxa" w:w="9865"/>
            <w:shd w:val="clear" w:color="auto" w:fill="F7F7F2"/>
            <w:tcBorders>
              <w:top w:val="single" w:sz="4" w:color="D8DDD3"/>
              <w:left w:val="single" w:sz="4" w:color="D8DDD3"/>
              <w:bottom w:val="single" w:sz="4" w:color="D8DDD3"/>
              <w:right w:val="single" w:sz="4" w:color="D8DDD3"/>
            </w:tcBorders>
          </w:tcPr>
          <w:p>
            <w:pPr>
              <w:jc w:val="both"/>
            </w:pPr>
            <w:r/>
            <w:r>
              <w:rPr>
                <w:rFonts w:ascii="Arial" w:hAnsi="Arial"/>
                <w:b/>
                <w:color w:val="1A1A1A"/>
                <w:sz w:val="20"/>
              </w:rPr>
              <w:t>Mantener el abastecimiento a costo spot</w:t>
            </w:r>
            <w:r>
              <w:rPr>
                <w:rFonts w:ascii="Arial" w:hAnsi="Arial"/>
                <w:color w:val="1A1A1A"/>
                <w:sz w:val="20"/>
              </w:rPr>
              <w:t xml:space="preserve"> y diferir la suscripción del PPA de compra a 28 USD/MWh hasta la entrada en operación de los refuerzos de transmisión previstos para la zona (horizonte estimado: 2030). La firma anticipada implicaría adquirir energía por encima del precio del nodo en una fracción material del día y deteriorar el costo unitario de energía del proyecto.</w:t>
            </w:r>
          </w:p>
        </w:tc>
      </w:tr>
    </w:tbl>
    <w:p>
      <w:r>
        <w:br w:type="page"/>
      </w:r>
    </w:p>
    <w:p>
      <w:pPr>
        <w:pStyle w:val="RhoH1"/>
      </w:pPr>
      <w:r>
        <w:t>2.  Marco del análisis</w:t>
      </w:r>
    </w:p>
    <w:p>
      <w:pPr>
        <w:pStyle w:val="RhoH2"/>
      </w:pPr>
      <w:r>
        <w:t>2.1  Objetivo</w:t>
      </w:r>
    </w:p>
    <w:p>
      <w:pPr>
        <w:pStyle w:val="RhoBody"/>
      </w:pPr>
      <w:r>
        <w:t>Cuantificar la exposición del proyecto stand-alone Panimávida a los precios del nodo BA S/E Panimávida 13.2 kV (BP1) y contrastarla con la oferta de PPA de compra recibida, a efectos de informar la decisión de cobertura.</w:t>
      </w:r>
    </w:p>
    <w:p>
      <w:pPr>
        <w:pStyle w:val="RhoH2"/>
      </w:pPr>
      <w:r>
        <w:t>2.2  Fuente de datos</w:t>
      </w:r>
    </w:p>
    <w:p>
      <w:pPr>
        <w:pStyle w:val="RhoBody"/>
      </w:pPr>
      <w:r>
        <w:t>Costos marginales horarios reales del Coordinador Eléctrico Nacional, versión Real Definitivo, para el período 2022-01-01 a 2026-05-22 (38.064 horas).</w:t>
      </w:r>
    </w:p>
    <w:p>
      <w:pPr>
        <w:pStyle w:val="RhoH2"/>
      </w:pPr>
      <w:r>
        <w:t>2.3  Alcance</w:t>
      </w:r>
    </w:p>
    <w:p>
      <w:pPr>
        <w:pStyle w:val="RhoBullet"/>
      </w:pPr>
      <w:r>
        <w:rPr>
          <w:rFonts w:ascii="Arial" w:hAnsi="Arial"/>
          <w:color w:val="1A1A1A"/>
          <w:sz w:val="20"/>
        </w:rPr>
        <w:t xml:space="preserve">•   </w:t>
      </w:r>
      <w:r>
        <w:rPr>
          <w:rFonts w:ascii="Arial" w:hAnsi="Arial"/>
          <w:color w:val="1A1A1A"/>
          <w:sz w:val="20"/>
        </w:rPr>
        <w:t>Reconstrucción anual y mensual del precio del nodo.</w:t>
      </w:r>
    </w:p>
    <w:p>
      <w:pPr>
        <w:pStyle w:val="RhoBullet"/>
      </w:pPr>
      <w:r>
        <w:rPr>
          <w:rFonts w:ascii="Arial" w:hAnsi="Arial"/>
          <w:color w:val="1A1A1A"/>
          <w:sz w:val="20"/>
        </w:rPr>
        <w:t xml:space="preserve">•   </w:t>
      </w:r>
      <w:r>
        <w:rPr>
          <w:rFonts w:ascii="Arial" w:hAnsi="Arial"/>
          <w:color w:val="1A1A1A"/>
          <w:sz w:val="20"/>
        </w:rPr>
        <w:t>Caracterización del perfil intradiario y desacople en horas solares.</w:t>
      </w:r>
    </w:p>
    <w:p>
      <w:pPr>
        <w:pStyle w:val="RhoBullet"/>
      </w:pPr>
      <w:r>
        <w:rPr>
          <w:rFonts w:ascii="Arial" w:hAnsi="Arial"/>
          <w:color w:val="1A1A1A"/>
          <w:sz w:val="20"/>
        </w:rPr>
        <w:t xml:space="preserve">•   </w:t>
      </w:r>
      <w:r>
        <w:rPr>
          <w:rFonts w:ascii="Arial" w:hAnsi="Arial"/>
          <w:color w:val="1A1A1A"/>
          <w:sz w:val="20"/>
        </w:rPr>
        <w:t>Comparación del precio spot con la oferta del PPA y cuantificación del ahorro unitario.</w:t>
      </w:r>
    </w:p>
    <w:p>
      <w:pPr>
        <w:pStyle w:val="RhoBullet"/>
      </w:pPr>
      <w:r>
        <w:rPr>
          <w:rFonts w:ascii="Arial" w:hAnsi="Arial"/>
          <w:color w:val="1A1A1A"/>
          <w:sz w:val="20"/>
        </w:rPr>
        <w:t xml:space="preserve">•   </w:t>
      </w:r>
      <w:r>
        <w:rPr>
          <w:rFonts w:ascii="Arial" w:hAnsi="Arial"/>
          <w:color w:val="1A1A1A"/>
          <w:sz w:val="20"/>
        </w:rPr>
        <w:t>Análisis de sensibilidad sobre el precio del PPA.</w:t>
      </w:r>
    </w:p>
    <w:p>
      <w:pPr>
        <w:pStyle w:val="RhoBullet"/>
      </w:pPr>
      <w:r>
        <w:rPr>
          <w:rFonts w:ascii="Arial" w:hAnsi="Arial"/>
          <w:color w:val="1A1A1A"/>
          <w:sz w:val="20"/>
        </w:rPr>
        <w:t xml:space="preserve">•   </w:t>
      </w:r>
      <w:r>
        <w:rPr>
          <w:rFonts w:ascii="Arial" w:hAnsi="Arial"/>
          <w:color w:val="1A1A1A"/>
          <w:sz w:val="20"/>
        </w:rPr>
        <w:t>Identificación de catalizadores y riesgos asociados.</w:t>
      </w:r>
    </w:p>
    <w:p>
      <w:pPr>
        <w:pStyle w:val="RhoH1"/>
      </w:pPr>
      <w:r>
        <w:t>3.  Hechos clave — tabla resumen anual</w:t>
      </w:r>
    </w:p>
    <w:p>
      <w:pPr>
        <w:pStyle w:val="RhoBody"/>
      </w:pPr>
      <w:r>
        <w:t>Los indicadores anuales y el detalle por hora-reloj se presentan en las tablas y gráficos siguientes. Todas las cifras son recalculadas desde la serie horaria cruda y se redondean a enteros (precios en USD/MWh y proporciones en %).</w:t>
      </w:r>
    </w:p>
    <w:tbl>
      <w:tblPr>
        <w:tblW w:type="auto" w:w="0"/>
        <w:jc w:val="center"/>
        <w:tblLayout w:type="fixed"/>
        <w:tblLook w:firstColumn="1" w:firstRow="1" w:lastColumn="0" w:lastRow="0" w:noHBand="0" w:noVBand="1" w:val="04A0"/>
      </w:tblPr>
      <w:tblGrid>
        <w:gridCol w:w="1247"/>
        <w:gridCol w:w="1020"/>
        <w:gridCol w:w="794"/>
        <w:gridCol w:w="680"/>
        <w:gridCol w:w="680"/>
        <w:gridCol w:w="794"/>
        <w:gridCol w:w="794"/>
        <w:gridCol w:w="1077"/>
        <w:gridCol w:w="907"/>
        <w:gridCol w:w="1077"/>
      </w:tblGrid>
      <w:tr>
        <w:tc>
          <w:tcPr>
            <w:tcW w:type="dxa" w:w="124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Año</w:t>
            </w:r>
          </w:p>
        </w:tc>
        <w:tc>
          <w:tcPr>
            <w:tcW w:type="dxa" w:w="1020"/>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Promedio</w:t>
            </w:r>
            <w:r>
              <w:br/>
            </w:r>
            <w:r>
              <w:rPr>
                <w:rFonts w:ascii="Arial" w:hAnsi="Arial"/>
                <w:b/>
                <w:color w:val="FFFFFF"/>
                <w:sz w:val="16"/>
              </w:rPr>
              <w:t>USD/MWh</w:t>
            </w:r>
          </w:p>
        </w:tc>
        <w:tc>
          <w:tcPr>
            <w:tcW w:type="dxa" w:w="79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Mediana</w:t>
            </w:r>
          </w:p>
        </w:tc>
        <w:tc>
          <w:tcPr>
            <w:tcW w:type="dxa" w:w="680"/>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Mín</w:t>
            </w:r>
          </w:p>
        </w:tc>
        <w:tc>
          <w:tcPr>
            <w:tcW w:type="dxa" w:w="680"/>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Máx</w:t>
            </w:r>
          </w:p>
        </w:tc>
        <w:tc>
          <w:tcPr>
            <w:tcW w:type="dxa" w:w="79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 h = 0</w:t>
            </w:r>
          </w:p>
        </w:tc>
        <w:tc>
          <w:tcPr>
            <w:tcW w:type="dxa" w:w="79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 h &lt; 28</w:t>
            </w:r>
          </w:p>
        </w:tc>
        <w:tc>
          <w:tcPr>
            <w:tcW w:type="dxa" w:w="107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Prom. solar</w:t>
            </w:r>
            <w:r>
              <w:br/>
            </w:r>
            <w:r>
              <w:rPr>
                <w:rFonts w:ascii="Arial" w:hAnsi="Arial"/>
                <w:b/>
                <w:color w:val="FFFFFF"/>
                <w:sz w:val="16"/>
              </w:rPr>
              <w:t>USD/MWh</w:t>
            </w:r>
          </w:p>
        </w:tc>
        <w:tc>
          <w:tcPr>
            <w:tcW w:type="dxa" w:w="90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 solar = 0</w:t>
            </w:r>
          </w:p>
        </w:tc>
        <w:tc>
          <w:tcPr>
            <w:tcW w:type="dxa" w:w="107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FFFFFF"/>
                <w:sz w:val="16"/>
              </w:rPr>
              <w:t>Ahorro solar</w:t>
            </w:r>
            <w:r>
              <w:br/>
            </w:r>
            <w:r>
              <w:rPr>
                <w:rFonts w:ascii="Arial" w:hAnsi="Arial"/>
                <w:b/>
                <w:color w:val="FFFFFF"/>
                <w:sz w:val="16"/>
              </w:rPr>
              <w:t>USD/MWh</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6"/>
              </w:rPr>
              <w:t>2022</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108</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101</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458</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19%</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21%</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64</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45%</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13</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6"/>
              </w:rPr>
              <w:t>2023</w:t>
            </w:r>
          </w:p>
        </w:tc>
        <w:tc>
          <w:tcPr>
            <w:tcW w:type="dxa" w:w="102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79</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70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330</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31%</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34%</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32</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67%</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19</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2024</w:t>
            </w:r>
            <w:r>
              <w:br/>
            </w:r>
            <w:r>
              <w:rPr>
                <w:rFonts w:ascii="Arial" w:hAnsi="Arial"/>
                <w:color w:val="1A1A1A"/>
                <w:sz w:val="16"/>
              </w:rPr>
              <w:t>(sin 15–31 jul)</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47</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55</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462</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36%</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41%</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15</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79%</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22</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b/>
                <w:color w:val="1A1A1A"/>
                <w:sz w:val="16"/>
              </w:rPr>
              <w:t>2025</w:t>
            </w:r>
          </w:p>
        </w:tc>
        <w:tc>
          <w:tcPr>
            <w:tcW w:type="dxa" w:w="102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63</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577</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25%</w:t>
            </w:r>
          </w:p>
        </w:tc>
        <w:tc>
          <w:tcPr>
            <w:tcW w:type="dxa" w:w="79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29%</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36</w:t>
            </w:r>
          </w:p>
        </w:tc>
        <w:tc>
          <w:tcPr>
            <w:tcW w:type="dxa" w:w="90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56%</w:t>
            </w:r>
          </w:p>
        </w:tc>
        <w:tc>
          <w:tcPr>
            <w:tcW w:type="dxa" w:w="107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16</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2026</w:t>
            </w:r>
            <w:r>
              <w:br/>
            </w:r>
            <w:r>
              <w:rPr>
                <w:rFonts w:ascii="Arial" w:hAnsi="Arial"/>
                <w:color w:val="1A1A1A"/>
                <w:sz w:val="16"/>
              </w:rPr>
              <w:t>(ene–22 may)</w:t>
            </w:r>
          </w:p>
        </w:tc>
        <w:tc>
          <w:tcPr>
            <w:tcW w:type="dxa" w:w="102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44</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51</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0</w:t>
            </w:r>
          </w:p>
        </w:tc>
        <w:tc>
          <w:tcPr>
            <w:tcW w:type="dxa" w:w="680"/>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272</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27%</w:t>
            </w:r>
          </w:p>
        </w:tc>
        <w:tc>
          <w:tcPr>
            <w:tcW w:type="dxa" w:w="79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32%</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17</w:t>
            </w:r>
          </w:p>
        </w:tc>
        <w:tc>
          <w:tcPr>
            <w:tcW w:type="dxa" w:w="90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63%</w:t>
            </w:r>
          </w:p>
        </w:tc>
        <w:tc>
          <w:tcPr>
            <w:tcW w:type="dxa" w:w="107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br/>
            </w:r>
            <w:r>
              <w:rPr>
                <w:rFonts w:ascii="Arial" w:hAnsi="Arial"/>
                <w:color w:val="1A1A1A"/>
                <w:sz w:val="16"/>
              </w:rPr>
              <w:t>18</w:t>
            </w:r>
          </w:p>
        </w:tc>
      </w:tr>
    </w:tbl>
    <w:p>
      <w:pPr>
        <w:pStyle w:val="RhoNote"/>
      </w:pPr>
      <w:r>
        <w:t>Cifras recalculadas desde la serie horaria cruda (Datos_CMg). Regla única de redondeo: precios y porcentajes a enteros.</w:t>
      </w:r>
    </w:p>
    <w:p>
      <w:r>
        <w:br w:type="page"/>
      </w:r>
    </w:p>
    <w:p>
      <w:pPr>
        <w:pStyle w:val="RhoH1"/>
      </w:pPr>
      <w:r>
        <w:t>4.  Evidencia cuantitativa</w:t>
      </w:r>
    </w:p>
    <w:p>
      <w:pPr>
        <w:pStyle w:val="RhoH2"/>
      </w:pPr>
      <w:r>
        <w:t>4.1  Tendencia mensual del precio del nodo</w:t>
      </w:r>
    </w:p>
    <w:p>
      <w:pPr>
        <w:spacing w:before="40" w:after="40"/>
        <w:jc w:val="center"/>
      </w:pPr>
      <w:r>
        <w:drawing>
          <wp:inline xmlns:a="http://schemas.openxmlformats.org/drawingml/2006/main" xmlns:pic="http://schemas.openxmlformats.org/drawingml/2006/picture">
            <wp:extent cx="5760000" cy="1939309"/>
            <wp:docPr id="2" name="Picture 2"/>
            <wp:cNvGraphicFramePr>
              <a:graphicFrameLocks noChangeAspect="1"/>
            </wp:cNvGraphicFramePr>
            <a:graphic>
              <a:graphicData uri="http://schemas.openxmlformats.org/drawingml/2006/picture">
                <pic:pic>
                  <pic:nvPicPr>
                    <pic:cNvPr id="0" name="g1_mensual.png"/>
                    <pic:cNvPicPr/>
                  </pic:nvPicPr>
                  <pic:blipFill>
                    <a:blip r:embed="rId13"/>
                    <a:stretch>
                      <a:fillRect/>
                    </a:stretch>
                  </pic:blipFill>
                  <pic:spPr>
                    <a:xfrm>
                      <a:off x="0" y="0"/>
                      <a:ext cx="5760000" cy="1939309"/>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El promedio mensual del costo marginal del nodo cruza por debajo de la referencia del PPA (28 USD/MWh) durante una fracción creciente del año desde 2023. El promedio anual disminuye desde </w:t>
      </w:r>
      <w:r>
        <w:rPr>
          <w:rFonts w:ascii="Arial" w:hAnsi="Arial"/>
          <w:b/>
          <w:i/>
          <w:color w:val="4A4A4A"/>
          <w:sz w:val="18"/>
        </w:rPr>
        <w:t>108 USD/MWh</w:t>
      </w:r>
      <w:r>
        <w:rPr>
          <w:rFonts w:ascii="Arial" w:hAnsi="Arial"/>
          <w:i/>
          <w:color w:val="4A4A4A"/>
          <w:sz w:val="18"/>
        </w:rPr>
        <w:t xml:space="preserve"> en 2022 a </w:t>
      </w:r>
      <w:r>
        <w:rPr>
          <w:rFonts w:ascii="Arial" w:hAnsi="Arial"/>
          <w:b/>
          <w:i/>
          <w:color w:val="4A4A4A"/>
          <w:sz w:val="18"/>
        </w:rPr>
        <w:t>44 USD/MWh</w:t>
      </w:r>
      <w:r>
        <w:rPr>
          <w:rFonts w:ascii="Arial" w:hAnsi="Arial"/>
          <w:i/>
          <w:color w:val="4A4A4A"/>
          <w:sz w:val="18"/>
        </w:rPr>
        <w:t xml:space="preserve"> en 2026 — un descenso acumulado de aproximadamente </w:t>
      </w:r>
      <w:r>
        <w:rPr>
          <w:rFonts w:ascii="Arial" w:hAnsi="Arial"/>
          <w:b/>
          <w:i/>
          <w:color w:val="4A4A4A"/>
          <w:sz w:val="18"/>
        </w:rPr>
        <w:t>64 USD/MWh</w:t>
      </w:r>
      <w:r>
        <w:rPr>
          <w:rFonts w:ascii="Arial" w:hAnsi="Arial"/>
          <w:i/>
          <w:color w:val="4A4A4A"/>
          <w:sz w:val="18"/>
        </w:rPr>
        <w:t>.</w:t>
      </w:r>
    </w:p>
    <w:p>
      <w:pPr>
        <w:pStyle w:val="RhoH2"/>
      </w:pPr>
      <w:r>
        <w:t>4.2  Perfil intradiario del precio por año (gráfico héroe)</w:t>
      </w:r>
    </w:p>
    <w:p>
      <w:pPr>
        <w:spacing w:before="40" w:after="40"/>
        <w:jc w:val="center"/>
      </w:pPr>
      <w:r>
        <w:drawing>
          <wp:inline xmlns:a="http://schemas.openxmlformats.org/drawingml/2006/main" xmlns:pic="http://schemas.openxmlformats.org/drawingml/2006/picture">
            <wp:extent cx="5940000" cy="2202501"/>
            <wp:docPr id="3" name="Picture 3"/>
            <wp:cNvGraphicFramePr>
              <a:graphicFrameLocks noChangeAspect="1"/>
            </wp:cNvGraphicFramePr>
            <a:graphic>
              <a:graphicData uri="http://schemas.openxmlformats.org/drawingml/2006/picture">
                <pic:pic>
                  <pic:nvPicPr>
                    <pic:cNvPr id="0" name="g2_perfil_precio.png"/>
                    <pic:cNvPicPr/>
                  </pic:nvPicPr>
                  <pic:blipFill>
                    <a:blip r:embed="rId14"/>
                    <a:stretch>
                      <a:fillRect/>
                    </a:stretch>
                  </pic:blipFill>
                  <pic:spPr>
                    <a:xfrm>
                      <a:off x="0" y="0"/>
                      <a:ext cx="5940000" cy="2202501"/>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En la banda solar (09–17 h) el precio del nodo se sitúa de manera estructural por debajo de la oferta del PPA. El promedio en esa franja oscila entre </w:t>
      </w:r>
      <w:r>
        <w:rPr>
          <w:rFonts w:ascii="Arial" w:hAnsi="Arial"/>
          <w:b/>
          <w:i/>
          <w:color w:val="4A4A4A"/>
          <w:sz w:val="18"/>
        </w:rPr>
        <w:t>15 y 64 USD/MWh</w:t>
      </w:r>
      <w:r>
        <w:rPr>
          <w:rFonts w:ascii="Arial" w:hAnsi="Arial"/>
          <w:i/>
          <w:color w:val="4A4A4A"/>
          <w:sz w:val="18"/>
        </w:rPr>
        <w:t xml:space="preserve"> según el año analizado. Fuera de la franja solar, el precio se recompone — pero la oferta del PPA implica pagar el precio fijo también durante las horas en que el spot resulta más barato.</w:t>
      </w:r>
    </w:p>
    <w:p>
      <w:r>
        <w:br w:type="page"/>
      </w:r>
    </w:p>
    <w:p>
      <w:pPr>
        <w:pStyle w:val="RhoH2"/>
      </w:pPr>
      <w:r>
        <w:t>4.3  Ahorro económico del spot frente al PPA, por hora</w:t>
      </w:r>
    </w:p>
    <w:p>
      <w:pPr>
        <w:spacing w:before="40" w:after="40"/>
        <w:jc w:val="center"/>
      </w:pPr>
      <w:r>
        <w:drawing>
          <wp:inline xmlns:a="http://schemas.openxmlformats.org/drawingml/2006/main" xmlns:pic="http://schemas.openxmlformats.org/drawingml/2006/picture">
            <wp:extent cx="5760000" cy="2135759"/>
            <wp:docPr id="4" name="Picture 4"/>
            <wp:cNvGraphicFramePr>
              <a:graphicFrameLocks noChangeAspect="1"/>
            </wp:cNvGraphicFramePr>
            <a:graphic>
              <a:graphicData uri="http://schemas.openxmlformats.org/drawingml/2006/picture">
                <pic:pic>
                  <pic:nvPicPr>
                    <pic:cNvPr id="0" name="g3_ahorro.png"/>
                    <pic:cNvPicPr/>
                  </pic:nvPicPr>
                  <pic:blipFill>
                    <a:blip r:embed="rId15"/>
                    <a:stretch>
                      <a:fillRect/>
                    </a:stretch>
                  </pic:blipFill>
                  <pic:spPr>
                    <a:xfrm>
                      <a:off x="0" y="0"/>
                      <a:ext cx="5760000" cy="2135759"/>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El ahorro unitario por consumir desde el mercado spot en lugar de suscribir el PPA, definido como max(0, 28 − precio spot), alcanza su máximo en horas solares. En </w:t>
      </w:r>
      <w:r>
        <w:rPr>
          <w:rFonts w:ascii="Arial" w:hAnsi="Arial"/>
          <w:b/>
          <w:i/>
          <w:color w:val="4A4A4A"/>
          <w:sz w:val="18"/>
        </w:rPr>
        <w:t>2024</w:t>
      </w:r>
      <w:r>
        <w:rPr>
          <w:rFonts w:ascii="Arial" w:hAnsi="Arial"/>
          <w:i/>
          <w:color w:val="4A4A4A"/>
          <w:sz w:val="18"/>
        </w:rPr>
        <w:t xml:space="preserve">, el ahorro promedio en banda solar fue de </w:t>
      </w:r>
      <w:r>
        <w:rPr>
          <w:rFonts w:ascii="Arial" w:hAnsi="Arial"/>
          <w:b/>
          <w:i/>
          <w:color w:val="4A4A4A"/>
          <w:sz w:val="18"/>
        </w:rPr>
        <w:t>22 USD/MWh</w:t>
      </w:r>
      <w:r>
        <w:rPr>
          <w:rFonts w:ascii="Arial" w:hAnsi="Arial"/>
          <w:i/>
          <w:color w:val="4A4A4A"/>
          <w:sz w:val="18"/>
        </w:rPr>
        <w:t xml:space="preserve"> y en 2026 se mantiene en </w:t>
      </w:r>
      <w:r>
        <w:rPr>
          <w:rFonts w:ascii="Arial" w:hAnsi="Arial"/>
          <w:b/>
          <w:i/>
          <w:color w:val="4A4A4A"/>
          <w:sz w:val="18"/>
        </w:rPr>
        <w:t>18 USD/MWh</w:t>
      </w:r>
      <w:r>
        <w:rPr>
          <w:rFonts w:ascii="Arial" w:hAnsi="Arial"/>
          <w:i/>
          <w:color w:val="4A4A4A"/>
          <w:sz w:val="18"/>
        </w:rPr>
        <w:t>.</w:t>
      </w:r>
    </w:p>
    <w:p>
      <w:pPr>
        <w:pStyle w:val="RhoH2"/>
      </w:pPr>
      <w:r>
        <w:t>4.4  Mapa de calor del precio (USD/MWh)</w:t>
      </w:r>
    </w:p>
    <w:p>
      <w:pPr>
        <w:spacing w:before="40" w:after="40"/>
        <w:jc w:val="center"/>
      </w:pPr>
      <w:r>
        <w:drawing>
          <wp:inline xmlns:a="http://schemas.openxmlformats.org/drawingml/2006/main" xmlns:pic="http://schemas.openxmlformats.org/drawingml/2006/picture">
            <wp:extent cx="5940000" cy="2176091"/>
            <wp:docPr id="5" name="Picture 5"/>
            <wp:cNvGraphicFramePr>
              <a:graphicFrameLocks noChangeAspect="1"/>
            </wp:cNvGraphicFramePr>
            <a:graphic>
              <a:graphicData uri="http://schemas.openxmlformats.org/drawingml/2006/picture">
                <pic:pic>
                  <pic:nvPicPr>
                    <pic:cNvPr id="0" name="g4_heatmap_precio.png"/>
                    <pic:cNvPicPr/>
                  </pic:nvPicPr>
                  <pic:blipFill>
                    <a:blip r:embed="rId16"/>
                    <a:stretch>
                      <a:fillRect/>
                    </a:stretch>
                  </pic:blipFill>
                  <pic:spPr>
                    <a:xfrm>
                      <a:off x="0" y="0"/>
                      <a:ext cx="5940000" cy="2176091"/>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La matriz año-hora del precio del nodo, con escala divergente en 28 USD/MWh, evidencia que la mayor parte de las horas centrales del día se transan por debajo de la oferta del PPA (tonos verdes) y que ese bloque se ha ampliado e intensificado desde 2023, en línea con la saturación de la generación solar en la zona.</w:t>
      </w:r>
    </w:p>
    <w:p>
      <w:r>
        <w:br w:type="page"/>
      </w:r>
    </w:p>
    <w:p>
      <w:pPr>
        <w:pStyle w:val="RhoH1"/>
      </w:pPr>
      <w:r>
        <w:t>5.  Análisis de sensibilidad sobre el precio del PPA</w:t>
      </w:r>
    </w:p>
    <w:p>
      <w:pPr>
        <w:pStyle w:val="RhoBody"/>
      </w:pPr>
      <w:r>
        <w:t>La tabla siguiente cuantifica el ahorro promedio en horas solares como max(0, P − spot), considerando precios alternativos de PPA (P) entre 22 y 34 USD/MWh. La sensibilidad es positiva en todos los escenarios evaluados, lo que indica que la conclusión es robusta frente a una renegociación moderada del precio ofrecido.</w:t>
      </w:r>
    </w:p>
    <w:tbl>
      <w:tblPr>
        <w:tblW w:type="auto" w:w="0"/>
        <w:jc w:val="center"/>
        <w:tblLayout w:type="fixed"/>
        <w:tblLook w:firstColumn="1" w:firstRow="1" w:lastColumn="0" w:lastRow="0" w:noHBand="0" w:noVBand="1" w:val="04A0"/>
      </w:tblPr>
      <w:tblGrid>
        <w:gridCol w:w="1247"/>
        <w:gridCol w:w="1474"/>
        <w:gridCol w:w="1474"/>
        <w:gridCol w:w="1474"/>
        <w:gridCol w:w="1474"/>
        <w:gridCol w:w="1474"/>
      </w:tblGrid>
      <w:tr>
        <w:tc>
          <w:tcPr>
            <w:tcW w:type="dxa" w:w="1247"/>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Año</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22</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25</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28</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30</w:t>
            </w:r>
          </w:p>
        </w:tc>
        <w:tc>
          <w:tcPr>
            <w:tcW w:type="dxa" w:w="1474"/>
            <w:vAlign w:val="center"/>
            <w:shd w:val="clear" w:color="auto" w:fill="1A4A1A"/>
            <w:tcBorders>
              <w:top w:val="single" w:sz="4" w:color="D8DDD3"/>
              <w:left w:val="single" w:sz="4" w:color="D8DDD3"/>
              <w:bottom w:val="single" w:sz="4" w:color="D8DDD3"/>
              <w:right w:val="single" w:sz="4" w:color="D8DDD3"/>
            </w:tcBorders>
          </w:tcPr>
          <w:p>
            <w:pPr>
              <w:spacing w:after="0"/>
              <w:jc w:val="center"/>
            </w:pPr>
            <w:r/>
            <w:r>
              <w:rPr>
                <w:rFonts w:ascii="Arial" w:hAnsi="Arial"/>
                <w:b/>
                <w:color w:val="FFFFFF"/>
                <w:sz w:val="18"/>
              </w:rPr>
              <w:t>P = 34</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2022</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10</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12</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13</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16</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2023</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15</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17</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19</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21</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23</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18</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22</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27</w:t>
            </w:r>
          </w:p>
        </w:tc>
      </w:tr>
      <w:tr>
        <w:tc>
          <w:tcPr>
            <w:tcW w:type="dxa" w:w="1247"/>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2025</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13</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15</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16</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18</w:t>
            </w:r>
          </w:p>
        </w:tc>
        <w:tc>
          <w:tcPr>
            <w:tcW w:type="dxa" w:w="1474"/>
            <w:vAlign w:val="center"/>
            <w:shd w:val="clear" w:color="auto" w:fill="F7F7F2"/>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r>
      <w:tr>
        <w:tc>
          <w:tcPr>
            <w:tcW w:type="dxa" w:w="1247"/>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b/>
                <w:color w:val="1A1A1A"/>
                <w:sz w:val="20"/>
              </w:rPr>
              <w:t>2026</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14</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16</w:t>
            </w:r>
          </w:p>
        </w:tc>
        <w:tc>
          <w:tcPr>
            <w:tcW w:type="dxa" w:w="1474"/>
            <w:vAlign w:val="center"/>
            <w:shd w:val="clear" w:color="auto" w:fill="DCEAD3"/>
            <w:tcBorders>
              <w:top w:val="single" w:sz="8" w:color="3C8B3C"/>
              <w:left w:val="single" w:sz="8" w:color="3C8B3C"/>
              <w:bottom w:val="single" w:sz="8" w:color="3C8B3C"/>
              <w:right w:val="single" w:sz="8" w:color="3C8B3C"/>
            </w:tcBorders>
          </w:tcPr>
          <w:p>
            <w:pPr>
              <w:spacing w:after="0"/>
              <w:jc w:val="center"/>
            </w:pPr>
            <w:r/>
            <w:r>
              <w:rPr>
                <w:rFonts w:ascii="Arial" w:hAnsi="Arial"/>
                <w:color w:val="1A1A1A"/>
                <w:sz w:val="20"/>
              </w:rPr>
              <w:t>18</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20</w:t>
            </w:r>
          </w:p>
        </w:tc>
        <w:tc>
          <w:tcPr>
            <w:tcW w:type="dxa" w:w="1474"/>
            <w:vAlign w:val="center"/>
            <w:shd w:val="clear" w:color="auto" w:fill="FFFFFF"/>
            <w:tcBorders>
              <w:top w:val="single" w:sz="4" w:color="D8DDD3"/>
              <w:left w:val="single" w:sz="4" w:color="D8DDD3"/>
              <w:bottom w:val="single" w:sz="4" w:color="D8DDD3"/>
              <w:right w:val="single" w:sz="4" w:color="D8DDD3"/>
            </w:tcBorders>
          </w:tcPr>
          <w:p>
            <w:pPr>
              <w:spacing w:after="0"/>
              <w:jc w:val="center"/>
            </w:pPr>
            <w:r/>
            <w:r>
              <w:rPr>
                <w:rFonts w:ascii="Arial" w:hAnsi="Arial"/>
                <w:color w:val="1A1A1A"/>
                <w:sz w:val="20"/>
              </w:rPr>
              <w:t>23</w:t>
            </w:r>
          </w:p>
        </w:tc>
      </w:tr>
    </w:tbl>
    <w:p>
      <w:pPr>
        <w:pStyle w:val="RhoNote"/>
      </w:pPr>
      <w:r>
        <w:t>Ahorro promedio en banda solar (09–17 h) = max(0, P − spot). Columna destacada: oferta vigente del PPA (28 USD/MWh).</w:t>
      </w:r>
    </w:p>
    <w:p>
      <w:pPr>
        <w:pStyle w:val="RhoH1"/>
      </w:pPr>
      <w:r>
        <w:t>6.  Marco regulatorio y horizonte 2030</w:t>
      </w:r>
    </w:p>
    <w:p>
      <w:pPr>
        <w:pStyle w:val="RhoH2"/>
      </w:pPr>
      <w:r>
        <w:t>6.1  Marco institucional</w:t>
      </w:r>
    </w:p>
    <w:p>
      <w:pPr>
        <w:pStyle w:val="RhoBody"/>
      </w:pPr>
      <w:r>
        <w:t>El Coordinador Eléctrico Nacional es el organismo responsable de la coordinación del sistema eléctrico chileno y de la determinación de los costos marginales por nodo. La Comisión Nacional de Energía publica los planes de expansión de transmisión que delinean el horizonte de recomposición de los precios nodales. Las publicaciones vigentes identifican refuerzos previstos para la zona del nodo Panimávida con entrada en operación esperable hacia 2030.</w:t>
      </w:r>
    </w:p>
    <w:p>
      <w:pPr>
        <w:pStyle w:val="RhoH2"/>
      </w:pPr>
      <w:r>
        <w:t>6.2  Horizonte de revisión</w:t>
      </w:r>
    </w:p>
    <w:p>
      <w:pPr>
        <w:pStyle w:val="RhoBody"/>
      </w:pPr>
      <w:r>
        <w:rPr>
          <w:rFonts w:ascii="Arial" w:hAnsi="Arial"/>
          <w:color w:val="1A1A1A"/>
          <w:sz w:val="20"/>
        </w:rPr>
        <w:t xml:space="preserve">Mientras persistan las condiciones actuales del nodo, la estrategia de menor costo es abastecerse a costo spot. La suscripción del PPA de compra resulta económicamente atractiva en escenarios en que el precio del nodo se recompone de manera sostenida por encima de la referencia ofrecida — escenario plausible a partir de la entrada en operación de los refuerzos de transmisión, pero </w:t>
      </w:r>
      <w:r>
        <w:rPr>
          <w:rFonts w:ascii="Arial" w:hAnsi="Arial"/>
          <w:i/>
          <w:color w:val="1A1A1A"/>
          <w:sz w:val="20"/>
        </w:rPr>
        <w:t>no verificable como certeza al cierre del presente análisis</w:t>
      </w:r>
      <w:r>
        <w:rPr>
          <w:rFonts w:ascii="Arial" w:hAnsi="Arial"/>
          <w:color w:val="1A1A1A"/>
          <w:sz w:val="20"/>
        </w:rPr>
        <w:t>.</w:t>
      </w:r>
    </w:p>
    <w:p>
      <w:r>
        <w:br w:type="page"/>
      </w:r>
    </w:p>
    <w:p>
      <w:pPr>
        <w:pStyle w:val="RhoH1"/>
      </w:pPr>
      <w:r>
        <w:t>7.  Recomendación al Comité de Crédito</w:t>
      </w:r>
    </w:p>
    <w:p>
      <w:pPr>
        <w:pStyle w:val="RhoBullet"/>
      </w:pPr>
      <w:r>
        <w:rPr>
          <w:rFonts w:ascii="Arial" w:hAnsi="Arial"/>
          <w:color w:val="1A1A1A"/>
          <w:sz w:val="20"/>
        </w:rPr>
        <w:t xml:space="preserve">•   </w:t>
      </w:r>
      <w:r>
        <w:rPr>
          <w:rFonts w:ascii="Arial" w:hAnsi="Arial"/>
          <w:b/>
          <w:color w:val="1A1A1A"/>
          <w:sz w:val="20"/>
        </w:rPr>
        <w:t>No suscribir</w:t>
      </w:r>
      <w:r>
        <w:rPr>
          <w:rFonts w:ascii="Arial" w:hAnsi="Arial"/>
          <w:color w:val="1A1A1A"/>
          <w:sz w:val="20"/>
        </w:rPr>
        <w:t xml:space="preserve"> la oferta de PPA de compra a 28 USD/MWh en las condiciones actuales del nodo.</w:t>
      </w:r>
    </w:p>
    <w:p>
      <w:pPr>
        <w:pStyle w:val="RhoBullet"/>
      </w:pPr>
      <w:r>
        <w:rPr>
          <w:rFonts w:ascii="Arial" w:hAnsi="Arial"/>
          <w:color w:val="1A1A1A"/>
          <w:sz w:val="20"/>
        </w:rPr>
        <w:t xml:space="preserve">•   </w:t>
      </w:r>
      <w:r>
        <w:rPr>
          <w:rFonts w:ascii="Arial" w:hAnsi="Arial"/>
          <w:b/>
          <w:color w:val="1A1A1A"/>
          <w:sz w:val="20"/>
        </w:rPr>
        <w:t>Abastecerse a costo spot</w:t>
      </w:r>
      <w:r>
        <w:rPr>
          <w:rFonts w:ascii="Arial" w:hAnsi="Arial"/>
          <w:color w:val="1A1A1A"/>
          <w:sz w:val="20"/>
        </w:rPr>
        <w:t xml:space="preserve"> mientras persista el desacople estructural del nodo, preservando el costo unitario de energía del proyecto.</w:t>
      </w:r>
    </w:p>
    <w:p>
      <w:pPr>
        <w:pStyle w:val="RhoBullet"/>
      </w:pPr>
      <w:r>
        <w:rPr>
          <w:rFonts w:ascii="Arial" w:hAnsi="Arial"/>
          <w:color w:val="1A1A1A"/>
          <w:sz w:val="20"/>
        </w:rPr>
        <w:t xml:space="preserve">•   </w:t>
      </w:r>
      <w:r>
        <w:rPr>
          <w:rFonts w:ascii="Arial" w:hAnsi="Arial"/>
          <w:b/>
          <w:color w:val="1A1A1A"/>
          <w:sz w:val="20"/>
        </w:rPr>
        <w:t>Reevaluar la suscripción del PPA hacia 2030</w:t>
      </w:r>
      <w:r>
        <w:rPr>
          <w:rFonts w:ascii="Arial" w:hAnsi="Arial"/>
          <w:color w:val="1A1A1A"/>
          <w:sz w:val="20"/>
        </w:rPr>
        <w:t>, condicionada a la entrada en operación de los refuerzos de transmisión previstos por el Coordinador y la CNE.</w:t>
      </w:r>
    </w:p>
    <w:p>
      <w:pPr>
        <w:pStyle w:val="RhoBullet"/>
      </w:pPr>
      <w:r>
        <w:rPr>
          <w:rFonts w:ascii="Arial" w:hAnsi="Arial"/>
          <w:color w:val="1A1A1A"/>
          <w:sz w:val="20"/>
        </w:rPr>
        <w:t xml:space="preserve">•   </w:t>
      </w:r>
      <w:r>
        <w:rPr>
          <w:rFonts w:ascii="Arial" w:hAnsi="Arial"/>
          <w:b/>
          <w:color w:val="1A1A1A"/>
          <w:sz w:val="20"/>
        </w:rPr>
        <w:t>Monitorear trimestralmente</w:t>
      </w:r>
      <w:r>
        <w:rPr>
          <w:rFonts w:ascii="Arial" w:hAnsi="Arial"/>
          <w:color w:val="1A1A1A"/>
          <w:sz w:val="20"/>
        </w:rPr>
        <w:t xml:space="preserve"> los indicadores de precio del nodo (promedio anual, fracción de horas en cero y ahorro vs. PPA) para detectar tempranamente cualquier inflexión que justifique adelantar la decisión.</w:t>
      </w:r>
    </w:p>
    <w:p>
      <w:pPr>
        <w:pStyle w:val="RhoH1"/>
      </w:pPr>
      <w:r>
        <w:t>8.  Riesgos identificados y mitigantes</w:t>
      </w:r>
    </w:p>
    <w:tbl>
      <w:tblPr>
        <w:tblW w:type="auto" w:w="0"/>
        <w:tblLayout w:type="fixed"/>
        <w:tblLook w:firstColumn="1" w:firstRow="1" w:lastColumn="0" w:lastRow="0" w:noHBand="0" w:noVBand="1" w:val="04A0"/>
      </w:tblPr>
      <w:tblGrid>
        <w:gridCol w:w="2494"/>
        <w:gridCol w:w="3628"/>
        <w:gridCol w:w="3742"/>
      </w:tblGrid>
      <w:tr>
        <w:tc>
          <w:tcPr>
            <w:tcW w:type="dxa" w:w="2494"/>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Riesgo</w:t>
            </w:r>
          </w:p>
        </w:tc>
        <w:tc>
          <w:tcPr>
            <w:tcW w:type="dxa" w:w="3628"/>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Descripción</w:t>
            </w:r>
          </w:p>
        </w:tc>
        <w:tc>
          <w:tcPr>
            <w:tcW w:type="dxa" w:w="3742"/>
            <w:vAlign w:val="center"/>
            <w:shd w:val="clear" w:color="auto" w:fill="1A4A1A"/>
            <w:tcBorders>
              <w:top w:val="single" w:sz="4" w:color="D8DDD3"/>
              <w:left w:val="single" w:sz="4" w:color="D8DDD3"/>
              <w:bottom w:val="single" w:sz="4" w:color="D8DDD3"/>
              <w:right w:val="single" w:sz="4" w:color="D8DDD3"/>
            </w:tcBorders>
          </w:tcPr>
          <w:p>
            <w:pPr>
              <w:spacing w:after="0"/>
              <w:jc w:val="left"/>
            </w:pPr>
            <w:r/>
            <w:r>
              <w:rPr>
                <w:rFonts w:ascii="Arial" w:hAnsi="Arial"/>
                <w:b/>
                <w:color w:val="FFFFFF"/>
                <w:sz w:val="18"/>
              </w:rPr>
              <w:t>Mitigante</w:t>
            </w:r>
          </w:p>
        </w:tc>
      </w:tr>
      <w:tr>
        <w:tc>
          <w:tcPr>
            <w:tcW w:type="dxa" w:w="2494"/>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Recomposición anticipada del precio del nodo</w:t>
            </w:r>
          </w:p>
        </w:tc>
        <w:tc>
          <w:tcPr>
            <w:tcW w:type="dxa" w:w="3628"/>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Aceleración del cronograma de refuerzos de transmisión o salida temprana de la generación solar saturada podría llevar al precio del nodo por encima de la oferta del PPA antes de 2030.</w:t>
            </w:r>
          </w:p>
        </w:tc>
        <w:tc>
          <w:tcPr>
            <w:tcW w:type="dxa" w:w="3742"/>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Monitoreo trimestral de indicadores nodales con reevaluación formal cuando el promedio anual supere 22 USD/MWh por dos trimestres consecutivos.</w:t>
            </w:r>
          </w:p>
        </w:tc>
      </w:tr>
      <w:tr>
        <w:tc>
          <w:tcPr>
            <w:tcW w:type="dxa" w:w="2494"/>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Retiro de la oferta del PPA</w:t>
            </w:r>
          </w:p>
        </w:tc>
        <w:tc>
          <w:tcPr>
            <w:tcW w:type="dxa" w:w="3628"/>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La contraparte podría retirar o modificar la oferta ante una negativa prolongada.</w:t>
            </w:r>
          </w:p>
        </w:tc>
        <w:tc>
          <w:tcPr>
            <w:tcW w:type="dxa" w:w="3742"/>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Documentar la decisión, mantener canal abierto con la contraparte y dejar constancia de la disposición del proyecto a revisar la propuesta bajo nuevos parámetros.</w:t>
            </w:r>
          </w:p>
        </w:tc>
      </w:tr>
      <w:tr>
        <w:tc>
          <w:tcPr>
            <w:tcW w:type="dxa" w:w="2494"/>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Cambios regulatorios (CMg piso o ajustes de asignación nodal)</w:t>
            </w:r>
          </w:p>
        </w:tc>
        <w:tc>
          <w:tcPr>
            <w:tcW w:type="dxa" w:w="3628"/>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Eventuales modificaciones normativas podrían alterar el comportamiento del costo marginal en el nodo.</w:t>
            </w:r>
          </w:p>
        </w:tc>
        <w:tc>
          <w:tcPr>
            <w:tcW w:type="dxa" w:w="3742"/>
            <w:vAlign w:val="top"/>
            <w:shd w:val="clear" w:color="auto" w:fill="FFFFFF"/>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Seguimiento del marco regulatorio Coordinador / CNE y reevaluación del análisis ante anuncios materiales.</w:t>
            </w:r>
          </w:p>
        </w:tc>
      </w:tr>
      <w:tr>
        <w:tc>
          <w:tcPr>
            <w:tcW w:type="dxa" w:w="2494"/>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b/>
                <w:color w:val="1A1A1A"/>
                <w:sz w:val="19"/>
              </w:rPr>
              <w:t>Volatilidad operacional (hidrología, fallas, estrechez de oferta)</w:t>
            </w:r>
          </w:p>
        </w:tc>
        <w:tc>
          <w:tcPr>
            <w:tcW w:type="dxa" w:w="3628"/>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Eventos de baja oferta podrían elevar de manera puntual el precio del nodo en horas no solares, sin alterar el patrón estructural.</w:t>
            </w:r>
          </w:p>
        </w:tc>
        <w:tc>
          <w:tcPr>
            <w:tcW w:type="dxa" w:w="3742"/>
            <w:vAlign w:val="top"/>
            <w:shd w:val="clear" w:color="auto" w:fill="F7F7F2"/>
            <w:tcBorders>
              <w:top w:val="single" w:sz="4" w:color="D8DDD3"/>
              <w:left w:val="single" w:sz="4" w:color="D8DDD3"/>
              <w:bottom w:val="single" w:sz="4" w:color="D8DDD3"/>
              <w:right w:val="single" w:sz="4" w:color="D8DDD3"/>
            </w:tcBorders>
          </w:tcPr>
          <w:p>
            <w:pPr>
              <w:spacing w:after="40"/>
              <w:jc w:val="left"/>
            </w:pPr>
            <w:r/>
            <w:r>
              <w:rPr>
                <w:rFonts w:ascii="Arial" w:hAnsi="Arial"/>
                <w:color w:val="1A1A1A"/>
                <w:sz w:val="19"/>
              </w:rPr>
              <w:t>El análisis se basa en agregados horarios sobre 38.064 horas, lo que diluye eventos puntuales y mantiene robusta la conclusión.</w:t>
            </w:r>
          </w:p>
        </w:tc>
      </w:tr>
    </w:tbl>
    <w:p>
      <w:r>
        <w:br w:type="page"/>
      </w:r>
    </w:p>
    <w:p>
      <w:pPr>
        <w:pStyle w:val="RhoH1"/>
      </w:pPr>
      <w:r>
        <w:t>9.  Metodología y limitaciones</w:t>
      </w:r>
    </w:p>
    <w:p>
      <w:pPr>
        <w:pStyle w:val="RhoBody"/>
      </w:pPr>
      <w:r>
        <w:rPr>
          <w:rFonts w:ascii="Arial" w:hAnsi="Arial"/>
          <w:color w:val="1A1A1A"/>
          <w:sz w:val="20"/>
        </w:rPr>
        <w:t xml:space="preserve">Toda métrica se recalcula desde la serie horaria cruda </w:t>
      </w:r>
      <w:r>
        <w:rPr>
          <w:rFonts w:ascii="Arial" w:hAnsi="Arial"/>
          <w:b/>
          <w:color w:val="1A1A1A"/>
          <w:sz w:val="20"/>
        </w:rPr>
        <w:t>Datos_CMg</w:t>
      </w:r>
      <w:r>
        <w:rPr>
          <w:rFonts w:ascii="Arial" w:hAnsi="Arial"/>
          <w:color w:val="1A1A1A"/>
          <w:sz w:val="20"/>
        </w:rPr>
        <w:t xml:space="preserve"> del Coordinador Eléctrico Nacional (versión Real Definitivo).</w:t>
      </w:r>
    </w:p>
    <w:p>
      <w:pPr>
        <w:pStyle w:val="RhoBullet"/>
      </w:pPr>
      <w:r>
        <w:rPr>
          <w:rFonts w:ascii="Arial" w:hAnsi="Arial"/>
          <w:color w:val="1A1A1A"/>
          <w:sz w:val="20"/>
        </w:rPr>
        <w:t xml:space="preserve">•   </w:t>
      </w:r>
      <w:r>
        <w:rPr>
          <w:rFonts w:ascii="Arial" w:hAnsi="Arial"/>
          <w:color w:val="1A1A1A"/>
          <w:sz w:val="20"/>
        </w:rPr>
        <w:t>Período: 2022-01-01 a 2026-05-22 (38.064 horas).</w:t>
      </w:r>
    </w:p>
    <w:p>
      <w:pPr>
        <w:pStyle w:val="RhoBullet"/>
      </w:pPr>
      <w:r>
        <w:rPr>
          <w:rFonts w:ascii="Arial" w:hAnsi="Arial"/>
          <w:color w:val="1A1A1A"/>
          <w:sz w:val="20"/>
        </w:rPr>
        <w:t xml:space="preserve">•   </w:t>
      </w:r>
      <w:r>
        <w:rPr>
          <w:rFonts w:ascii="Arial" w:hAnsi="Arial"/>
          <w:color w:val="1A1A1A"/>
          <w:sz w:val="20"/>
        </w:rPr>
        <w:t>Horas en formato 0–23 (hora-reloj). Banda solar: 09:00 a 17:59 (inclusivo).</w:t>
      </w:r>
    </w:p>
    <w:p>
      <w:pPr>
        <w:pStyle w:val="RhoBullet"/>
      </w:pPr>
      <w:r>
        <w:rPr>
          <w:rFonts w:ascii="Arial" w:hAnsi="Arial"/>
          <w:color w:val="1A1A1A"/>
          <w:sz w:val="20"/>
        </w:rPr>
        <w:t xml:space="preserve">•   </w:t>
      </w:r>
      <w:r>
        <w:rPr>
          <w:rFonts w:ascii="Arial" w:hAnsi="Arial"/>
          <w:color w:val="1A1A1A"/>
          <w:sz w:val="20"/>
        </w:rPr>
        <w:t>Regla única de redondeo: precios en USD/MWh y porcentajes a enteros.</w:t>
      </w:r>
    </w:p>
    <w:p>
      <w:pPr>
        <w:pStyle w:val="RhoBullet"/>
      </w:pPr>
      <w:r>
        <w:rPr>
          <w:rFonts w:ascii="Arial" w:hAnsi="Arial"/>
          <w:color w:val="1A1A1A"/>
          <w:sz w:val="20"/>
        </w:rPr>
        <w:t xml:space="preserve">•   </w:t>
      </w:r>
      <w:r>
        <w:rPr>
          <w:rFonts w:ascii="Arial" w:hAnsi="Arial"/>
          <w:color w:val="1A1A1A"/>
          <w:sz w:val="20"/>
        </w:rPr>
        <w:t>Ahorro unitario definido como max(0, P − spot), donde P es el precio del PPA.</w:t>
      </w:r>
    </w:p>
    <w:p>
      <w:pPr>
        <w:pStyle w:val="RhoBullet"/>
      </w:pPr>
      <w:r>
        <w:rPr>
          <w:rFonts w:ascii="Arial" w:hAnsi="Arial"/>
          <w:color w:val="1A1A1A"/>
          <w:sz w:val="20"/>
        </w:rPr>
        <w:t xml:space="preserve">•   </w:t>
      </w:r>
      <w:r>
        <w:rPr>
          <w:rFonts w:ascii="Arial" w:hAnsi="Arial"/>
          <w:color w:val="1A1A1A"/>
          <w:sz w:val="20"/>
        </w:rPr>
        <w:t>2024 no incluye 15–31 de julio (dato no publicado al cierre).</w:t>
      </w:r>
    </w:p>
    <w:p>
      <w:pPr>
        <w:pStyle w:val="RhoBullet"/>
      </w:pPr>
      <w:r>
        <w:rPr>
          <w:rFonts w:ascii="Arial" w:hAnsi="Arial"/>
          <w:color w:val="1A1A1A"/>
          <w:sz w:val="20"/>
        </w:rPr>
        <w:t xml:space="preserve">•   </w:t>
      </w:r>
      <w:r>
        <w:rPr>
          <w:rFonts w:ascii="Arial" w:hAnsi="Arial"/>
          <w:color w:val="1A1A1A"/>
          <w:sz w:val="20"/>
        </w:rPr>
        <w:t>2026 cuenta con datos hasta el 22 de mayo.</w:t>
      </w:r>
    </w:p>
    <w:p>
      <w:pPr>
        <w:pStyle w:val="RhoBullet"/>
      </w:pPr>
      <w:r>
        <w:rPr>
          <w:rFonts w:ascii="Arial" w:hAnsi="Arial"/>
          <w:color w:val="1A1A1A"/>
          <w:sz w:val="20"/>
        </w:rPr>
        <w:t xml:space="preserve">•   </w:t>
      </w:r>
      <w:r>
        <w:rPr>
          <w:rFonts w:ascii="Arial" w:hAnsi="Arial"/>
          <w:color w:val="1A1A1A"/>
          <w:sz w:val="20"/>
        </w:rPr>
        <w:t>El análisis es histórico; no constituye proyección determinista de precios futuros. El escenario 2030 está condicionado a la materialización de los refuerzos de transmisión.</w:t>
      </w:r>
    </w:p>
    <w:p>
      <w:pPr>
        <w:pStyle w:val="RhoH1"/>
      </w:pPr>
      <w:r>
        <w:t>10.  Glosario</w:t>
      </w:r>
    </w:p>
    <w:tbl>
      <w:tblPr>
        <w:tblW w:type="auto" w:w="0"/>
        <w:tblLayout w:type="fixed"/>
        <w:tblLook w:firstColumn="1" w:firstRow="1" w:lastColumn="0" w:lastRow="0" w:noHBand="0" w:noVBand="1" w:val="04A0"/>
      </w:tblPr>
      <w:tblGrid>
        <w:gridCol w:w="2608"/>
        <w:gridCol w:w="7257"/>
      </w:tblGrid>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Costo marginal / spot</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Precio horario al que se valoriza la energía en un nodo específico del sistema eléctrico, determinado por la última unidad despachada.</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PPA de compra</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Power Purchase Agreement — contrato de adquisición de energía a precio definido por un plazo determinado. En este caso, oferta a 28 USD/MWh.</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Nodo</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Punto del sistema eléctrico donde se inyecta o retira energía y al que corresponde un costo marginal específico — en este caso, BA S/E Panimávida 13.2 kV (BP1).</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Desacople</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Diferencial sostenido entre el costo marginal de un nodo y otros del sistema, asociado típicamente a restricciones de transmisión.</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Banda solar</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Para efectos del presente análisis, 09:00 a 17:59 (hora-reloj), franja en la que la generación solar domina la oferta del sistema y el precio del nodo tiende a cero.</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Refuerzos de transmisión</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Obras de expansión del sistema de transmisión que reducen restricciones y, con ello, tienden a recomponer los precios nodales.</w:t>
            </w:r>
          </w:p>
        </w:tc>
      </w:tr>
      <w:tr>
        <w:tc>
          <w:tcPr>
            <w:tcW w:type="dxa" w:w="2608"/>
            <w:vAlign w:val="top"/>
            <w:shd w:val="clear" w:color="auto" w:fill="F7F7F2"/>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Coordinador Eléctrico Nacional</w:t>
            </w:r>
          </w:p>
        </w:tc>
        <w:tc>
          <w:tcPr>
            <w:tcW w:type="dxa" w:w="7257"/>
            <w:vAlign w:val="top"/>
            <w:shd w:val="clear" w:color="auto" w:fill="F7F7F2"/>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Organismo técnico responsable de la coordinación de la operación del sistema eléctrico chileno y de la publicación de los costos marginales por nodo.</w:t>
            </w:r>
          </w:p>
        </w:tc>
      </w:tr>
      <w:tr>
        <w:tc>
          <w:tcPr>
            <w:tcW w:type="dxa" w:w="2608"/>
            <w:vAlign w:val="top"/>
            <w:shd w:val="clear" w:color="auto" w:fill="FFFFFF"/>
            <w:tcBorders>
              <w:top w:val="single" w:sz="2" w:color="D8DDD3"/>
              <w:left w:val="single" w:sz="2" w:color="D8DDD3"/>
              <w:bottom w:val="single" w:sz="2" w:color="D8DDD3"/>
              <w:right w:val="single" w:sz="2" w:color="D8DDD3"/>
            </w:tcBorders>
          </w:tcPr>
          <w:p>
            <w:pPr>
              <w:spacing w:after="40"/>
            </w:pPr>
            <w:r/>
            <w:r>
              <w:rPr>
                <w:rFonts w:ascii="Arial" w:hAnsi="Arial"/>
                <w:b/>
                <w:color w:val="1A1A1A"/>
                <w:sz w:val="20"/>
              </w:rPr>
              <w:t>Real Definitivo</w:t>
            </w:r>
          </w:p>
        </w:tc>
        <w:tc>
          <w:tcPr>
            <w:tcW w:type="dxa" w:w="7257"/>
            <w:vAlign w:val="top"/>
            <w:shd w:val="clear" w:color="auto" w:fill="FFFFFF"/>
            <w:tcBorders>
              <w:top w:val="single" w:sz="2" w:color="D8DDD3"/>
              <w:left w:val="single" w:sz="2" w:color="D8DDD3"/>
              <w:bottom w:val="single" w:sz="2" w:color="D8DDD3"/>
              <w:right w:val="single" w:sz="2" w:color="D8DDD3"/>
            </w:tcBorders>
          </w:tcPr>
          <w:p>
            <w:pPr>
              <w:spacing w:after="40"/>
              <w:jc w:val="both"/>
            </w:pPr>
            <w:r/>
            <w:r>
              <w:rPr>
                <w:rFonts w:ascii="Arial" w:hAnsi="Arial"/>
                <w:color w:val="1A1A1A"/>
                <w:sz w:val="20"/>
              </w:rPr>
              <w:t>Versión consolidada y publicada por el Coordinador de los costos marginales efectivamente realizados.</w:t>
            </w:r>
          </w:p>
        </w:tc>
      </w:tr>
    </w:tbl>
    <w:p>
      <w:r>
        <w:br w:type="page"/>
      </w:r>
    </w:p>
    <w:p>
      <w:pPr>
        <w:pStyle w:val="RhoH1"/>
      </w:pPr>
      <w:r>
        <w:t>Anexo A.  Frecuencia de horas con CMg = 0 USD/MWh (vista complementaria)</w:t>
      </w:r>
    </w:p>
    <w:p>
      <w:pPr>
        <w:pStyle w:val="RhoBody"/>
      </w:pPr>
      <w:r>
        <w:t>Como vista complementaria, se conserva el análisis de frecuencia — porcentaje de horas con costo marginal en exactamente 0 USD/MWh por hora del día. Se distingue explícitamente del análisis principal del cuerpo, que se presenta en unidades de precio (USD/MWh).</w:t>
      </w:r>
    </w:p>
    <w:p>
      <w:pPr>
        <w:spacing w:before="40" w:after="40"/>
        <w:jc w:val="center"/>
      </w:pPr>
      <w:r>
        <w:drawing>
          <wp:inline xmlns:a="http://schemas.openxmlformats.org/drawingml/2006/main" xmlns:pic="http://schemas.openxmlformats.org/drawingml/2006/picture">
            <wp:extent cx="5940000" cy="2028483"/>
            <wp:docPr id="6" name="Picture 6"/>
            <wp:cNvGraphicFramePr>
              <a:graphicFrameLocks noChangeAspect="1"/>
            </wp:cNvGraphicFramePr>
            <a:graphic>
              <a:graphicData uri="http://schemas.openxmlformats.org/drawingml/2006/picture">
                <pic:pic>
                  <pic:nvPicPr>
                    <pic:cNvPr id="0" name="anexo_frecuencia.png"/>
                    <pic:cNvPicPr/>
                  </pic:nvPicPr>
                  <pic:blipFill>
                    <a:blip r:embed="rId17"/>
                    <a:stretch>
                      <a:fillRect/>
                    </a:stretch>
                  </pic:blipFill>
                  <pic:spPr>
                    <a:xfrm>
                      <a:off x="0" y="0"/>
                      <a:ext cx="5940000" cy="2028483"/>
                    </a:xfrm>
                    <a:prstGeom prst="rect"/>
                  </pic:spPr>
                </pic:pic>
              </a:graphicData>
            </a:graphic>
          </wp:inline>
        </w:drawing>
      </w:r>
    </w:p>
    <w:p>
      <w:pPr>
        <w:pStyle w:val="RhoLect"/>
      </w:pPr>
      <w:r>
        <w:rPr>
          <w:rFonts w:ascii="Arial" w:hAnsi="Arial"/>
          <w:b/>
          <w:i/>
          <w:color w:val="4A4A4A"/>
          <w:sz w:val="18"/>
        </w:rPr>
        <w:t>Lectura.</w:t>
      </w:r>
      <w:r>
        <w:rPr>
          <w:rFonts w:ascii="Arial" w:hAnsi="Arial"/>
          <w:i/>
          <w:color w:val="4A4A4A"/>
          <w:sz w:val="18"/>
        </w:rPr>
        <w:t xml:space="preserve"> En la banda solar, la fracción de horas con costo marginal en exactamente 0 USD/MWh supera el 50% de manera persistente desde 2023, en plena consistencia con la evidencia de precio del cuerpo principal.</w:t>
      </w:r>
    </w:p>
    <w:sectPr w:rsidR="00FC693F" w:rsidRPr="0006063C" w:rsidSect="00034616">
      <w:headerReference w:type="default" r:id="rId9"/>
      <w:footerReference w:type="default" r:id="rId10"/>
      <w:pgSz w:w="11906" w:h="16838"/>
      <w:pgMar w:top="1134" w:right="1020" w:bottom="1134" w:left="1020"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819"/>
      <w:gridCol w:w="2268"/>
      <w:gridCol w:w="2778"/>
    </w:tblGrid>
    <w:tr>
      <w:tc>
        <w:tcPr>
          <w:tcW w:type="dxa" w:w="4819"/>
        </w:tcPr>
        <w:p>
          <w:pPr>
            <w:spacing w:after="0"/>
          </w:pPr>
          <w:r>
            <w:rPr>
              <w:rFonts w:ascii="Arial" w:hAnsi="Arial"/>
              <w:color w:val="9A9A9A"/>
              <w:sz w:val="16"/>
            </w:rPr>
            <w:t>Fuente: Coordinador Eléctrico Nacional · Real Definitivo</w:t>
          </w:r>
        </w:p>
      </w:tc>
      <w:tc>
        <w:tcPr>
          <w:tcW w:type="dxa" w:w="2268"/>
        </w:tcPr>
        <w:p>
          <w:pPr>
            <w:spacing w:after="0"/>
            <w:jc w:val="center"/>
          </w:pPr>
          <w:r>
            <w:rPr>
              <w:rFonts w:ascii="Arial" w:hAnsi="Arial"/>
              <w:b/>
              <w:color w:val="F59E0B"/>
              <w:sz w:val="16"/>
            </w:rPr>
            <w:t>CONFIDENCIAL</w:t>
          </w:r>
        </w:p>
      </w:tc>
      <w:tc>
        <w:tcPr>
          <w:tcW w:type="dxa" w:w="2778"/>
        </w:tcPr>
        <w:p>
          <w:pPr>
            <w:spacing w:after="0"/>
            <w:jc w:val="right"/>
          </w:pPr>
          <w:r>
            <w:rPr>
              <w:rFonts w:ascii="Arial" w:hAnsi="Arial"/>
              <w:color w:val="9A9A9A"/>
              <w:sz w:val="16"/>
            </w:rPr>
            <w:t xml:space="preserve">Página </w:t>
          </w:r>
          <w:r>
            <w:rPr>
              <w:rFonts w:ascii="Arial" w:hAnsi="Arial"/>
              <w:color w:val="9A9A9A"/>
              <w:sz w:val="16"/>
            </w:rPr>
            <w:fldChar w:fldCharType="begin"/>
            <w:instrText xml:space="preserve">PAGE  \* MERGEFORMAT</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6803"/>
      <w:gridCol w:w="3061"/>
    </w:tblGrid>
    <w:tr>
      <w:tc>
        <w:tcPr>
          <w:tcW w:type="dxa" w:w="6803"/>
        </w:tcPr>
        <w:p>
          <w:pPr>
            <w:spacing w:after="0"/>
          </w:pPr>
          <w:r>
            <w:rPr>
              <w:rFonts w:ascii="Arial" w:hAnsi="Arial"/>
              <w:color w:val="4A4A4A"/>
              <w:sz w:val="17"/>
            </w:rPr>
            <w:t>Análisis crediticio · Nodo Panimávida 13.2 kV · v2.1</w:t>
          </w:r>
        </w:p>
      </w:tc>
      <w:tc>
        <w:tcPr>
          <w:tcW w:type="dxa" w:w="3061"/>
        </w:tcPr>
        <w:p>
          <w:pPr>
            <w:spacing w:after="0"/>
            <w:jc w:val="right"/>
          </w:pPr>
          <w:r>
            <w:drawing>
              <wp:inline xmlns:a="http://schemas.openxmlformats.org/drawingml/2006/main" xmlns:pic="http://schemas.openxmlformats.org/drawingml/2006/picture">
                <wp:extent cx="720000" cy="470865"/>
                <wp:docPr id="1" name="Picture 1"/>
                <wp:cNvGraphicFramePr>
                  <a:graphicFrameLocks noChangeAspect="1"/>
                </wp:cNvGraphicFramePr>
                <a:graphic>
                  <a:graphicData uri="http://schemas.openxmlformats.org/drawingml/2006/picture">
                    <pic:pic>
                      <pic:nvPicPr>
                        <pic:cNvPr id="0" name="rho-full.png"/>
                        <pic:cNvPicPr/>
                      </pic:nvPicPr>
                      <pic:blipFill>
                        <a:blip r:embed="rId1"/>
                        <a:stretch>
                          <a:fillRect/>
                        </a:stretch>
                      </pic:blipFill>
                      <pic:spPr>
                        <a:xfrm>
                          <a:off x="0" y="0"/>
                          <a:ext cx="720000" cy="470865"/>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hoCoverEye">
    <w:name w:val="RhoCoverEye"/>
    <w:pPr>
      <w:keepNext w:val="0"/>
      <w:spacing w:after="80"/>
    </w:pPr>
    <w:rPr>
      <w:rFonts w:ascii="Arial" w:hAnsi="Arial"/>
      <w:b/>
      <w:i w:val="0"/>
      <w:color w:val="3C8B3C"/>
      <w:sz w:val="18"/>
    </w:rPr>
  </w:style>
  <w:style w:type="paragraph" w:customStyle="1" w:styleId="RhoCoverTitle">
    <w:name w:val="RhoCoverTitle"/>
    <w:pPr>
      <w:keepNext w:val="0"/>
      <w:spacing w:after="160" w:line="276" w:lineRule="auto"/>
    </w:pPr>
    <w:rPr>
      <w:rFonts w:ascii="Georgia" w:hAnsi="Georgia"/>
      <w:b/>
      <w:i w:val="0"/>
      <w:color w:val="1A4A1A"/>
      <w:sz w:val="52"/>
    </w:rPr>
  </w:style>
  <w:style w:type="paragraph" w:customStyle="1" w:styleId="RhoCoverSub">
    <w:name w:val="RhoCoverSub"/>
    <w:pPr>
      <w:keepNext w:val="0"/>
      <w:spacing w:after="200"/>
    </w:pPr>
    <w:rPr>
      <w:rFonts w:ascii="Georgia" w:hAnsi="Georgia"/>
      <w:b w:val="0"/>
      <w:i/>
      <w:color w:val="4A4A4A"/>
      <w:sz w:val="26"/>
    </w:rPr>
  </w:style>
  <w:style w:type="paragraph" w:customStyle="1" w:styleId="RhoCoverMeta">
    <w:name w:val="RhoCoverMeta"/>
    <w:pPr>
      <w:keepNext w:val="0"/>
      <w:spacing w:after="40"/>
    </w:pPr>
    <w:rPr>
      <w:rFonts w:ascii="Arial" w:hAnsi="Arial"/>
      <w:b w:val="0"/>
      <w:i w:val="0"/>
      <w:color w:val="4A4A4A"/>
      <w:sz w:val="20"/>
    </w:rPr>
  </w:style>
  <w:style w:type="paragraph" w:customStyle="1" w:styleId="RhoCoverConf">
    <w:name w:val="RhoCoverConf"/>
    <w:pPr>
      <w:keepNext w:val="0"/>
      <w:jc w:val="center"/>
    </w:pPr>
    <w:rPr>
      <w:rFonts w:ascii="Arial" w:hAnsi="Arial"/>
      <w:b/>
      <w:i w:val="0"/>
      <w:color w:val="F59E0B"/>
      <w:sz w:val="18"/>
    </w:rPr>
  </w:style>
  <w:style w:type="paragraph" w:customStyle="1" w:styleId="RhoH1">
    <w:name w:val="RhoH1"/>
    <w:pPr>
      <w:keepNext/>
      <w:spacing w:before="280" w:after="160" w:line="276" w:lineRule="auto"/>
    </w:pPr>
    <w:rPr>
      <w:rFonts w:ascii="Georgia" w:hAnsi="Georgia"/>
      <w:b/>
      <w:i w:val="0"/>
      <w:color w:val="1A4A1A"/>
      <w:sz w:val="30"/>
    </w:rPr>
  </w:style>
  <w:style w:type="paragraph" w:customStyle="1" w:styleId="RhoH2">
    <w:name w:val="RhoH2"/>
    <w:pPr>
      <w:keepNext/>
      <w:spacing w:before="200" w:after="80"/>
    </w:pPr>
    <w:rPr>
      <w:rFonts w:ascii="Georgia" w:hAnsi="Georgia"/>
      <w:b/>
      <w:i w:val="0"/>
      <w:color w:val="1A4A1A"/>
      <w:sz w:val="23"/>
    </w:rPr>
  </w:style>
  <w:style w:type="paragraph" w:customStyle="1" w:styleId="RhoBody">
    <w:name w:val="RhoBody"/>
    <w:pPr>
      <w:keepNext w:val="0"/>
      <w:spacing w:after="120" w:line="312" w:lineRule="auto"/>
      <w:jc w:val="both"/>
    </w:pPr>
    <w:rPr>
      <w:rFonts w:ascii="Arial" w:hAnsi="Arial"/>
      <w:b w:val="0"/>
      <w:i w:val="0"/>
      <w:color w:val="1A1A1A"/>
      <w:sz w:val="20"/>
    </w:rPr>
  </w:style>
  <w:style w:type="paragraph" w:customStyle="1" w:styleId="RhoBodyLead">
    <w:name w:val="RhoBodyLead"/>
    <w:pPr>
      <w:keepNext w:val="0"/>
      <w:spacing w:after="160" w:line="312" w:lineRule="auto"/>
      <w:jc w:val="both"/>
    </w:pPr>
    <w:rPr>
      <w:rFonts w:ascii="Arial" w:hAnsi="Arial"/>
      <w:b w:val="0"/>
      <w:i w:val="0"/>
      <w:color w:val="1A1A1A"/>
      <w:sz w:val="21"/>
    </w:rPr>
  </w:style>
  <w:style w:type="paragraph" w:customStyle="1" w:styleId="RhoLect">
    <w:name w:val="RhoLect"/>
    <w:pPr>
      <w:keepNext w:val="0"/>
      <w:spacing w:after="200" w:line="300" w:lineRule="auto"/>
    </w:pPr>
    <w:rPr>
      <w:rFonts w:ascii="Arial" w:hAnsi="Arial"/>
      <w:b w:val="0"/>
      <w:i/>
      <w:color w:val="4A4A4A"/>
      <w:sz w:val="18"/>
    </w:rPr>
  </w:style>
  <w:style w:type="paragraph" w:customStyle="1" w:styleId="RhoNote">
    <w:name w:val="RhoNote"/>
    <w:pPr>
      <w:keepNext w:val="0"/>
      <w:spacing w:after="40"/>
    </w:pPr>
    <w:rPr>
      <w:rFonts w:ascii="Arial" w:hAnsi="Arial"/>
      <w:b w:val="0"/>
      <w:i w:val="0"/>
      <w:color w:val="9A9A9A"/>
      <w:sz w:val="16"/>
    </w:rPr>
  </w:style>
  <w:style w:type="paragraph" w:customStyle="1" w:styleId="RhoBullet">
    <w:name w:val="RhoBullet"/>
    <w:pPr>
      <w:keepNext w:val="0"/>
      <w:spacing w:after="60" w:line="288" w:lineRule="auto"/>
      <w:ind w:left="340" w:hanging="340"/>
      <w:jc w:val="both"/>
    </w:pPr>
    <w:rPr>
      <w:rFonts w:ascii="Arial" w:hAnsi="Arial"/>
      <w:b w:val="0"/>
      <w:i w:val="0"/>
      <w:color w:val="1A1A1A"/>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rho-panimavida-banco.vercel.app"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