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320"/>
        <w:jc w:val="center"/>
      </w:pPr>
      <w:r>
        <w:drawing>
          <wp:inline xmlns:a="http://schemas.openxmlformats.org/drawingml/2006/main" xmlns:pic="http://schemas.openxmlformats.org/drawingml/2006/picture">
            <wp:extent cx="1872000" cy="1224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o-fu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22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hoCoverEye"/>
      </w:pPr>
      <w:r>
        <w:t>ANÁLISIS CREDITICIO · NODO PANIMÁVIDA 13.2 kV</w:t>
      </w:r>
    </w:p>
    <w:p>
      <w:pPr>
        <w:pStyle w:val="RhoCoverTitle"/>
      </w:pPr>
      <w:r>
        <w:t>Proyecto Panimávida 13.2 kV — Análisis crediticio</w:t>
      </w:r>
    </w:p>
    <w:p>
      <w:pPr>
        <w:pStyle w:val="RhoCoverSub"/>
      </w:pPr>
      <w:r>
        <w:t>Estructura de ingresos por arbitraje horario y fundamentación de la solicitud de financiamiento sin PPA de compra</w:t>
      </w:r>
    </w:p>
    <w:p>
      <w:pPr>
        <w:spacing w:before="120" w:after="200"/>
      </w:pPr>
      <w:r>
        <w:rPr>
          <w:color w:val="3C8B3C"/>
          <w:sz w:val="24"/>
        </w:rPr>
        <w:t>───────────────</w:t>
      </w:r>
    </w:p>
    <w:p>
      <w:pPr>
        <w:pStyle w:val="RhoCoverMeta"/>
      </w:pPr>
      <w:r>
        <w:rPr>
          <w:rFonts w:ascii="Arial" w:hAnsi="Arial"/>
          <w:b/>
          <w:color w:val="4A4A4A"/>
          <w:sz w:val="20"/>
        </w:rPr>
        <w:t xml:space="preserve">Preparado para: </w:t>
      </w:r>
      <w:r>
        <w:rPr>
          <w:rFonts w:ascii="Arial" w:hAnsi="Arial"/>
          <w:color w:val="4A4A4A"/>
          <w:sz w:val="20"/>
        </w:rPr>
        <w:t>Banco — Martín</w:t>
      </w:r>
    </w:p>
    <w:p>
      <w:pPr>
        <w:pStyle w:val="RhoCoverMeta"/>
      </w:pPr>
      <w:r>
        <w:rPr>
          <w:rFonts w:ascii="Arial" w:hAnsi="Arial"/>
          <w:b/>
          <w:color w:val="4A4A4A"/>
          <w:sz w:val="20"/>
        </w:rPr>
        <w:t xml:space="preserve">Audiencia: </w:t>
      </w:r>
      <w:r>
        <w:rPr>
          <w:rFonts w:ascii="Arial" w:hAnsi="Arial"/>
          <w:color w:val="4A4A4A"/>
          <w:sz w:val="20"/>
        </w:rPr>
        <w:t>Material preparado para el Comité de Crédito</w:t>
      </w:r>
    </w:p>
    <w:p>
      <w:pPr>
        <w:pStyle w:val="RhoCoverMeta"/>
      </w:pPr>
      <w:r>
        <w:rPr>
          <w:rFonts w:ascii="Arial" w:hAnsi="Arial"/>
          <w:b/>
          <w:color w:val="4A4A4A"/>
          <w:sz w:val="20"/>
        </w:rPr>
        <w:t xml:space="preserve">Fuente: </w:t>
      </w:r>
      <w:r>
        <w:rPr>
          <w:rFonts w:ascii="Arial" w:hAnsi="Arial"/>
          <w:color w:val="4A4A4A"/>
          <w:sz w:val="20"/>
        </w:rPr>
        <w:t>Coordinador Eléctrico Nacional · Versión Real Definitivo</w:t>
      </w:r>
    </w:p>
    <w:p>
      <w:pPr>
        <w:pStyle w:val="RhoCoverMeta"/>
      </w:pPr>
      <w:r>
        <w:rPr>
          <w:rFonts w:ascii="Arial" w:hAnsi="Arial"/>
          <w:b/>
          <w:color w:val="4A4A4A"/>
          <w:sz w:val="20"/>
        </w:rPr>
        <w:t xml:space="preserve">Nodo: </w:t>
      </w:r>
      <w:r>
        <w:rPr>
          <w:rFonts w:ascii="Arial" w:hAnsi="Arial"/>
          <w:color w:val="4A4A4A"/>
          <w:sz w:val="20"/>
        </w:rPr>
        <w:t>BA S/E Panimávida 13.2 kV (BP1)</w:t>
      </w:r>
    </w:p>
    <w:p>
      <w:pPr>
        <w:pStyle w:val="RhoCoverMeta"/>
      </w:pPr>
      <w:r>
        <w:rPr>
          <w:rFonts w:ascii="Arial" w:hAnsi="Arial"/>
          <w:b/>
          <w:color w:val="4A4A4A"/>
          <w:sz w:val="20"/>
        </w:rPr>
        <w:t xml:space="preserve">Período: </w:t>
      </w:r>
      <w:r>
        <w:rPr>
          <w:rFonts w:ascii="Arial" w:hAnsi="Arial"/>
          <w:color w:val="4A4A4A"/>
          <w:sz w:val="20"/>
        </w:rPr>
        <w:t xml:space="preserve">2022-01-01 a 2026-05-22 — </w:t>
      </w:r>
      <w:r>
        <w:rPr>
          <w:rFonts w:ascii="Arial" w:hAnsi="Arial"/>
          <w:b/>
          <w:color w:val="4A4A4A"/>
          <w:sz w:val="20"/>
        </w:rPr>
        <w:t>38.064</w:t>
      </w:r>
      <w:r>
        <w:rPr>
          <w:rFonts w:ascii="Arial" w:hAnsi="Arial"/>
          <w:color w:val="4A4A4A"/>
          <w:sz w:val="20"/>
        </w:rPr>
        <w:t xml:space="preserve"> horas reales</w:t>
      </w:r>
    </w:p>
    <w:p>
      <w:pPr>
        <w:pStyle w:val="RhoCoverMeta"/>
      </w:pPr>
      <w:r>
        <w:rPr>
          <w:rFonts w:ascii="Arial" w:hAnsi="Arial"/>
          <w:b/>
          <w:color w:val="4A4A4A"/>
          <w:sz w:val="20"/>
        </w:rPr>
        <w:t>Versión 3.2 — Mayo 2026</w:t>
      </w:r>
    </w:p>
    <w:p>
      <w:pPr>
        <w:pStyle w:val="RhoCoverMeta"/>
        <w:spacing w:before="280"/>
      </w:pPr>
      <w:r>
        <w:rPr>
          <w:rFonts w:ascii="Arial" w:hAnsi="Arial"/>
          <w:b/>
          <w:color w:val="4A4A4A"/>
          <w:sz w:val="20"/>
        </w:rPr>
        <w:t xml:space="preserve">Versión interactiva — </w:t>
      </w:r>
      <w:hyperlink r:id="rId12">
        <w:r>
          <w:rPr>
            <w:color w:val="1A4A1A"/>
            <w:b/>
            <w:rFonts w:ascii="Arial" w:hAnsi="Arial"/>
            <w:sz w:val="20"/>
          </w:rPr>
          <w:t xml:space="preserve">https://rho-panimavida-banco.vercel.app</w:t>
        </w:r>
      </w:hyperlink>
    </w:p>
    <w:p>
      <w:pPr>
        <w:spacing w:before="1200"/>
      </w:pPr>
    </w:p>
    <w:p>
      <w:pPr>
        <w:pStyle w:val="RhoCoverConf"/>
      </w:pPr>
      <w:r>
        <w:t>CONFIDENCIAL — uso interno del Comité de Crédito</w:t>
      </w:r>
    </w:p>
    <w:p>
      <w:r>
        <w:br w:type="page"/>
      </w:r>
    </w:p>
    <w:p>
      <w:pPr>
        <w:pStyle w:val="RhoH1"/>
      </w:pPr>
      <w:r>
        <w:t>1.  Resumen ejecutivo</w:t>
      </w:r>
    </w:p>
    <w:p>
      <w:pPr>
        <w:pStyle w:val="RhoBody"/>
      </w:pPr>
      <w:r>
        <w:rPr>
          <w:rFonts w:ascii="Arial" w:hAnsi="Arial"/>
          <w:color w:val="1A1A1A"/>
          <w:sz w:val="20"/>
        </w:rPr>
        <w:t xml:space="preserve">El proyecto Panimávida es una planta de generación solar fotovoltaica con sistema de almacenamiento por baterías (BESS) cuya estructura de ingresos se sustenta en el </w:t>
      </w:r>
      <w:r>
        <w:rPr>
          <w:rFonts w:ascii="Arial" w:hAnsi="Arial"/>
          <w:b/>
          <w:color w:val="1A1A1A"/>
          <w:sz w:val="20"/>
        </w:rPr>
        <w:t>arbitraje horario sobre la curva del costo marginal del nodo</w:t>
      </w:r>
      <w:r>
        <w:rPr>
          <w:rFonts w:ascii="Arial" w:hAnsi="Arial"/>
          <w:color w:val="1A1A1A"/>
          <w:sz w:val="20"/>
        </w:rPr>
        <w:t xml:space="preserve">. La oferta vigente de PPA de compra a 28 USD/MWh corresponde a un instrumento de cobertura de una </w:t>
      </w:r>
      <w:r>
        <w:rPr>
          <w:rFonts w:ascii="Arial" w:hAnsi="Arial"/>
          <w:b/>
          <w:color w:val="1A1A1A"/>
          <w:sz w:val="20"/>
        </w:rPr>
        <w:t>posición compradora estructural que el proyecto no presenta</w:t>
      </w:r>
      <w:r>
        <w:rPr>
          <w:rFonts w:ascii="Arial" w:hAnsi="Arial"/>
          <w:color w:val="1A1A1A"/>
          <w:sz w:val="20"/>
        </w:rPr>
        <w:t>. Sobre la base de 38.064 horas reales del Coordinador Eléctrico Nacional, el presente análisis fundamenta que el financiamiento del proyecto no requiere condicionarse a la firma de dicho contrato.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top"/>
            <w:shd w:val="clear" w:color="auto" w:fill="F7F7F2"/>
            <w:tcBorders>
              <w:top w:val="single" w:sz="6" w:color="D8DDD3"/>
              <w:left w:val="single" w:sz="6" w:color="D8DDD3"/>
              <w:bottom w:val="single" w:sz="6" w:color="D8DDD3"/>
              <w:right w:val="single" w:sz="6" w:color="D8DDD3"/>
            </w:tcBorders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3C8B3C"/>
                <w:sz w:val="16"/>
              </w:rPr>
              <w:t>COSTO MARGINAL EN BANDA SOLAR</w:t>
            </w:r>
          </w:p>
          <w:p>
            <w:pPr>
              <w:spacing w:after="40"/>
            </w:pPr>
            <w:r>
              <w:rPr>
                <w:rFonts w:ascii="Georgia" w:hAnsi="Georgia"/>
                <w:b/>
                <w:color w:val="1A4A1A"/>
                <w:sz w:val="44"/>
              </w:rPr>
              <w:t>17</w:t>
            </w:r>
            <w:r>
              <w:rPr>
                <w:rFonts w:ascii="Arial" w:hAnsi="Arial"/>
                <w:color w:val="4A4A4A"/>
                <w:sz w:val="18"/>
              </w:rPr>
              <w:t xml:space="preserve">  USD/MWh</w:t>
            </w:r>
          </w:p>
          <w:p>
            <w:pPr>
              <w:spacing w:after="40"/>
            </w:pPr>
            <w:r>
              <w:rPr>
                <w:rFonts w:ascii="Arial" w:hAnsi="Arial"/>
                <w:color w:val="4A4A4A"/>
                <w:sz w:val="16"/>
              </w:rPr>
              <w:t>Promedio 2026 · 09–17 h · ciclo de carga del proyecto</w:t>
            </w:r>
          </w:p>
        </w:tc>
        <w:tc>
          <w:tcPr>
            <w:tcW w:type="dxa" w:w="4819"/>
            <w:vAlign w:val="top"/>
            <w:shd w:val="clear" w:color="auto" w:fill="F7F7F2"/>
            <w:tcBorders>
              <w:top w:val="single" w:sz="6" w:color="D8DDD3"/>
              <w:left w:val="single" w:sz="6" w:color="D8DDD3"/>
              <w:bottom w:val="single" w:sz="6" w:color="D8DDD3"/>
              <w:right w:val="single" w:sz="6" w:color="D8DDD3"/>
            </w:tcBorders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3C8B3C"/>
                <w:sz w:val="16"/>
              </w:rPr>
              <w:t>COSTO MARGINAL EN BANDA NOCTURNA</w:t>
            </w:r>
          </w:p>
          <w:p>
            <w:pPr>
              <w:spacing w:after="40"/>
            </w:pPr>
            <w:r>
              <w:rPr>
                <w:rFonts w:ascii="Georgia" w:hAnsi="Georgia"/>
                <w:b/>
                <w:color w:val="1A4A1A"/>
                <w:sz w:val="44"/>
              </w:rPr>
              <w:t>65</w:t>
            </w:r>
            <w:r>
              <w:rPr>
                <w:rFonts w:ascii="Arial" w:hAnsi="Arial"/>
                <w:color w:val="4A4A4A"/>
                <w:sz w:val="18"/>
              </w:rPr>
              <w:t xml:space="preserve">  USD/MWh</w:t>
            </w:r>
          </w:p>
          <w:p>
            <w:pPr>
              <w:spacing w:after="40"/>
            </w:pPr>
            <w:r>
              <w:rPr>
                <w:rFonts w:ascii="Arial" w:hAnsi="Arial"/>
                <w:color w:val="4A4A4A"/>
                <w:sz w:val="16"/>
              </w:rPr>
              <w:t>Promedio 2026 · 19–07 h · ciclo de venta del proyecto</w:t>
            </w:r>
          </w:p>
        </w:tc>
      </w:tr>
      <w:tr>
        <w:tc>
          <w:tcPr>
            <w:tcW w:type="dxa" w:w="4819"/>
            <w:vAlign w:val="top"/>
            <w:shd w:val="clear" w:color="auto" w:fill="F7F7F2"/>
            <w:tcBorders>
              <w:top w:val="single" w:sz="6" w:color="D8DDD3"/>
              <w:left w:val="single" w:sz="6" w:color="D8DDD3"/>
              <w:bottom w:val="single" w:sz="6" w:color="D8DDD3"/>
              <w:right w:val="single" w:sz="6" w:color="D8DDD3"/>
            </w:tcBorders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3C8B3C"/>
                <w:sz w:val="16"/>
              </w:rPr>
              <w:t>SPREAD INTRADIARIO CAPTURADO</w:t>
            </w:r>
          </w:p>
          <w:p>
            <w:pPr>
              <w:spacing w:after="40"/>
            </w:pPr>
            <w:r>
              <w:rPr>
                <w:rFonts w:ascii="Georgia" w:hAnsi="Georgia"/>
                <w:b/>
                <w:color w:val="1A4A1A"/>
                <w:sz w:val="44"/>
              </w:rPr>
              <w:t>48</w:t>
            </w:r>
            <w:r>
              <w:rPr>
                <w:rFonts w:ascii="Arial" w:hAnsi="Arial"/>
                <w:color w:val="4A4A4A"/>
                <w:sz w:val="18"/>
              </w:rPr>
              <w:t xml:space="preserve">  USD/MWh</w:t>
            </w:r>
          </w:p>
          <w:p>
            <w:pPr>
              <w:spacing w:after="40"/>
            </w:pPr>
            <w:r>
              <w:rPr>
                <w:rFonts w:ascii="Arial" w:hAnsi="Arial"/>
                <w:color w:val="4A4A4A"/>
                <w:sz w:val="16"/>
              </w:rPr>
              <w:t>Diferencial noche − día · margen del arbitraje horario</w:t>
            </w:r>
          </w:p>
        </w:tc>
        <w:tc>
          <w:tcPr>
            <w:tcW w:type="dxa" w:w="4819"/>
            <w:vAlign w:val="top"/>
            <w:shd w:val="clear" w:color="auto" w:fill="F7F7F2"/>
            <w:tcBorders>
              <w:top w:val="single" w:sz="6" w:color="D8DDD3"/>
              <w:left w:val="single" w:sz="6" w:color="D8DDD3"/>
              <w:bottom w:val="single" w:sz="6" w:color="D8DDD3"/>
              <w:right w:val="single" w:sz="6" w:color="D8DDD3"/>
            </w:tcBorders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3C8B3C"/>
                <w:sz w:val="16"/>
              </w:rPr>
              <w:t>PRECIO DE LA OFERTA DEL PPA DE COMPRA</w:t>
            </w:r>
          </w:p>
          <w:p>
            <w:pPr>
              <w:spacing w:after="40"/>
            </w:pPr>
            <w:r>
              <w:rPr>
                <w:rFonts w:ascii="Georgia" w:hAnsi="Georgia"/>
                <w:b/>
                <w:color w:val="1A4A1A"/>
                <w:sz w:val="44"/>
              </w:rPr>
              <w:t>28</w:t>
            </w:r>
            <w:r>
              <w:rPr>
                <w:rFonts w:ascii="Arial" w:hAnsi="Arial"/>
                <w:color w:val="4A4A4A"/>
                <w:sz w:val="18"/>
              </w:rPr>
              <w:t xml:space="preserve">  USD/MWh</w:t>
            </w:r>
          </w:p>
          <w:p>
            <w:pPr>
              <w:spacing w:after="40"/>
            </w:pPr>
            <w:r>
              <w:rPr>
                <w:rFonts w:ascii="Arial" w:hAnsi="Arial"/>
                <w:color w:val="4A4A4A"/>
                <w:sz w:val="16"/>
              </w:rPr>
              <w:t>Instrumento de compra · no congruente con el modelo</w:t>
            </w:r>
          </w:p>
        </w:tc>
      </w:tr>
    </w:tbl>
    <w:p/>
    <w:p>
      <w:pPr>
        <w:pStyle w:val="RhoH2"/>
      </w:pPr>
      <w:r>
        <w:t>Hechos clave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b/>
          <w:color w:val="1A1A1A"/>
          <w:sz w:val="20"/>
        </w:rPr>
        <w:t>Costo de carga estructuralmente nulo.</w:t>
      </w:r>
      <w:r>
        <w:rPr>
          <w:rFonts w:ascii="Arial" w:hAnsi="Arial"/>
          <w:color w:val="1A1A1A"/>
          <w:sz w:val="20"/>
        </w:rPr>
        <w:t xml:space="preserve"> En banda solar (09–17 h), el costo marginal promedio del nodo en 2026 es de </w:t>
      </w:r>
      <w:r>
        <w:rPr>
          <w:rFonts w:ascii="Arial" w:hAnsi="Arial"/>
          <w:b/>
          <w:color w:val="1A1A1A"/>
          <w:sz w:val="20"/>
        </w:rPr>
        <w:t>17 USD/MWh</w:t>
      </w:r>
      <w:r>
        <w:rPr>
          <w:rFonts w:ascii="Arial" w:hAnsi="Arial"/>
          <w:color w:val="1A1A1A"/>
          <w:sz w:val="20"/>
        </w:rPr>
        <w:t xml:space="preserve">, con un </w:t>
      </w:r>
      <w:r>
        <w:rPr>
          <w:rFonts w:ascii="Arial" w:hAnsi="Arial"/>
          <w:b/>
          <w:color w:val="1A1A1A"/>
          <w:sz w:val="20"/>
        </w:rPr>
        <w:t>63%</w:t>
      </w:r>
      <w:r>
        <w:rPr>
          <w:rFonts w:ascii="Arial" w:hAnsi="Arial"/>
          <w:color w:val="1A1A1A"/>
          <w:sz w:val="20"/>
        </w:rPr>
        <w:t xml:space="preserve"> de horas en cero por saturación de la generación solar zonal.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b/>
          <w:color w:val="1A1A1A"/>
          <w:sz w:val="20"/>
        </w:rPr>
        <w:t>Recomposición sistemática del precio en banda nocturna.</w:t>
      </w:r>
      <w:r>
        <w:rPr>
          <w:rFonts w:ascii="Arial" w:hAnsi="Arial"/>
          <w:color w:val="1A1A1A"/>
          <w:sz w:val="20"/>
        </w:rPr>
        <w:t xml:space="preserve"> Entre las 19:00 y 07:59 h, el costo marginal promedio del nodo en 2026 alcanza </w:t>
      </w:r>
      <w:r>
        <w:rPr>
          <w:rFonts w:ascii="Arial" w:hAnsi="Arial"/>
          <w:b/>
          <w:color w:val="1A1A1A"/>
          <w:sz w:val="20"/>
        </w:rPr>
        <w:t>65 USD/MWh</w:t>
      </w:r>
      <w:r>
        <w:rPr>
          <w:rFonts w:ascii="Arial" w:hAnsi="Arial"/>
          <w:color w:val="1A1A1A"/>
          <w:sz w:val="20"/>
        </w:rPr>
        <w:t xml:space="preserve">, con un máximo intradiario en torno a las </w:t>
      </w:r>
      <w:r>
        <w:rPr>
          <w:rFonts w:ascii="Arial" w:hAnsi="Arial"/>
          <w:b/>
          <w:color w:val="1A1A1A"/>
          <w:sz w:val="20"/>
        </w:rPr>
        <w:t>20:00 h (124 USD/MWh)</w:t>
      </w:r>
      <w:r>
        <w:rPr>
          <w:rFonts w:ascii="Arial" w:hAnsi="Arial"/>
          <w:color w:val="1A1A1A"/>
          <w:sz w:val="20"/>
        </w:rPr>
        <w:t>.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b/>
          <w:color w:val="1A1A1A"/>
          <w:sz w:val="20"/>
        </w:rPr>
        <w:t>Suscribir el PPA comprometería el spread capturado.</w:t>
      </w:r>
      <w:r>
        <w:rPr>
          <w:rFonts w:ascii="Arial" w:hAnsi="Arial"/>
          <w:color w:val="1A1A1A"/>
          <w:sz w:val="20"/>
        </w:rPr>
        <w:t xml:space="preserve"> Una obligación de compra fija a 28 USD/MWh durante la banda solar, en la que el proyecto adquiere energía a costo nulo, anularía el margen del arbitraje horario y deterioraría la generación de caja operacional.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1A4A1A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RECOMENDACIÓN AL COMITÉ DE CRÉDITO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jc w:val="both"/>
            </w:pPr>
            <w:r/>
            <w:r>
              <w:rPr>
                <w:rFonts w:ascii="Arial" w:hAnsi="Arial"/>
                <w:b/>
                <w:color w:val="1A1A1A"/>
                <w:sz w:val="20"/>
              </w:rPr>
              <w:t>Otorgar el financiamiento del proyecto sin condicionarlo a la suscripción del PPA de compra a 28 USD/MWh.</w:t>
            </w:r>
            <w:r>
              <w:rPr>
                <w:rFonts w:ascii="Arial" w:hAnsi="Arial"/>
                <w:color w:val="1A1A1A"/>
                <w:sz w:val="20"/>
              </w:rPr>
              <w:t xml:space="preserve"> El modelo de ingresos del proyecto se sustenta en un arbitraje horario estructuralmente estable, con costo de carga promedio de 17 USD/MWh y precio de venta promedio de 65 USD/MWh en 2026. La firma del PPA agregaría una obligación de pago fija no congruente con la posición vendedora del proyecto y reduciría los ratios de cobertura de la deuda.</w:t>
            </w:r>
          </w:p>
        </w:tc>
      </w:tr>
    </w:tbl>
    <w:p>
      <w:r>
        <w:br w:type="page"/>
      </w:r>
    </w:p>
    <w:p>
      <w:pPr>
        <w:pStyle w:val="RhoH1"/>
      </w:pPr>
      <w:r>
        <w:t>2.  Modelo de negocio del proyecto</w:t>
      </w:r>
    </w:p>
    <w:p>
      <w:pPr>
        <w:pStyle w:val="RhoBody"/>
      </w:pPr>
      <w:r>
        <w:t>El proyecto Panimávida combina generación solar fotovoltaica con un sistema de almacenamiento por baterías (BESS) operado sobre la asimetría intradiaria del costo marginal del nodo BA S/E Panimávida 13.2 kV (BP1). El esquema operacional comprende dos ciclos diarios: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top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80"/>
            </w:pPr>
            <w:r/>
            <w:r>
              <w:rPr>
                <w:rFonts w:ascii="Arial" w:hAnsi="Arial"/>
                <w:b/>
                <w:color w:val="92400E"/>
                <w:sz w:val="19"/>
              </w:rPr>
              <w:t>BANDA SOLAR  ·  09:00 a 17:59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92400E"/>
                <w:sz w:val="21"/>
              </w:rPr>
              <w:t>CARGAR.</w:t>
            </w:r>
            <w:r>
              <w:rPr>
                <w:rFonts w:ascii="Arial" w:hAnsi="Arial"/>
                <w:color w:val="1A1A1A"/>
                <w:sz w:val="20"/>
              </w:rPr>
              <w:t xml:space="preserve"> El costo marginal del nodo cae a cero por saturación de la generación solar. El proyecto carga su batería con energía a costo cercano a cero.</w:t>
            </w:r>
          </w:p>
        </w:tc>
        <w:tc>
          <w:tcPr>
            <w:tcW w:type="dxa" w:w="4819"/>
            <w:vAlign w:val="top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80"/>
            </w:pPr>
            <w:r/>
            <w:r>
              <w:rPr>
                <w:rFonts w:ascii="Arial" w:hAnsi="Arial"/>
                <w:b/>
                <w:color w:val="1A4A1A"/>
                <w:sz w:val="19"/>
              </w:rPr>
              <w:t>BANDA NOCTURNA  ·  19:00 a 07:59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A4A1A"/>
                <w:sz w:val="21"/>
              </w:rPr>
              <w:t>DESCARGAR Y VENDER.</w:t>
            </w:r>
            <w:r>
              <w:rPr>
                <w:rFonts w:ascii="Arial" w:hAnsi="Arial"/>
                <w:color w:val="1A1A1A"/>
                <w:sz w:val="20"/>
              </w:rPr>
              <w:t xml:space="preserve"> El precio del nodo se recompone. El proyecto descarga la batería y vende al sistema, capturando el spread intradiario.</w:t>
            </w:r>
          </w:p>
        </w:tc>
      </w:tr>
    </w:tbl>
    <w:p/>
    <w:p>
      <w:pPr>
        <w:pStyle w:val="RhoLect"/>
      </w:pPr>
      <w:r>
        <w:rPr>
          <w:rFonts w:ascii="Arial" w:hAnsi="Arial"/>
          <w:i/>
          <w:color w:val="4A4A4A"/>
          <w:sz w:val="18"/>
        </w:rPr>
        <w:t>Perfil intradiario del costo marginal del nodo, por año (USD/MWh) — muestra la asimetría que el proyecto monetiza.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025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perfil_prec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02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hoLect"/>
      </w:pPr>
      <w:r>
        <w:rPr>
          <w:rFonts w:ascii="Arial" w:hAnsi="Arial"/>
          <w:b/>
          <w:i/>
          <w:color w:val="4A4A4A"/>
          <w:sz w:val="18"/>
        </w:rPr>
        <w:t>Lectura.</w:t>
      </w:r>
      <w:r>
        <w:rPr>
          <w:rFonts w:ascii="Arial" w:hAnsi="Arial"/>
          <w:i/>
          <w:color w:val="4A4A4A"/>
          <w:sz w:val="18"/>
        </w:rPr>
        <w:t xml:space="preserve"> La curva intradiaria del costo marginal del nodo se aproxima a cero en banda solar — </w:t>
      </w:r>
      <w:r>
        <w:rPr>
          <w:rFonts w:ascii="Arial" w:hAnsi="Arial"/>
          <w:b/>
          <w:i/>
          <w:color w:val="4A4A4A"/>
          <w:sz w:val="18"/>
        </w:rPr>
        <w:t>ciclo de carga</w:t>
      </w:r>
      <w:r>
        <w:rPr>
          <w:rFonts w:ascii="Arial" w:hAnsi="Arial"/>
          <w:i/>
          <w:color w:val="4A4A4A"/>
          <w:sz w:val="18"/>
        </w:rPr>
        <w:t xml:space="preserve"> del sistema de almacenamiento del proyecto — y se recompone en banda nocturna hasta un máximo promedio de </w:t>
      </w:r>
      <w:r>
        <w:rPr>
          <w:rFonts w:ascii="Arial" w:hAnsi="Arial"/>
          <w:b/>
          <w:i/>
          <w:color w:val="4A4A4A"/>
          <w:sz w:val="18"/>
        </w:rPr>
        <w:t>124 USD/MWh</w:t>
      </w:r>
      <w:r>
        <w:rPr>
          <w:rFonts w:ascii="Arial" w:hAnsi="Arial"/>
          <w:i/>
          <w:color w:val="4A4A4A"/>
          <w:sz w:val="18"/>
        </w:rPr>
        <w:t xml:space="preserve"> a las 20:00 h — </w:t>
      </w:r>
      <w:r>
        <w:rPr>
          <w:rFonts w:ascii="Arial" w:hAnsi="Arial"/>
          <w:b/>
          <w:i/>
          <w:color w:val="4A4A4A"/>
          <w:sz w:val="18"/>
        </w:rPr>
        <w:t>ciclo de venta</w:t>
      </w:r>
      <w:r>
        <w:rPr>
          <w:rFonts w:ascii="Arial" w:hAnsi="Arial"/>
          <w:i/>
          <w:color w:val="4A4A4A"/>
          <w:sz w:val="18"/>
        </w:rPr>
        <w:t>. El diferencial entre ambas bandas constituye el spread capturado por el arbitraje.</w:t>
      </w:r>
    </w:p>
    <w:p>
      <w:r>
        <w:br w:type="page"/>
      </w:r>
    </w:p>
    <w:p>
      <w:pPr>
        <w:pStyle w:val="RhoH1"/>
      </w:pPr>
      <w:r>
        <w:t>3.  Evidencia cuantitativa — ciclos de carga y de venta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5127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ahor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1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hoLect"/>
      </w:pPr>
      <w:r>
        <w:rPr>
          <w:rFonts w:ascii="Arial" w:hAnsi="Arial"/>
          <w:b/>
          <w:i/>
          <w:color w:val="4A4A4A"/>
          <w:sz w:val="18"/>
        </w:rPr>
        <w:t>Lectura.</w:t>
      </w:r>
      <w:r>
        <w:rPr>
          <w:rFonts w:ascii="Arial" w:hAnsi="Arial"/>
          <w:i/>
          <w:color w:val="4A4A4A"/>
          <w:sz w:val="18"/>
        </w:rPr>
        <w:t xml:space="preserve"> La asimetría intradiaria del nodo es la base económica del proyecto: la banda solar concentra precios cercanos a cero, mientras que la banda nocturna alcanza valores entre 60 y 124 USD/MWh. Una obligación de compra fija a 28 USD/MWh durante la ventana de carga es estructuralmente incongruente con el modelo de ingresos del proyecto.</w:t>
      </w:r>
    </w:p>
    <w:p/>
    <w:p>
      <w:pPr>
        <w:pStyle w:val="RhoH2"/>
      </w:pPr>
      <w:r>
        <w:t>Mapa de calor del precio del nodo (USD/MWh)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2420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heatmap_prec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42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hoLect"/>
      </w:pPr>
      <w:r>
        <w:rPr>
          <w:rFonts w:ascii="Arial" w:hAnsi="Arial"/>
          <w:b/>
          <w:i/>
          <w:color w:val="4A4A4A"/>
          <w:sz w:val="18"/>
        </w:rPr>
        <w:t>Lectura.</w:t>
      </w:r>
      <w:r>
        <w:rPr>
          <w:rFonts w:ascii="Arial" w:hAnsi="Arial"/>
          <w:i/>
          <w:color w:val="4A4A4A"/>
          <w:sz w:val="18"/>
        </w:rPr>
        <w:t xml:space="preserve"> La matriz año × hora del costo marginal del nodo evidencia el patrón estable desde 2023. Las zonas verdes — banda solar — corresponden a la ventana de carga del proyecto a costo cercano a cero; las zonas ámbar y rojo — banda nocturna — concentran los precios en los que el proyecto monetiza su generación.</w:t>
      </w:r>
    </w:p>
    <w:p>
      <w:r>
        <w:br w:type="page"/>
      </w:r>
    </w:p>
    <w:p>
      <w:pPr>
        <w:pStyle w:val="RhoH1"/>
      </w:pPr>
      <w:r>
        <w:t>4.  Hechos clave anuales</w:t>
      </w:r>
    </w:p>
    <w:p>
      <w:pPr>
        <w:pStyle w:val="RhoBody"/>
      </w:pPr>
      <w:r>
        <w:rPr>
          <w:rFonts w:ascii="Arial" w:hAnsi="Arial"/>
          <w:color w:val="1A1A1A"/>
          <w:sz w:val="20"/>
        </w:rPr>
        <w:t xml:space="preserve">Las columnas </w:t>
      </w:r>
      <w:r>
        <w:rPr>
          <w:rFonts w:ascii="Arial" w:hAnsi="Arial"/>
          <w:b/>
          <w:color w:val="1A1A1A"/>
          <w:sz w:val="20"/>
        </w:rPr>
        <w:t>diurno</w:t>
      </w:r>
      <w:r>
        <w:rPr>
          <w:rFonts w:ascii="Arial" w:hAnsi="Arial"/>
          <w:color w:val="1A1A1A"/>
          <w:sz w:val="20"/>
        </w:rPr>
        <w:t xml:space="preserve"> y </w:t>
      </w:r>
      <w:r>
        <w:rPr>
          <w:rFonts w:ascii="Arial" w:hAnsi="Arial"/>
          <w:b/>
          <w:color w:val="1A1A1A"/>
          <w:sz w:val="20"/>
        </w:rPr>
        <w:t>nocturno</w:t>
      </w:r>
      <w:r>
        <w:rPr>
          <w:rFonts w:ascii="Arial" w:hAnsi="Arial"/>
          <w:color w:val="1A1A1A"/>
          <w:sz w:val="20"/>
        </w:rPr>
        <w:t xml:space="preserve"> describen el spread intradiario que el proyecto captura. El spread se mantiene en torno a 50 USD/MWh desde 2024.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247"/>
        <w:gridCol w:w="1361"/>
        <w:gridCol w:w="1361"/>
        <w:gridCol w:w="1361"/>
        <w:gridCol w:w="1191"/>
        <w:gridCol w:w="1191"/>
      </w:tblGrid>
      <w:tr>
        <w:tc>
          <w:tcPr>
            <w:tcW w:type="dxa" w:w="1020"/>
            <w:vAlign w:val="center"/>
            <w:shd w:val="clear" w:color="auto" w:fill="1A4A1A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br/>
            </w:r>
            <w:r>
              <w:rPr>
                <w:rFonts w:ascii="Arial" w:hAnsi="Arial"/>
                <w:b/>
                <w:color w:val="FFFFFF"/>
                <w:sz w:val="17"/>
              </w:rPr>
              <w:t>Año</w:t>
            </w:r>
          </w:p>
        </w:tc>
        <w:tc>
          <w:tcPr>
            <w:tcW w:type="dxa" w:w="1247"/>
            <w:vAlign w:val="center"/>
            <w:shd w:val="clear" w:color="auto" w:fill="1A4A1A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br/>
            </w:r>
            <w:r>
              <w:rPr>
                <w:rFonts w:ascii="Arial" w:hAnsi="Arial"/>
                <w:b/>
                <w:color w:val="FFFFFF"/>
                <w:sz w:val="17"/>
              </w:rPr>
              <w:t>Promedio</w:t>
            </w:r>
            <w:r>
              <w:br/>
            </w:r>
            <w:r>
              <w:rPr>
                <w:rFonts w:ascii="Arial" w:hAnsi="Arial"/>
                <w:b/>
                <w:color w:val="FFFFFF"/>
                <w:sz w:val="17"/>
              </w:rPr>
              <w:t>anual</w:t>
            </w:r>
          </w:p>
        </w:tc>
        <w:tc>
          <w:tcPr>
            <w:tcW w:type="dxa" w:w="1361"/>
            <w:vAlign w:val="center"/>
            <w:shd w:val="clear" w:color="auto" w:fill="92400E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br/>
            </w:r>
            <w:r>
              <w:rPr>
                <w:rFonts w:ascii="Arial" w:hAnsi="Arial"/>
                <w:b/>
                <w:color w:val="FFFFFF"/>
                <w:sz w:val="17"/>
              </w:rPr>
              <w:t>Precio diurno</w:t>
            </w:r>
            <w:r>
              <w:br/>
            </w:r>
            <w:r>
              <w:rPr>
                <w:rFonts w:ascii="Arial" w:hAnsi="Arial"/>
                <w:b/>
                <w:color w:val="FFFFFF"/>
                <w:sz w:val="17"/>
              </w:rPr>
              <w:t>(carga)</w:t>
            </w:r>
          </w:p>
        </w:tc>
        <w:tc>
          <w:tcPr>
            <w:tcW w:type="dxa" w:w="1361"/>
            <w:vAlign w:val="center"/>
            <w:shd w:val="clear" w:color="auto" w:fill="0E3A0E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br/>
            </w:r>
            <w:r>
              <w:rPr>
                <w:rFonts w:ascii="Arial" w:hAnsi="Arial"/>
                <w:b/>
                <w:color w:val="FFFFFF"/>
                <w:sz w:val="17"/>
              </w:rPr>
              <w:t>Precio nocturno</w:t>
            </w:r>
            <w:r>
              <w:br/>
            </w:r>
            <w:r>
              <w:rPr>
                <w:rFonts w:ascii="Arial" w:hAnsi="Arial"/>
                <w:b/>
                <w:color w:val="FFFFFF"/>
                <w:sz w:val="17"/>
              </w:rPr>
              <w:t>(venta)</w:t>
            </w:r>
          </w:p>
        </w:tc>
        <w:tc>
          <w:tcPr>
            <w:tcW w:type="dxa" w:w="1361"/>
            <w:vAlign w:val="center"/>
            <w:shd w:val="clear" w:color="auto" w:fill="0E3A0E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br/>
            </w:r>
            <w:r>
              <w:rPr>
                <w:rFonts w:ascii="Arial" w:hAnsi="Arial"/>
                <w:b/>
                <w:color w:val="FFFFFF"/>
                <w:sz w:val="17"/>
              </w:rPr>
              <w:t>Spread</w:t>
            </w:r>
            <w:r>
              <w:br/>
            </w:r>
            <w:r>
              <w:rPr>
                <w:rFonts w:ascii="Arial" w:hAnsi="Arial"/>
                <w:b/>
                <w:color w:val="FFFFFF"/>
                <w:sz w:val="17"/>
              </w:rPr>
              <w:t>(noche−día)</w:t>
            </w:r>
          </w:p>
        </w:tc>
        <w:tc>
          <w:tcPr>
            <w:tcW w:type="dxa" w:w="1191"/>
            <w:vAlign w:val="center"/>
            <w:shd w:val="clear" w:color="auto" w:fill="1A4A1A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br/>
            </w:r>
            <w:r>
              <w:rPr>
                <w:rFonts w:ascii="Arial" w:hAnsi="Arial"/>
                <w:b/>
                <w:color w:val="FFFFFF"/>
                <w:sz w:val="17"/>
              </w:rPr>
              <w:t>% horas</w:t>
            </w:r>
            <w:r>
              <w:br/>
            </w:r>
            <w:r>
              <w:rPr>
                <w:rFonts w:ascii="Arial" w:hAnsi="Arial"/>
                <w:b/>
                <w:color w:val="FFFFFF"/>
                <w:sz w:val="17"/>
              </w:rPr>
              <w:t>en cero</w:t>
            </w:r>
          </w:p>
        </w:tc>
        <w:tc>
          <w:tcPr>
            <w:tcW w:type="dxa" w:w="1191"/>
            <w:vAlign w:val="center"/>
            <w:shd w:val="clear" w:color="auto" w:fill="1A4A1A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br/>
            </w:r>
            <w:r>
              <w:rPr>
                <w:rFonts w:ascii="Arial" w:hAnsi="Arial"/>
                <w:b/>
                <w:color w:val="FFFFFF"/>
                <w:sz w:val="17"/>
              </w:rPr>
              <w:t>% horas</w:t>
            </w:r>
            <w:r>
              <w:br/>
            </w:r>
            <w:r>
              <w:rPr>
                <w:rFonts w:ascii="Arial" w:hAnsi="Arial"/>
                <w:b/>
                <w:color w:val="FFFFFF"/>
                <w:sz w:val="17"/>
              </w:rPr>
              <w:t>&lt; 28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2022</w:t>
            </w:r>
          </w:p>
        </w:tc>
        <w:tc>
          <w:tcPr>
            <w:tcW w:type="dxa" w:w="1247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108</w:t>
            </w:r>
          </w:p>
        </w:tc>
        <w:tc>
          <w:tcPr>
            <w:tcW w:type="dxa" w:w="136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64</w:t>
            </w:r>
          </w:p>
        </w:tc>
        <w:tc>
          <w:tcPr>
            <w:tcW w:type="dxa" w:w="136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140</w:t>
            </w:r>
          </w:p>
        </w:tc>
        <w:tc>
          <w:tcPr>
            <w:tcW w:type="dxa" w:w="136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76</w:t>
            </w:r>
          </w:p>
        </w:tc>
        <w:tc>
          <w:tcPr>
            <w:tcW w:type="dxa" w:w="119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19%</w:t>
            </w:r>
          </w:p>
        </w:tc>
        <w:tc>
          <w:tcPr>
            <w:tcW w:type="dxa" w:w="119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21%</w:t>
            </w:r>
          </w:p>
        </w:tc>
      </w:tr>
      <w:tr>
        <w:tc>
          <w:tcPr>
            <w:tcW w:type="dxa" w:w="1020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2023</w:t>
            </w:r>
          </w:p>
        </w:tc>
        <w:tc>
          <w:tcPr>
            <w:tcW w:type="dxa" w:w="1247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79</w:t>
            </w:r>
          </w:p>
        </w:tc>
        <w:tc>
          <w:tcPr>
            <w:tcW w:type="dxa" w:w="1361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32</w:t>
            </w:r>
          </w:p>
        </w:tc>
        <w:tc>
          <w:tcPr>
            <w:tcW w:type="dxa" w:w="1361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114</w:t>
            </w:r>
          </w:p>
        </w:tc>
        <w:tc>
          <w:tcPr>
            <w:tcW w:type="dxa" w:w="1361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82</w:t>
            </w:r>
          </w:p>
        </w:tc>
        <w:tc>
          <w:tcPr>
            <w:tcW w:type="dxa" w:w="1191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31%</w:t>
            </w:r>
          </w:p>
        </w:tc>
        <w:tc>
          <w:tcPr>
            <w:tcW w:type="dxa" w:w="1191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34%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2024</w:t>
            </w:r>
          </w:p>
        </w:tc>
        <w:tc>
          <w:tcPr>
            <w:tcW w:type="dxa" w:w="1247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47</w:t>
            </w:r>
          </w:p>
        </w:tc>
        <w:tc>
          <w:tcPr>
            <w:tcW w:type="dxa" w:w="136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15</w:t>
            </w:r>
          </w:p>
        </w:tc>
        <w:tc>
          <w:tcPr>
            <w:tcW w:type="dxa" w:w="136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71</w:t>
            </w:r>
          </w:p>
        </w:tc>
        <w:tc>
          <w:tcPr>
            <w:tcW w:type="dxa" w:w="136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56</w:t>
            </w:r>
          </w:p>
        </w:tc>
        <w:tc>
          <w:tcPr>
            <w:tcW w:type="dxa" w:w="119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36%</w:t>
            </w:r>
          </w:p>
        </w:tc>
        <w:tc>
          <w:tcPr>
            <w:tcW w:type="dxa" w:w="119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41%</w:t>
            </w:r>
          </w:p>
        </w:tc>
      </w:tr>
      <w:tr>
        <w:tc>
          <w:tcPr>
            <w:tcW w:type="dxa" w:w="1020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2025</w:t>
            </w:r>
          </w:p>
        </w:tc>
        <w:tc>
          <w:tcPr>
            <w:tcW w:type="dxa" w:w="1247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63</w:t>
            </w:r>
          </w:p>
        </w:tc>
        <w:tc>
          <w:tcPr>
            <w:tcW w:type="dxa" w:w="1361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36</w:t>
            </w:r>
          </w:p>
        </w:tc>
        <w:tc>
          <w:tcPr>
            <w:tcW w:type="dxa" w:w="1361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84</w:t>
            </w:r>
          </w:p>
        </w:tc>
        <w:tc>
          <w:tcPr>
            <w:tcW w:type="dxa" w:w="1361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48</w:t>
            </w:r>
          </w:p>
        </w:tc>
        <w:tc>
          <w:tcPr>
            <w:tcW w:type="dxa" w:w="1191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25%</w:t>
            </w:r>
          </w:p>
        </w:tc>
        <w:tc>
          <w:tcPr>
            <w:tcW w:type="dxa" w:w="1191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29%</w:t>
            </w:r>
          </w:p>
        </w:tc>
      </w:tr>
      <w:tr>
        <w:tc>
          <w:tcPr>
            <w:tcW w:type="dxa" w:w="1020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2026</w:t>
            </w:r>
          </w:p>
        </w:tc>
        <w:tc>
          <w:tcPr>
            <w:tcW w:type="dxa" w:w="1247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44</w:t>
            </w:r>
          </w:p>
        </w:tc>
        <w:tc>
          <w:tcPr>
            <w:tcW w:type="dxa" w:w="136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17</w:t>
            </w:r>
          </w:p>
        </w:tc>
        <w:tc>
          <w:tcPr>
            <w:tcW w:type="dxa" w:w="136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65</w:t>
            </w:r>
          </w:p>
        </w:tc>
        <w:tc>
          <w:tcPr>
            <w:tcW w:type="dxa" w:w="136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48</w:t>
            </w:r>
          </w:p>
        </w:tc>
        <w:tc>
          <w:tcPr>
            <w:tcW w:type="dxa" w:w="119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27%</w:t>
            </w:r>
          </w:p>
        </w:tc>
        <w:tc>
          <w:tcPr>
            <w:tcW w:type="dxa" w:w="1191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19"/>
              </w:rPr>
              <w:t>32%</w:t>
            </w:r>
          </w:p>
        </w:tc>
      </w:tr>
    </w:tbl>
    <w:p/>
    <w:p>
      <w:pPr>
        <w:pStyle w:val="RhoH2"/>
      </w:pPr>
      <w:r>
        <w:t>Tendencia mensual del precio del nodo (USD/MWh)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605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mensu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60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hoLect"/>
      </w:pPr>
      <w:r>
        <w:rPr>
          <w:rFonts w:ascii="Arial" w:hAnsi="Arial"/>
          <w:b/>
          <w:i/>
          <w:color w:val="4A4A4A"/>
          <w:sz w:val="18"/>
        </w:rPr>
        <w:t>Lectura.</w:t>
      </w:r>
      <w:r>
        <w:rPr>
          <w:rFonts w:ascii="Arial" w:hAnsi="Arial"/>
          <w:i/>
          <w:color w:val="4A4A4A"/>
          <w:sz w:val="18"/>
        </w:rPr>
        <w:t xml:space="preserve"> El costo marginal promedio mensual del nodo desciende de </w:t>
      </w:r>
      <w:r>
        <w:rPr>
          <w:rFonts w:ascii="Arial" w:hAnsi="Arial"/>
          <w:b/>
          <w:i/>
          <w:color w:val="4A4A4A"/>
          <w:sz w:val="18"/>
        </w:rPr>
        <w:t>108 USD/MWh en 2022</w:t>
      </w:r>
      <w:r>
        <w:rPr>
          <w:rFonts w:ascii="Arial" w:hAnsi="Arial"/>
          <w:i/>
          <w:color w:val="4A4A4A"/>
          <w:sz w:val="18"/>
        </w:rPr>
        <w:t xml:space="preserve"> a </w:t>
      </w:r>
      <w:r>
        <w:rPr>
          <w:rFonts w:ascii="Arial" w:hAnsi="Arial"/>
          <w:b/>
          <w:i/>
          <w:color w:val="4A4A4A"/>
          <w:sz w:val="18"/>
        </w:rPr>
        <w:t>44 USD/MWh en 2026</w:t>
      </w:r>
      <w:r>
        <w:rPr>
          <w:rFonts w:ascii="Arial" w:hAnsi="Arial"/>
          <w:i/>
          <w:color w:val="4A4A4A"/>
          <w:sz w:val="18"/>
        </w:rPr>
        <w:t>. La compresión se concentra en la banda solar — efecto de la saturación fotovoltaica zonal — mientras que la dinámica nocturna mantiene niveles consistentes con el sistema.</w:t>
      </w:r>
    </w:p>
    <w:p>
      <w:r>
        <w:br w:type="page"/>
      </w:r>
    </w:p>
    <w:p>
      <w:pPr>
        <w:pStyle w:val="RhoH1"/>
      </w:pPr>
      <w:r>
        <w:t>5.  Por qué el proyecto no debe firmar el PPA de compra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b/>
          <w:color w:val="1A1A1A"/>
          <w:sz w:val="20"/>
        </w:rPr>
        <w:t>Incongruencia económica con el modelo.</w:t>
      </w:r>
      <w:r>
        <w:rPr>
          <w:rFonts w:ascii="Arial" w:hAnsi="Arial"/>
          <w:color w:val="1A1A1A"/>
          <w:sz w:val="20"/>
        </w:rPr>
        <w:t xml:space="preserve"> La obligación de compra a 28 USD/MWh durante la banda solar implica adquirir energía a un precio estructuralmente superior al costo del nodo, anulando el margen de arbitraje que el proyecto captura.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b/>
          <w:color w:val="1A1A1A"/>
          <w:sz w:val="20"/>
        </w:rPr>
        <w:t>Cobertura no congruente con la posición del proyecto.</w:t>
      </w:r>
      <w:r>
        <w:rPr>
          <w:rFonts w:ascii="Arial" w:hAnsi="Arial"/>
          <w:color w:val="1A1A1A"/>
          <w:sz w:val="20"/>
        </w:rPr>
        <w:t xml:space="preserve"> El PPA de compra es un instrumento de cobertura frente al alza del precio en posiciones consumidoras. El proyecto Panimávida presenta una posición estructuralmente vendedora y no requiere cobertura compradora.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b/>
          <w:color w:val="1A1A1A"/>
          <w:sz w:val="20"/>
        </w:rPr>
        <w:t>Impacto sobre los ratios de cobertura de la deuda.</w:t>
      </w:r>
      <w:r>
        <w:rPr>
          <w:rFonts w:ascii="Arial" w:hAnsi="Arial"/>
          <w:color w:val="1A1A1A"/>
          <w:sz w:val="20"/>
        </w:rPr>
        <w:t xml:space="preserve"> Una obligación de pago fija anual reduce la flexibilidad de caja del proyecto y deteriora los ratios DSCR y LLCR, afectando su perfil crediticio.</w:t>
      </w:r>
    </w:p>
    <w:p>
      <w:pPr>
        <w:pStyle w:val="RhoH1"/>
      </w:pPr>
      <w:r>
        <w:t>6.  Sensibilidad al precio del PPA</w:t>
      </w:r>
    </w:p>
    <w:p>
      <w:pPr>
        <w:pStyle w:val="RhoBody"/>
      </w:pPr>
      <w:r>
        <w:t>Sobreprecio promedio en banda solar = max(0, P − spot). Aun bajo escenarios de renegociación del precio del PPA entre 22 y 34 USD/MWh, el costo marginal del nodo en banda solar permanece estructuralmente inferior. La conclusión del análisis es robusta a la sensibilidad.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1474"/>
        <w:gridCol w:w="1474"/>
        <w:gridCol w:w="1474"/>
        <w:gridCol w:w="1474"/>
        <w:gridCol w:w="1474"/>
      </w:tblGrid>
      <w:tr>
        <w:tc>
          <w:tcPr>
            <w:tcW w:type="dxa" w:w="1247"/>
            <w:vAlign w:val="center"/>
            <w:shd w:val="clear" w:color="auto" w:fill="1A4A1A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Año</w:t>
            </w:r>
          </w:p>
        </w:tc>
        <w:tc>
          <w:tcPr>
            <w:tcW w:type="dxa" w:w="1474"/>
            <w:vAlign w:val="center"/>
            <w:shd w:val="clear" w:color="auto" w:fill="1A4A1A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 = 22</w:t>
            </w:r>
          </w:p>
        </w:tc>
        <w:tc>
          <w:tcPr>
            <w:tcW w:type="dxa" w:w="1474"/>
            <w:vAlign w:val="center"/>
            <w:shd w:val="clear" w:color="auto" w:fill="1A4A1A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 = 25</w:t>
            </w:r>
          </w:p>
        </w:tc>
        <w:tc>
          <w:tcPr>
            <w:tcW w:type="dxa" w:w="1474"/>
            <w:vAlign w:val="center"/>
            <w:shd w:val="clear" w:color="auto" w:fill="1A4A1A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 = 28</w:t>
            </w:r>
          </w:p>
        </w:tc>
        <w:tc>
          <w:tcPr>
            <w:tcW w:type="dxa" w:w="1474"/>
            <w:vAlign w:val="center"/>
            <w:shd w:val="clear" w:color="auto" w:fill="1A4A1A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 = 30</w:t>
            </w:r>
          </w:p>
        </w:tc>
        <w:tc>
          <w:tcPr>
            <w:tcW w:type="dxa" w:w="1474"/>
            <w:vAlign w:val="center"/>
            <w:shd w:val="clear" w:color="auto" w:fill="1A4A1A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P = 34</w:t>
            </w:r>
          </w:p>
        </w:tc>
      </w:tr>
      <w:tr>
        <w:tc>
          <w:tcPr>
            <w:tcW w:type="dxa" w:w="1247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20"/>
              </w:rPr>
              <w:t>2022</w:t>
            </w:r>
          </w:p>
        </w:tc>
        <w:tc>
          <w:tcPr>
            <w:tcW w:type="dxa" w:w="1474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10</w:t>
            </w:r>
          </w:p>
        </w:tc>
        <w:tc>
          <w:tcPr>
            <w:tcW w:type="dxa" w:w="1474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12</w:t>
            </w:r>
          </w:p>
        </w:tc>
        <w:tc>
          <w:tcPr>
            <w:tcW w:type="dxa" w:w="1474"/>
            <w:vAlign w:val="center"/>
            <w:shd w:val="clear" w:color="auto" w:fill="DCEAD3"/>
            <w:tcBorders>
              <w:top w:val="single" w:sz="8" w:color="3C8B3C"/>
              <w:left w:val="single" w:sz="8" w:color="3C8B3C"/>
              <w:bottom w:val="single" w:sz="8" w:color="3C8B3C"/>
              <w:right w:val="single" w:sz="8" w:color="3C8B3C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13</w:t>
            </w:r>
          </w:p>
        </w:tc>
        <w:tc>
          <w:tcPr>
            <w:tcW w:type="dxa" w:w="1474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14</w:t>
            </w:r>
          </w:p>
        </w:tc>
        <w:tc>
          <w:tcPr>
            <w:tcW w:type="dxa" w:w="1474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16</w:t>
            </w:r>
          </w:p>
        </w:tc>
      </w:tr>
      <w:tr>
        <w:tc>
          <w:tcPr>
            <w:tcW w:type="dxa" w:w="1247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20"/>
              </w:rPr>
              <w:t>2023</w:t>
            </w:r>
          </w:p>
        </w:tc>
        <w:tc>
          <w:tcPr>
            <w:tcW w:type="dxa" w:w="1474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15</w:t>
            </w:r>
          </w:p>
        </w:tc>
        <w:tc>
          <w:tcPr>
            <w:tcW w:type="dxa" w:w="1474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17</w:t>
            </w:r>
          </w:p>
        </w:tc>
        <w:tc>
          <w:tcPr>
            <w:tcW w:type="dxa" w:w="1474"/>
            <w:vAlign w:val="center"/>
            <w:shd w:val="clear" w:color="auto" w:fill="DCEAD3"/>
            <w:tcBorders>
              <w:top w:val="single" w:sz="8" w:color="3C8B3C"/>
              <w:left w:val="single" w:sz="8" w:color="3C8B3C"/>
              <w:bottom w:val="single" w:sz="8" w:color="3C8B3C"/>
              <w:right w:val="single" w:sz="8" w:color="3C8B3C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19</w:t>
            </w:r>
          </w:p>
        </w:tc>
        <w:tc>
          <w:tcPr>
            <w:tcW w:type="dxa" w:w="1474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21</w:t>
            </w:r>
          </w:p>
        </w:tc>
        <w:tc>
          <w:tcPr>
            <w:tcW w:type="dxa" w:w="1474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23</w:t>
            </w:r>
          </w:p>
        </w:tc>
      </w:tr>
      <w:tr>
        <w:tc>
          <w:tcPr>
            <w:tcW w:type="dxa" w:w="1247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20"/>
              </w:rPr>
              <w:t>2024</w:t>
            </w:r>
          </w:p>
        </w:tc>
        <w:tc>
          <w:tcPr>
            <w:tcW w:type="dxa" w:w="1474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18</w:t>
            </w:r>
          </w:p>
        </w:tc>
        <w:tc>
          <w:tcPr>
            <w:tcW w:type="dxa" w:w="1474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20</w:t>
            </w:r>
          </w:p>
        </w:tc>
        <w:tc>
          <w:tcPr>
            <w:tcW w:type="dxa" w:w="1474"/>
            <w:vAlign w:val="center"/>
            <w:shd w:val="clear" w:color="auto" w:fill="DCEAD3"/>
            <w:tcBorders>
              <w:top w:val="single" w:sz="8" w:color="3C8B3C"/>
              <w:left w:val="single" w:sz="8" w:color="3C8B3C"/>
              <w:bottom w:val="single" w:sz="8" w:color="3C8B3C"/>
              <w:right w:val="single" w:sz="8" w:color="3C8B3C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22</w:t>
            </w:r>
          </w:p>
        </w:tc>
        <w:tc>
          <w:tcPr>
            <w:tcW w:type="dxa" w:w="1474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24</w:t>
            </w:r>
          </w:p>
        </w:tc>
        <w:tc>
          <w:tcPr>
            <w:tcW w:type="dxa" w:w="1474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27</w:t>
            </w:r>
          </w:p>
        </w:tc>
      </w:tr>
      <w:tr>
        <w:tc>
          <w:tcPr>
            <w:tcW w:type="dxa" w:w="1247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20"/>
              </w:rPr>
              <w:t>2025</w:t>
            </w:r>
          </w:p>
        </w:tc>
        <w:tc>
          <w:tcPr>
            <w:tcW w:type="dxa" w:w="1474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13</w:t>
            </w:r>
          </w:p>
        </w:tc>
        <w:tc>
          <w:tcPr>
            <w:tcW w:type="dxa" w:w="1474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15</w:t>
            </w:r>
          </w:p>
        </w:tc>
        <w:tc>
          <w:tcPr>
            <w:tcW w:type="dxa" w:w="1474"/>
            <w:vAlign w:val="center"/>
            <w:shd w:val="clear" w:color="auto" w:fill="DCEAD3"/>
            <w:tcBorders>
              <w:top w:val="single" w:sz="8" w:color="3C8B3C"/>
              <w:left w:val="single" w:sz="8" w:color="3C8B3C"/>
              <w:bottom w:val="single" w:sz="8" w:color="3C8B3C"/>
              <w:right w:val="single" w:sz="8" w:color="3C8B3C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16</w:t>
            </w:r>
          </w:p>
        </w:tc>
        <w:tc>
          <w:tcPr>
            <w:tcW w:type="dxa" w:w="1474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18</w:t>
            </w:r>
          </w:p>
        </w:tc>
        <w:tc>
          <w:tcPr>
            <w:tcW w:type="dxa" w:w="1474"/>
            <w:vAlign w:val="center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20</w:t>
            </w:r>
          </w:p>
        </w:tc>
      </w:tr>
      <w:tr>
        <w:tc>
          <w:tcPr>
            <w:tcW w:type="dxa" w:w="1247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1A1A1A"/>
                <w:sz w:val="20"/>
              </w:rPr>
              <w:t>2026</w:t>
            </w:r>
          </w:p>
        </w:tc>
        <w:tc>
          <w:tcPr>
            <w:tcW w:type="dxa" w:w="1474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14</w:t>
            </w:r>
          </w:p>
        </w:tc>
        <w:tc>
          <w:tcPr>
            <w:tcW w:type="dxa" w:w="1474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16</w:t>
            </w:r>
          </w:p>
        </w:tc>
        <w:tc>
          <w:tcPr>
            <w:tcW w:type="dxa" w:w="1474"/>
            <w:vAlign w:val="center"/>
            <w:shd w:val="clear" w:color="auto" w:fill="DCEAD3"/>
            <w:tcBorders>
              <w:top w:val="single" w:sz="8" w:color="3C8B3C"/>
              <w:left w:val="single" w:sz="8" w:color="3C8B3C"/>
              <w:bottom w:val="single" w:sz="8" w:color="3C8B3C"/>
              <w:right w:val="single" w:sz="8" w:color="3C8B3C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18</w:t>
            </w:r>
          </w:p>
        </w:tc>
        <w:tc>
          <w:tcPr>
            <w:tcW w:type="dxa" w:w="1474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20</w:t>
            </w:r>
          </w:p>
        </w:tc>
        <w:tc>
          <w:tcPr>
            <w:tcW w:type="dxa" w:w="1474"/>
            <w:vAlign w:val="center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color w:val="1A1A1A"/>
                <w:sz w:val="20"/>
              </w:rPr>
              <w:t>23</w:t>
            </w:r>
          </w:p>
        </w:tc>
      </w:tr>
    </w:tbl>
    <w:p>
      <w:pPr>
        <w:pStyle w:val="RhoNote"/>
      </w:pPr>
      <w:r>
        <w:t>Sobreprecio promedio en banda solar (09–17 h) = max(0, P − spot). Columna destacada: oferta vigente del PPA.</w:t>
      </w:r>
    </w:p>
    <w:p>
      <w:r>
        <w:br w:type="page"/>
      </w:r>
    </w:p>
    <w:p>
      <w:pPr>
        <w:pStyle w:val="RhoH1"/>
      </w:pPr>
      <w:r>
        <w:t>7.  Implicancias sobre el servicio de la deuda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b/>
          <w:color w:val="1A1A1A"/>
          <w:sz w:val="20"/>
        </w:rPr>
        <w:t>Generación de caja sustentada por el arbitraje horario.</w:t>
      </w:r>
      <w:r>
        <w:rPr>
          <w:rFonts w:ascii="Arial" w:hAnsi="Arial"/>
          <w:color w:val="1A1A1A"/>
          <w:sz w:val="20"/>
        </w:rPr>
        <w:t xml:space="preserve"> El precio promedio del nodo en banda nocturna en 2026 es de </w:t>
      </w:r>
      <w:r>
        <w:rPr>
          <w:rFonts w:ascii="Arial" w:hAnsi="Arial"/>
          <w:b/>
          <w:color w:val="1A1A1A"/>
          <w:sz w:val="20"/>
        </w:rPr>
        <w:t>65 USD/MWh</w:t>
      </w:r>
      <w:r>
        <w:rPr>
          <w:rFonts w:ascii="Arial" w:hAnsi="Arial"/>
          <w:color w:val="1A1A1A"/>
          <w:sz w:val="20"/>
        </w:rPr>
        <w:t xml:space="preserve">, con máximo intradiario </w:t>
      </w:r>
      <w:r>
        <w:rPr>
          <w:rFonts w:ascii="Arial" w:hAnsi="Arial"/>
          <w:b/>
          <w:color w:val="1A1A1A"/>
          <w:sz w:val="20"/>
        </w:rPr>
        <w:t>124 USD/MWh</w:t>
      </w:r>
      <w:r>
        <w:rPr>
          <w:rFonts w:ascii="Arial" w:hAnsi="Arial"/>
          <w:color w:val="1A1A1A"/>
          <w:sz w:val="20"/>
        </w:rPr>
        <w:t>. El spread intradiario capturado constituye la fuente principal de ingresos del proyecto.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b/>
          <w:color w:val="1A1A1A"/>
          <w:sz w:val="20"/>
        </w:rPr>
        <w:t>Preservación de los ratios de cobertura.</w:t>
      </w:r>
      <w:r>
        <w:rPr>
          <w:rFonts w:ascii="Arial" w:hAnsi="Arial"/>
          <w:color w:val="1A1A1A"/>
          <w:sz w:val="20"/>
        </w:rPr>
        <w:t xml:space="preserve"> La no suscripción del PPA evita una obligación fija de salida de caja, preservando holgura en los ratios DSCR y LLCR durante la vida útil del crédito.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b/>
          <w:color w:val="1A1A1A"/>
          <w:sz w:val="20"/>
        </w:rPr>
        <w:t>Cobertura natural por la generación propia.</w:t>
      </w:r>
      <w:r>
        <w:rPr>
          <w:rFonts w:ascii="Arial" w:hAnsi="Arial"/>
          <w:color w:val="1A1A1A"/>
          <w:sz w:val="20"/>
        </w:rPr>
        <w:t xml:space="preserve"> La generación solar fotovoltaica neutraliza estructuralmente la exposición al precio en banda solar, eliminando el riesgo que justificaría una cobertura compradora externa.</w:t>
      </w:r>
    </w:p>
    <w:p>
      <w:pPr>
        <w:pStyle w:val="RhoH1"/>
      </w:pPr>
      <w:r>
        <w:t>8.  Riesgos y mitigantes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49"/>
        <w:gridCol w:w="5216"/>
      </w:tblGrid>
      <w:tr>
        <w:tc>
          <w:tcPr>
            <w:tcW w:type="dxa" w:w="4649"/>
            <w:vAlign w:val="center"/>
            <w:shd w:val="clear" w:color="auto" w:fill="1A4A1A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216"/>
            <w:vAlign w:val="center"/>
            <w:shd w:val="clear" w:color="auto" w:fill="1A4A1A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Mitigante</w:t>
            </w:r>
          </w:p>
        </w:tc>
      </w:tr>
      <w:tr>
        <w:tc>
          <w:tcPr>
            <w:tcW w:type="dxa" w:w="4649"/>
            <w:vAlign w:val="top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Compresión del precio en banda nocturna.</w:t>
            </w:r>
            <w:r>
              <w:rPr>
                <w:rFonts w:ascii="Arial" w:hAnsi="Arial"/>
                <w:color w:val="1A1A1A"/>
                <w:sz w:val="19"/>
              </w:rPr>
              <w:t xml:space="preserve"> Descenso sostenido del costo marginal promedio del nodo en horas no solares.</w:t>
            </w:r>
          </w:p>
        </w:tc>
        <w:tc>
          <w:tcPr>
            <w:tcW w:type="dxa" w:w="5216"/>
            <w:vAlign w:val="top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color w:val="1A1A1A"/>
                <w:sz w:val="19"/>
              </w:rPr>
              <w:t>Monitoreo trimestral del precio nocturno. Covenant de DSCR mínimo con observación si el promedio cae por debajo de 50 USD/MWh durante dos trimestres consecutivos.</w:t>
            </w:r>
          </w:p>
        </w:tc>
      </w:tr>
      <w:tr>
        <w:tc>
          <w:tcPr>
            <w:tcW w:type="dxa" w:w="4649"/>
            <w:vAlign w:val="top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Expansión de la banda de saturación solar.</w:t>
            </w:r>
            <w:r>
              <w:rPr>
                <w:rFonts w:ascii="Arial" w:hAnsi="Arial"/>
                <w:color w:val="1A1A1A"/>
                <w:sz w:val="19"/>
              </w:rPr>
              <w:t xml:space="preserve"> Ampliación del rango horario en el que el costo marginal del nodo se aproxima a cero.</w:t>
            </w:r>
          </w:p>
        </w:tc>
        <w:tc>
          <w:tcPr>
            <w:tcW w:type="dxa" w:w="5216"/>
            <w:vAlign w:val="top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color w:val="1A1A1A"/>
                <w:sz w:val="19"/>
              </w:rPr>
              <w:t>Reporte trimestral del perfil intradiario del nodo como parte del paquete de información al Banco.</w:t>
            </w:r>
          </w:p>
        </w:tc>
      </w:tr>
      <w:tr>
        <w:tc>
          <w:tcPr>
            <w:tcW w:type="dxa" w:w="4649"/>
            <w:vAlign w:val="top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Cambios regulatorios sobre la asignación nodal.</w:t>
            </w:r>
            <w:r>
              <w:rPr>
                <w:rFonts w:ascii="Arial" w:hAnsi="Arial"/>
                <w:color w:val="1A1A1A"/>
                <w:sz w:val="19"/>
              </w:rPr>
              <w:t xml:space="preserve"> Reformas al esquema de costos marginales o introducción de pisos al CMg.</w:t>
            </w:r>
          </w:p>
        </w:tc>
        <w:tc>
          <w:tcPr>
            <w:tcW w:type="dxa" w:w="5216"/>
            <w:vAlign w:val="top"/>
            <w:shd w:val="clear" w:color="auto" w:fill="FFFFFF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color w:val="1A1A1A"/>
                <w:sz w:val="19"/>
              </w:rPr>
              <w:t>Seguimiento permanente del marco regulatorio Coordinador / CNE y reevaluación del análisis ante anuncios materiales.</w:t>
            </w:r>
          </w:p>
        </w:tc>
      </w:tr>
      <w:tr>
        <w:tc>
          <w:tcPr>
            <w:tcW w:type="dxa" w:w="4649"/>
            <w:vAlign w:val="top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Volatilidad operacional del sistema.</w:t>
            </w:r>
            <w:r>
              <w:rPr>
                <w:rFonts w:ascii="Arial" w:hAnsi="Arial"/>
                <w:color w:val="1A1A1A"/>
                <w:sz w:val="19"/>
              </w:rPr>
              <w:t xml:space="preserve"> Eventos hidrológicos, fallas mayores o estrechez de oferta que alteren puntualmente el precio del nodo.</w:t>
            </w:r>
          </w:p>
        </w:tc>
        <w:tc>
          <w:tcPr>
            <w:tcW w:type="dxa" w:w="5216"/>
            <w:vAlign w:val="top"/>
            <w:shd w:val="clear" w:color="auto" w:fill="F7F7F2"/>
            <w:tcBorders>
              <w:top w:val="single" w:sz="4" w:color="D8DDD3"/>
              <w:left w:val="single" w:sz="4" w:color="D8DDD3"/>
              <w:bottom w:val="single" w:sz="4" w:color="D8DDD3"/>
              <w:right w:val="single" w:sz="4" w:color="D8DDD3"/>
            </w:tcBorders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color w:val="1A1A1A"/>
                <w:sz w:val="19"/>
              </w:rPr>
              <w:t>El análisis se sustenta en 38.064 horas agregadas, lo que diluye eventos puntuales y preserva la robustez de la conclusión.</w:t>
            </w:r>
          </w:p>
        </w:tc>
      </w:tr>
    </w:tbl>
    <w:p>
      <w:r>
        <w:br w:type="page"/>
      </w:r>
    </w:p>
    <w:p>
      <w:pPr>
        <w:pStyle w:val="RhoH1"/>
      </w:pPr>
      <w:r>
        <w:t>9.  Recomendación al Comité de Crédito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b/>
          <w:color w:val="1A1A1A"/>
          <w:sz w:val="20"/>
        </w:rPr>
        <w:t>Aprobar el financiamiento</w:t>
      </w:r>
      <w:r>
        <w:rPr>
          <w:rFonts w:ascii="Arial" w:hAnsi="Arial"/>
          <w:color w:val="1A1A1A"/>
          <w:sz w:val="20"/>
        </w:rPr>
        <w:t xml:space="preserve">  del proyecto sin condicionarlo a la suscripción del PPA de compra a 28 USD/MWh.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b/>
          <w:color w:val="1A1A1A"/>
          <w:sz w:val="20"/>
        </w:rPr>
        <w:t>Reconocer como fuente principal de ingresos</w:t>
      </w:r>
      <w:r>
        <w:rPr>
          <w:rFonts w:ascii="Arial" w:hAnsi="Arial"/>
          <w:color w:val="1A1A1A"/>
          <w:sz w:val="20"/>
        </w:rPr>
        <w:t xml:space="preserve">  el arbitraje horario entre el ciclo de carga (costo marginal promedio 17 USD/MWh) y el ciclo de venta (promedio 65 USD/MWh).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b/>
          <w:color w:val="1A1A1A"/>
          <w:sz w:val="20"/>
        </w:rPr>
        <w:t>Establecer monitoreo trimestral</w:t>
      </w:r>
      <w:r>
        <w:rPr>
          <w:rFonts w:ascii="Arial" w:hAnsi="Arial"/>
          <w:color w:val="1A1A1A"/>
          <w:sz w:val="20"/>
        </w:rPr>
        <w:t xml:space="preserve">  del costo marginal del nodo en banda nocturna como insumo de los covenants financieros del crédito.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b/>
          <w:color w:val="1A1A1A"/>
          <w:sz w:val="20"/>
        </w:rPr>
        <w:t>Preservar la opción</w:t>
      </w:r>
      <w:r>
        <w:rPr>
          <w:rFonts w:ascii="Arial" w:hAnsi="Arial"/>
          <w:color w:val="1A1A1A"/>
          <w:sz w:val="20"/>
        </w:rPr>
        <w:t xml:space="preserve">  de reevaluar la suscripción de un PPA hacia 2030, condicionada a la entrada en operación de los refuerzos de transmisión previstos para la zona por el Coordinador y la CNE.</w:t>
      </w:r>
    </w:p>
    <w:p>
      <w:pPr>
        <w:pStyle w:val="RhoH1"/>
      </w:pPr>
      <w:r>
        <w:t>10.  Metodología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color w:val="1A1A1A"/>
          <w:sz w:val="20"/>
        </w:rPr>
        <w:t>Período de análisis: 2022-01-01 a 2026-05-22 (38.064 horas).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color w:val="1A1A1A"/>
          <w:sz w:val="20"/>
        </w:rPr>
        <w:t>Banda solar: 09:00 a 17:59 h. Banda nocturna: 19:00 a 07:59 h (hora-reloj).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color w:val="1A1A1A"/>
          <w:sz w:val="20"/>
        </w:rPr>
        <w:t>Costos marginales redondeados a enteros USD/MWh.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color w:val="1A1A1A"/>
          <w:sz w:val="20"/>
        </w:rPr>
        <w:t>Sobreprecio del PPA = max(0, P − CMg).</w:t>
      </w:r>
    </w:p>
    <w:p>
      <w:pPr>
        <w:pStyle w:val="RhoBullet"/>
      </w:pPr>
      <w:r>
        <w:rPr>
          <w:rFonts w:ascii="Arial" w:hAnsi="Arial"/>
          <w:color w:val="1A1A1A"/>
          <w:sz w:val="20"/>
        </w:rPr>
        <w:t xml:space="preserve">•   </w:t>
      </w:r>
      <w:r>
        <w:rPr>
          <w:rFonts w:ascii="Arial" w:hAnsi="Arial"/>
          <w:color w:val="1A1A1A"/>
          <w:sz w:val="20"/>
        </w:rPr>
        <w:t>El análisis es de naturaleza histórica y no constituye una proyección determinista de precios futuros.</w:t>
      </w:r>
    </w:p>
    <w:p>
      <w:pPr>
        <w:pStyle w:val="RhoH1"/>
      </w:pPr>
      <w:r>
        <w:t>11.  Glosario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c>
          <w:tcPr>
            <w:tcW w:type="dxa" w:w="2381"/>
            <w:vAlign w:val="top"/>
            <w:shd w:val="clear" w:color="auto" w:fill="F7F7F2"/>
            <w:tcBorders>
              <w:top w:val="single" w:sz="2" w:color="D8DDD3"/>
              <w:left w:val="single" w:sz="2" w:color="D8DDD3"/>
              <w:bottom w:val="single" w:sz="2" w:color="D8DDD3"/>
              <w:right w:val="single" w:sz="2" w:color="D8DDD3"/>
            </w:tcBorders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A1A1A"/>
                <w:sz w:val="20"/>
              </w:rPr>
              <w:t>Costo marginal del nodo (CMg)</w:t>
            </w:r>
          </w:p>
        </w:tc>
        <w:tc>
          <w:tcPr>
            <w:tcW w:type="dxa" w:w="7483"/>
            <w:vAlign w:val="top"/>
            <w:shd w:val="clear" w:color="auto" w:fill="F7F7F2"/>
            <w:tcBorders>
              <w:top w:val="single" w:sz="2" w:color="D8DDD3"/>
              <w:left w:val="single" w:sz="2" w:color="D8DDD3"/>
              <w:bottom w:val="single" w:sz="2" w:color="D8DDD3"/>
              <w:right w:val="single" w:sz="2" w:color="D8DDD3"/>
            </w:tcBorders>
          </w:tcPr>
          <w:p>
            <w:pPr>
              <w:spacing w:after="40"/>
              <w:jc w:val="both"/>
            </w:pPr>
            <w:r/>
            <w:r>
              <w:rPr>
                <w:rFonts w:ascii="Arial" w:hAnsi="Arial"/>
                <w:color w:val="1A1A1A"/>
                <w:sz w:val="20"/>
              </w:rPr>
              <w:t>Precio horario al que el sistema eléctrico chileno valoriza la energía inyectada o retirada en un nodo específico, determinado por la última unidad despachada.</w:t>
            </w:r>
          </w:p>
        </w:tc>
      </w:tr>
      <w:tr>
        <w:tc>
          <w:tcPr>
            <w:tcW w:type="dxa" w:w="2381"/>
            <w:vAlign w:val="top"/>
            <w:shd w:val="clear" w:color="auto" w:fill="FFFFFF"/>
            <w:tcBorders>
              <w:top w:val="single" w:sz="2" w:color="D8DDD3"/>
              <w:left w:val="single" w:sz="2" w:color="D8DDD3"/>
              <w:bottom w:val="single" w:sz="2" w:color="D8DDD3"/>
              <w:right w:val="single" w:sz="2" w:color="D8DDD3"/>
            </w:tcBorders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A1A1A"/>
                <w:sz w:val="20"/>
              </w:rPr>
              <w:t>Sistema de almacenamiento (BESS)</w:t>
            </w:r>
          </w:p>
        </w:tc>
        <w:tc>
          <w:tcPr>
            <w:tcW w:type="dxa" w:w="7483"/>
            <w:vAlign w:val="top"/>
            <w:shd w:val="clear" w:color="auto" w:fill="FFFFFF"/>
            <w:tcBorders>
              <w:top w:val="single" w:sz="2" w:color="D8DDD3"/>
              <w:left w:val="single" w:sz="2" w:color="D8DDD3"/>
              <w:bottom w:val="single" w:sz="2" w:color="D8DDD3"/>
              <w:right w:val="single" w:sz="2" w:color="D8DDD3"/>
            </w:tcBorders>
          </w:tcPr>
          <w:p>
            <w:pPr>
              <w:spacing w:after="40"/>
              <w:jc w:val="both"/>
            </w:pPr>
            <w:r/>
            <w:r>
              <w:rPr>
                <w:rFonts w:ascii="Arial" w:hAnsi="Arial"/>
                <w:color w:val="1A1A1A"/>
                <w:sz w:val="20"/>
              </w:rPr>
              <w:t>Battery Energy Storage System. Equipo que permite trasladar energía entre horas: cargar a precio bajo y descargar a precio alto, capturando el diferencial.</w:t>
            </w:r>
          </w:p>
        </w:tc>
      </w:tr>
      <w:tr>
        <w:tc>
          <w:tcPr>
            <w:tcW w:type="dxa" w:w="2381"/>
            <w:vAlign w:val="top"/>
            <w:shd w:val="clear" w:color="auto" w:fill="F7F7F2"/>
            <w:tcBorders>
              <w:top w:val="single" w:sz="2" w:color="D8DDD3"/>
              <w:left w:val="single" w:sz="2" w:color="D8DDD3"/>
              <w:bottom w:val="single" w:sz="2" w:color="D8DDD3"/>
              <w:right w:val="single" w:sz="2" w:color="D8DDD3"/>
            </w:tcBorders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A1A1A"/>
                <w:sz w:val="20"/>
              </w:rPr>
              <w:t>Arbitraje horario</w:t>
            </w:r>
          </w:p>
        </w:tc>
        <w:tc>
          <w:tcPr>
            <w:tcW w:type="dxa" w:w="7483"/>
            <w:vAlign w:val="top"/>
            <w:shd w:val="clear" w:color="auto" w:fill="F7F7F2"/>
            <w:tcBorders>
              <w:top w:val="single" w:sz="2" w:color="D8DDD3"/>
              <w:left w:val="single" w:sz="2" w:color="D8DDD3"/>
              <w:bottom w:val="single" w:sz="2" w:color="D8DDD3"/>
              <w:right w:val="single" w:sz="2" w:color="D8DDD3"/>
            </w:tcBorders>
          </w:tcPr>
          <w:p>
            <w:pPr>
              <w:spacing w:after="40"/>
              <w:jc w:val="both"/>
            </w:pPr>
            <w:r/>
            <w:r>
              <w:rPr>
                <w:rFonts w:ascii="Arial" w:hAnsi="Arial"/>
                <w:color w:val="1A1A1A"/>
                <w:sz w:val="20"/>
              </w:rPr>
              <w:t>Estrategia de captura del diferencial intradiario del costo marginal del nodo mediante la carga del sistema de almacenamiento en horas de precio bajo y su descarga en horas de precio alto.</w:t>
            </w:r>
          </w:p>
        </w:tc>
      </w:tr>
      <w:tr>
        <w:tc>
          <w:tcPr>
            <w:tcW w:type="dxa" w:w="2381"/>
            <w:vAlign w:val="top"/>
            <w:shd w:val="clear" w:color="auto" w:fill="FFFFFF"/>
            <w:tcBorders>
              <w:top w:val="single" w:sz="2" w:color="D8DDD3"/>
              <w:left w:val="single" w:sz="2" w:color="D8DDD3"/>
              <w:bottom w:val="single" w:sz="2" w:color="D8DDD3"/>
              <w:right w:val="single" w:sz="2" w:color="D8DDD3"/>
            </w:tcBorders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A1A1A"/>
                <w:sz w:val="20"/>
              </w:rPr>
              <w:t>Banda solar / banda nocturna</w:t>
            </w:r>
          </w:p>
        </w:tc>
        <w:tc>
          <w:tcPr>
            <w:tcW w:type="dxa" w:w="7483"/>
            <w:vAlign w:val="top"/>
            <w:shd w:val="clear" w:color="auto" w:fill="FFFFFF"/>
            <w:tcBorders>
              <w:top w:val="single" w:sz="2" w:color="D8DDD3"/>
              <w:left w:val="single" w:sz="2" w:color="D8DDD3"/>
              <w:bottom w:val="single" w:sz="2" w:color="D8DDD3"/>
              <w:right w:val="single" w:sz="2" w:color="D8DDD3"/>
            </w:tcBorders>
          </w:tcPr>
          <w:p>
            <w:pPr>
              <w:spacing w:after="40"/>
              <w:jc w:val="both"/>
            </w:pPr>
            <w:r/>
            <w:r>
              <w:rPr>
                <w:rFonts w:ascii="Arial" w:hAnsi="Arial"/>
                <w:color w:val="1A1A1A"/>
                <w:sz w:val="20"/>
              </w:rPr>
              <w:t>Franjas horarias 09:00–17:59 y 19:00–07:59. La primera presenta saturación de generación fotovoltaica y precio cercano a cero; la segunda recompone los precios nodales.</w:t>
            </w:r>
          </w:p>
        </w:tc>
      </w:tr>
      <w:tr>
        <w:tc>
          <w:tcPr>
            <w:tcW w:type="dxa" w:w="2381"/>
            <w:vAlign w:val="top"/>
            <w:shd w:val="clear" w:color="auto" w:fill="F7F7F2"/>
            <w:tcBorders>
              <w:top w:val="single" w:sz="2" w:color="D8DDD3"/>
              <w:left w:val="single" w:sz="2" w:color="D8DDD3"/>
              <w:bottom w:val="single" w:sz="2" w:color="D8DDD3"/>
              <w:right w:val="single" w:sz="2" w:color="D8DDD3"/>
            </w:tcBorders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A1A1A"/>
                <w:sz w:val="20"/>
              </w:rPr>
              <w:t>PPA de compra</w:t>
            </w:r>
          </w:p>
        </w:tc>
        <w:tc>
          <w:tcPr>
            <w:tcW w:type="dxa" w:w="7483"/>
            <w:vAlign w:val="top"/>
            <w:shd w:val="clear" w:color="auto" w:fill="F7F7F2"/>
            <w:tcBorders>
              <w:top w:val="single" w:sz="2" w:color="D8DDD3"/>
              <w:left w:val="single" w:sz="2" w:color="D8DDD3"/>
              <w:bottom w:val="single" w:sz="2" w:color="D8DDD3"/>
              <w:right w:val="single" w:sz="2" w:color="D8DDD3"/>
            </w:tcBorders>
          </w:tcPr>
          <w:p>
            <w:pPr>
              <w:spacing w:after="40"/>
              <w:jc w:val="both"/>
            </w:pPr>
            <w:r/>
            <w:r>
              <w:rPr>
                <w:rFonts w:ascii="Arial" w:hAnsi="Arial"/>
                <w:color w:val="1A1A1A"/>
                <w:sz w:val="20"/>
              </w:rPr>
              <w:t>Power Purchase Agreement de compra: contrato bilateral de adquisición de energía a precio fijo por un plazo determinado. En este caso, oferta vigente a 28 USD/MWh.</w:t>
            </w:r>
          </w:p>
        </w:tc>
      </w:tr>
      <w:tr>
        <w:tc>
          <w:tcPr>
            <w:tcW w:type="dxa" w:w="2381"/>
            <w:vAlign w:val="top"/>
            <w:shd w:val="clear" w:color="auto" w:fill="FFFFFF"/>
            <w:tcBorders>
              <w:top w:val="single" w:sz="2" w:color="D8DDD3"/>
              <w:left w:val="single" w:sz="2" w:color="D8DDD3"/>
              <w:bottom w:val="single" w:sz="2" w:color="D8DDD3"/>
              <w:right w:val="single" w:sz="2" w:color="D8DDD3"/>
            </w:tcBorders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A1A1A"/>
                <w:sz w:val="20"/>
              </w:rPr>
              <w:t>DSCR / LLCR</w:t>
            </w:r>
          </w:p>
        </w:tc>
        <w:tc>
          <w:tcPr>
            <w:tcW w:type="dxa" w:w="7483"/>
            <w:vAlign w:val="top"/>
            <w:shd w:val="clear" w:color="auto" w:fill="FFFFFF"/>
            <w:tcBorders>
              <w:top w:val="single" w:sz="2" w:color="D8DDD3"/>
              <w:left w:val="single" w:sz="2" w:color="D8DDD3"/>
              <w:bottom w:val="single" w:sz="2" w:color="D8DDD3"/>
              <w:right w:val="single" w:sz="2" w:color="D8DDD3"/>
            </w:tcBorders>
          </w:tcPr>
          <w:p>
            <w:pPr>
              <w:spacing w:after="40"/>
              <w:jc w:val="both"/>
            </w:pPr>
            <w:r/>
            <w:r>
              <w:rPr>
                <w:rFonts w:ascii="Arial" w:hAnsi="Arial"/>
                <w:color w:val="1A1A1A"/>
                <w:sz w:val="20"/>
              </w:rPr>
              <w:t>Debt Service Coverage Ratio y Loan Life Coverage Ratio. Métricas estándar de evaluación crediticia de proyectos de energía.</w:t>
            </w:r>
          </w:p>
        </w:tc>
      </w:tr>
      <w:tr>
        <w:tc>
          <w:tcPr>
            <w:tcW w:type="dxa" w:w="2381"/>
            <w:vAlign w:val="top"/>
            <w:shd w:val="clear" w:color="auto" w:fill="F7F7F2"/>
            <w:tcBorders>
              <w:top w:val="single" w:sz="2" w:color="D8DDD3"/>
              <w:left w:val="single" w:sz="2" w:color="D8DDD3"/>
              <w:bottom w:val="single" w:sz="2" w:color="D8DDD3"/>
              <w:right w:val="single" w:sz="2" w:color="D8DDD3"/>
            </w:tcBorders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A1A1A"/>
                <w:sz w:val="20"/>
              </w:rPr>
              <w:t>Coordinador / CNE</w:t>
            </w:r>
          </w:p>
        </w:tc>
        <w:tc>
          <w:tcPr>
            <w:tcW w:type="dxa" w:w="7483"/>
            <w:vAlign w:val="top"/>
            <w:shd w:val="clear" w:color="auto" w:fill="F7F7F2"/>
            <w:tcBorders>
              <w:top w:val="single" w:sz="2" w:color="D8DDD3"/>
              <w:left w:val="single" w:sz="2" w:color="D8DDD3"/>
              <w:bottom w:val="single" w:sz="2" w:color="D8DDD3"/>
              <w:right w:val="single" w:sz="2" w:color="D8DDD3"/>
            </w:tcBorders>
          </w:tcPr>
          <w:p>
            <w:pPr>
              <w:spacing w:after="40"/>
              <w:jc w:val="both"/>
            </w:pPr>
            <w:r/>
            <w:r>
              <w:rPr>
                <w:rFonts w:ascii="Arial" w:hAnsi="Arial"/>
                <w:color w:val="1A1A1A"/>
                <w:sz w:val="20"/>
              </w:rPr>
              <w:t>Coordinador Eléctrico Nacional (operador del sistema) y Comisión Nacional de Energía (autoridad reguladora).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134" w:left="1020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819"/>
      <w:gridCol w:w="2268"/>
      <w:gridCol w:w="2778"/>
    </w:tblGrid>
    <w:tr>
      <w:tc>
        <w:tcPr>
          <w:tcW w:type="dxa" w:w="4819"/>
        </w:tcPr>
        <w:p>
          <w:pPr>
            <w:spacing w:after="0"/>
          </w:pPr>
          <w:r>
            <w:rPr>
              <w:rFonts w:ascii="Arial" w:hAnsi="Arial"/>
              <w:color w:val="9A9A9A"/>
              <w:sz w:val="16"/>
            </w:rPr>
            <w:t>Fuente: Coordinador Eléctrico Nacional · Real Definitivo</w:t>
          </w:r>
        </w:p>
      </w:tc>
      <w:tc>
        <w:tcPr>
          <w:tcW w:type="dxa" w:w="2268"/>
        </w:tcPr>
        <w:p>
          <w:pPr>
            <w:spacing w:after="0"/>
            <w:jc w:val="center"/>
          </w:pPr>
          <w:r>
            <w:rPr>
              <w:rFonts w:ascii="Arial" w:hAnsi="Arial"/>
              <w:b/>
              <w:color w:val="F59E0B"/>
              <w:sz w:val="16"/>
            </w:rPr>
            <w:t>CONFIDENCIAL</w:t>
          </w:r>
        </w:p>
      </w:tc>
      <w:tc>
        <w:tcPr>
          <w:tcW w:type="dxa" w:w="2778"/>
        </w:tcPr>
        <w:p>
          <w:pPr>
            <w:spacing w:after="0"/>
            <w:jc w:val="right"/>
          </w:pPr>
          <w:r>
            <w:rPr>
              <w:rFonts w:ascii="Arial" w:hAnsi="Arial"/>
              <w:color w:val="9A9A9A"/>
              <w:sz w:val="16"/>
            </w:rPr>
            <w:t xml:space="preserve">Página </w:t>
          </w:r>
          <w:r>
            <w:rPr>
              <w:rFonts w:ascii="Arial" w:hAnsi="Arial"/>
              <w:color w:val="9A9A9A"/>
              <w:sz w:val="16"/>
            </w:rPr>
            <w:fldChar w:fldCharType="begin"/>
            <w:instrText xml:space="preserve">PAGE  \* MERGEFORMAT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937"/>
      <w:gridCol w:w="1928"/>
    </w:tblGrid>
    <w:tr>
      <w:tc>
        <w:tcPr>
          <w:tcW w:type="dxa" w:w="7937"/>
        </w:tcPr>
        <w:p>
          <w:pPr>
            <w:spacing w:after="0"/>
          </w:pPr>
          <w:r>
            <w:rPr>
              <w:rFonts w:ascii="Arial" w:hAnsi="Arial"/>
              <w:color w:val="4A4A4A"/>
              <w:sz w:val="17"/>
            </w:rPr>
            <w:t>Proyecto Panimávida 13.2 kV · Análisis crediticio · v3.2</w:t>
          </w:r>
        </w:p>
      </w:tc>
      <w:tc>
        <w:tcPr>
          <w:tcW w:type="dxa" w:w="1928"/>
        </w:tcPr>
        <w:p>
          <w:pPr>
            <w:spacing w:after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20000" cy="470865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ho-full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000" cy="47086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hoCoverEye">
    <w:name w:val="RhoCoverEye"/>
    <w:pPr>
      <w:keepNext w:val="0"/>
      <w:spacing w:after="80"/>
    </w:pPr>
    <w:rPr>
      <w:rFonts w:ascii="Arial" w:hAnsi="Arial"/>
      <w:b/>
      <w:i w:val="0"/>
      <w:color w:val="3C8B3C"/>
      <w:sz w:val="18"/>
    </w:rPr>
  </w:style>
  <w:style w:type="paragraph" w:customStyle="1" w:styleId="RhoCoverTitle">
    <w:name w:val="RhoCoverTitle"/>
    <w:pPr>
      <w:keepNext w:val="0"/>
      <w:spacing w:after="160" w:line="276" w:lineRule="auto"/>
    </w:pPr>
    <w:rPr>
      <w:rFonts w:ascii="Georgia" w:hAnsi="Georgia"/>
      <w:b/>
      <w:i w:val="0"/>
      <w:color w:val="1A4A1A"/>
      <w:sz w:val="52"/>
    </w:rPr>
  </w:style>
  <w:style w:type="paragraph" w:customStyle="1" w:styleId="RhoCoverSub">
    <w:name w:val="RhoCoverSub"/>
    <w:pPr>
      <w:keepNext w:val="0"/>
      <w:spacing w:after="200"/>
    </w:pPr>
    <w:rPr>
      <w:rFonts w:ascii="Georgia" w:hAnsi="Georgia"/>
      <w:b w:val="0"/>
      <w:i/>
      <w:color w:val="4A4A4A"/>
      <w:sz w:val="26"/>
    </w:rPr>
  </w:style>
  <w:style w:type="paragraph" w:customStyle="1" w:styleId="RhoCoverMeta">
    <w:name w:val="RhoCoverMeta"/>
    <w:pPr>
      <w:keepNext w:val="0"/>
      <w:spacing w:after="40"/>
    </w:pPr>
    <w:rPr>
      <w:rFonts w:ascii="Arial" w:hAnsi="Arial"/>
      <w:b w:val="0"/>
      <w:i w:val="0"/>
      <w:color w:val="4A4A4A"/>
      <w:sz w:val="20"/>
    </w:rPr>
  </w:style>
  <w:style w:type="paragraph" w:customStyle="1" w:styleId="RhoCoverConf">
    <w:name w:val="RhoCoverConf"/>
    <w:pPr>
      <w:keepNext w:val="0"/>
      <w:jc w:val="center"/>
    </w:pPr>
    <w:rPr>
      <w:rFonts w:ascii="Arial" w:hAnsi="Arial"/>
      <w:b/>
      <w:i w:val="0"/>
      <w:color w:val="F59E0B"/>
      <w:sz w:val="18"/>
    </w:rPr>
  </w:style>
  <w:style w:type="paragraph" w:customStyle="1" w:styleId="RhoH1">
    <w:name w:val="RhoH1"/>
    <w:pPr>
      <w:keepNext/>
      <w:spacing w:before="280" w:after="160" w:line="276" w:lineRule="auto"/>
    </w:pPr>
    <w:rPr>
      <w:rFonts w:ascii="Georgia" w:hAnsi="Georgia"/>
      <w:b/>
      <w:i w:val="0"/>
      <w:color w:val="1A4A1A"/>
      <w:sz w:val="30"/>
    </w:rPr>
  </w:style>
  <w:style w:type="paragraph" w:customStyle="1" w:styleId="RhoH2">
    <w:name w:val="RhoH2"/>
    <w:pPr>
      <w:keepNext/>
      <w:spacing w:before="200" w:after="80"/>
    </w:pPr>
    <w:rPr>
      <w:rFonts w:ascii="Georgia" w:hAnsi="Georgia"/>
      <w:b/>
      <w:i w:val="0"/>
      <w:color w:val="1A4A1A"/>
      <w:sz w:val="23"/>
    </w:rPr>
  </w:style>
  <w:style w:type="paragraph" w:customStyle="1" w:styleId="RhoBody">
    <w:name w:val="RhoBody"/>
    <w:pPr>
      <w:keepNext w:val="0"/>
      <w:spacing w:after="120" w:line="312" w:lineRule="auto"/>
      <w:jc w:val="both"/>
    </w:pPr>
    <w:rPr>
      <w:rFonts w:ascii="Arial" w:hAnsi="Arial"/>
      <w:b w:val="0"/>
      <w:i w:val="0"/>
      <w:color w:val="1A1A1A"/>
      <w:sz w:val="20"/>
    </w:rPr>
  </w:style>
  <w:style w:type="paragraph" w:customStyle="1" w:styleId="RhoLect">
    <w:name w:val="RhoLect"/>
    <w:pPr>
      <w:keepNext w:val="0"/>
      <w:spacing w:after="200" w:line="300" w:lineRule="auto"/>
    </w:pPr>
    <w:rPr>
      <w:rFonts w:ascii="Arial" w:hAnsi="Arial"/>
      <w:b w:val="0"/>
      <w:i/>
      <w:color w:val="4A4A4A"/>
      <w:sz w:val="18"/>
    </w:rPr>
  </w:style>
  <w:style w:type="paragraph" w:customStyle="1" w:styleId="RhoNote">
    <w:name w:val="RhoNote"/>
    <w:pPr>
      <w:keepNext w:val="0"/>
      <w:spacing w:after="40"/>
    </w:pPr>
    <w:rPr>
      <w:rFonts w:ascii="Arial" w:hAnsi="Arial"/>
      <w:b w:val="0"/>
      <w:i w:val="0"/>
      <w:color w:val="9A9A9A"/>
      <w:sz w:val="16"/>
    </w:rPr>
  </w:style>
  <w:style w:type="paragraph" w:customStyle="1" w:styleId="RhoBullet">
    <w:name w:val="RhoBullet"/>
    <w:pPr>
      <w:keepNext w:val="0"/>
      <w:spacing w:after="60" w:line="288" w:lineRule="auto"/>
      <w:ind w:left="340" w:hanging="340"/>
      <w:jc w:val="both"/>
    </w:pPr>
    <w:rPr>
      <w:rFonts w:ascii="Arial" w:hAnsi="Arial"/>
      <w:b w:val="0"/>
      <w:i w:val="0"/>
      <w:color w:val="1A1A1A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rho-panimavida-banco.vercel.app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