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B2A41"/>
          <w:sz w:val="40"/>
        </w:rPr>
        <w:t>UNIVERSIDAD SAN SEBASTIÁN</w:t>
      </w:r>
    </w:p>
    <w:p>
      <w:pPr>
        <w:jc w:val="center"/>
      </w:pPr>
      <w:r>
        <w:rPr>
          <w:sz w:val="26"/>
        </w:rPr>
        <w:t>Magíster en Data Science</w:t>
      </w:r>
    </w:p>
    <w:p/>
    <w:p/>
    <w:p>
      <w:pPr>
        <w:jc w:val="center"/>
      </w:pPr>
      <w:r>
        <w:rPr>
          <w:b/>
          <w:color w:val="1B2A41"/>
          <w:sz w:val="32"/>
        </w:rPr>
        <w:t>Impacto de las variables macroeconómicas globales y financieras en la valoración bursátil del sector de minería de cobre en Chile</w:t>
      </w:r>
    </w:p>
    <w:p/>
    <w:p/>
    <w:p>
      <w:pPr>
        <w:jc w:val="center"/>
      </w:pPr>
      <w:r>
        <w:rPr>
          <w:sz w:val="22"/>
        </w:rPr>
        <w:t>Econometría financiera aplicada · Series de tiempo y panel</w:t>
        <w:br/>
        <w:t>Período 2004–2026 · Python (statsmodels, arch, linearmodels)</w:t>
      </w:r>
    </w:p>
    <w:p/>
    <w:p/>
    <w:p/>
    <w:p/>
    <w:p/>
    <w:p/>
    <w:p>
      <w:pPr>
        <w:jc w:val="center"/>
      </w:pPr>
      <w:r>
        <w:rPr>
          <w:i/>
        </w:rPr>
        <w:t>Tesis para optar al grado de Magíster</w:t>
      </w:r>
    </w:p>
    <w:p>
      <w:r>
        <w:br w:type="page"/>
      </w:r>
    </w:p>
    <w:p>
      <w:pPr>
        <w:pStyle w:val="Heading1"/>
      </w:pPr>
      <w:r>
        <w:t>Impacto de las variables macroeconómicas globales y financieras en la valoración bursátil del sector de minería de cobre en Chile</w:t>
      </w:r>
    </w:p>
    <w:p>
      <w:r/>
      <w:r>
        <w:rPr>
          <w:b/>
        </w:rPr>
        <w:t>Tesis — Magíster en Data Science · Econometría Financiera aplicada</w:t>
      </w:r>
      <w:r/>
    </w:p>
    <w:p>
      <w:r>
        <w:t>Período de estudio: 2004–2026 (datos diarios) · Software: Python 3.13 (statsmodels, arch, linearmodels)</w:t>
      </w:r>
    </w:p>
    <w:p>
      <w:pPr>
        <w:pStyle w:val="IntenseQuote"/>
      </w:pPr>
      <w:r/>
      <w:r>
        <w:rPr>
          <w:b/>
        </w:rPr>
        <w:t>Estado del documento:</w:t>
      </w:r>
      <w:r>
        <w:t xml:space="preserve"> borrador integrado con resultados empíricos REALES</w:t>
      </w:r>
    </w:p>
    <w:p>
      <w:pPr>
        <w:pStyle w:val="IntenseQuote"/>
      </w:pPr>
      <w:r>
        <w:t>(datos descargados de Yahoo Finance el 2026-05-30). Todo número proviene de los</w:t>
      </w:r>
    </w:p>
    <w:p>
      <w:pPr>
        <w:pStyle w:val="IntenseQuote"/>
      </w:pPr>
      <w:r>
        <w:t>scripts en src/ y las tablas en outputs/tables/. Las citas marcadas</w:t>
      </w:r>
    </w:p>
    <w:p>
      <w:pPr>
        <w:pStyle w:val="IntenseQuote"/>
      </w:pPr>
      <w:r>
        <w:t>[POR VERIFICAR] deben confirmarse en Scopus/WoS/Scholar antes de la entrega:</w:t>
      </w:r>
    </w:p>
    <w:p>
      <w:pPr>
        <w:pStyle w:val="IntenseQuote"/>
      </w:pPr>
      <w:r/>
      <w:r>
        <w:rPr>
          <w:b/>
        </w:rPr>
        <w:t>no se han inventado referencias</w:t>
      </w:r>
      <w:r>
        <w:t>.</w:t>
      </w:r>
    </w:p>
    <w:p>
      <w:pPr>
        <w:pStyle w:val="Heading2"/>
      </w:pPr>
      <w:r>
        <w:t>Resumen (Abstract)</w:t>
      </w:r>
    </w:p>
    <w:p>
      <w:r>
        <w:t>Se cuantifica el impacto de variables macroeconómicas globales y financieras sobre</w:t>
      </w:r>
    </w:p>
    <w:p>
      <w:r>
        <w:t>el precio y el retorno de las acciones de minería de cobre vinculadas a Chile. El</w:t>
      </w:r>
    </w:p>
    <w:p>
      <w:r>
        <w:t>universo se resuelve empíricamente: existen sólo dos pure-plays de cobre</w:t>
      </w:r>
    </w:p>
    <w:p>
      <w:r>
        <w:t>cotizados ligados a Chile —</w:t>
      </w:r>
      <w:r>
        <w:rPr>
          <w:b/>
        </w:rPr>
        <w:t>Antofagasta plc</w:t>
      </w:r>
      <w:r>
        <w:t xml:space="preserve"> (LSE) y </w:t>
      </w:r>
      <w:r>
        <w:rPr>
          <w:b/>
        </w:rPr>
        <w:t>Pucobre</w:t>
      </w:r>
      <w:r>
        <w:t xml:space="preserve"> (Bolsa de</w:t>
      </w:r>
    </w:p>
    <w:p>
      <w:r>
        <w:t>Santiago)— complementados por un panel de minería-materiales (CAP, SQM) y</w:t>
      </w:r>
    </w:p>
    <w:p>
      <w:r>
        <w:t>referencias internacionales (SCCO, FCX, BHP, Glencore). Mediante regresión con</w:t>
      </w:r>
    </w:p>
    <w:p>
      <w:r>
        <w:t>errores HAC, VAR (IRF/FEVD), cointegración de Johansen y VECM, modelos GARCH y</w:t>
      </w:r>
    </w:p>
    <w:p>
      <w:r>
        <w:t>datos de panel, se documenta un hallazgo central: **el precio del cobre transmite</w:t>
      </w:r>
    </w:p>
    <w:p>
      <w:r>
        <w:t>fuertemente a la valoración del pure-play líquido (Antofagasta: β contemporánea</w:t>
      </w:r>
    </w:p>
    <w:p>
      <w:r>
        <w:t>≈ 0.70; el cobre explica ≈ 28% de la varianza de su retorno), pero la transmisión</w:t>
      </w:r>
    </w:p>
    <w:p>
      <w:r>
        <w:t>al pure-play local e ilíquido (Pucobre) es casi nula en el corto plazo</w:t>
      </w:r>
    </w:p>
    <w:p>
      <w:r>
        <w:t>(β ≈ 0.09, R² ≈ 0.04) y sólo se materializa con rezago y en el largo plazo**</w:t>
      </w:r>
    </w:p>
    <w:p>
      <w:r>
        <w:t>(elasticidad de cointegración ≈ 0.75). La iliquidez del small-cap chileno</w:t>
      </w:r>
    </w:p>
    <w:p>
      <w:r/>
      <w:r>
        <w:rPr>
          <w:b/>
        </w:rPr>
        <w:t>retrasa</w:t>
      </w:r>
      <w:r>
        <w:t xml:space="preserve">, pero no </w:t>
      </w:r>
      <w:r>
        <w:rPr>
          <w:b/>
        </w:rPr>
        <w:t>elimina</w:t>
      </w:r>
      <w:r>
        <w:t>, el vínculo fundamental cobre→valoración.</w:t>
      </w:r>
    </w:p>
    <w:p>
      <w:pPr>
        <w:pStyle w:val="Heading2"/>
      </w:pPr>
      <w:r>
        <w:t>1. Introducción</w:t>
      </w:r>
    </w:p>
    <w:p>
      <w:r>
        <w:t>Chile es la mayor economía cuprífera del mundo y el cobre representa una fracción</w:t>
      </w:r>
    </w:p>
    <w:p>
      <w:r>
        <w:t>dominante de sus exportaciones. Resulta natural preguntarse en qué medida el ciclo</w:t>
      </w:r>
    </w:p>
    <w:p>
      <w:r>
        <w:t>global del cobre y las condiciones financieras internacionales se transmiten a la</w:t>
      </w:r>
    </w:p>
    <w:p>
      <w:r/>
      <w:r>
        <w:rPr>
          <w:b/>
        </w:rPr>
        <w:t>valoración bursátil</w:t>
      </w:r>
      <w:r>
        <w:t xml:space="preserve"> de las empresas mineras del país. Esta tesis aborda esa</w:t>
      </w:r>
    </w:p>
    <w:p>
      <w:r>
        <w:t xml:space="preserve">pregunta con un enfoque </w:t>
      </w:r>
      <w:r>
        <w:rPr>
          <w:b/>
        </w:rPr>
        <w:t>explicativo y de medición de impacto</w:t>
      </w:r>
      <w:r>
        <w:t xml:space="preserve"> —no predictivo—:</w:t>
      </w:r>
    </w:p>
    <w:p>
      <w:r>
        <w:t>el objetivo es cuantificar signos, magnitudes, dinámicas y relaciones de equilibrio,</w:t>
      </w:r>
    </w:p>
    <w:p>
      <w:r>
        <w:t>con supuestos validados.</w:t>
      </w:r>
    </w:p>
    <w:p>
      <w:r/>
      <w:r>
        <w:rPr>
          <w:b/>
        </w:rPr>
        <w:t>Pregunta de investigación.</w:t>
      </w:r>
      <w:r>
        <w:t xml:space="preserve"> ¿Cuál es la magnitud, el signo y la dinámica</w:t>
      </w:r>
    </w:p>
    <w:p>
      <w:r>
        <w:t>(corto vs largo plazo) del impacto de las variables macro-financieras globales y</w:t>
      </w:r>
    </w:p>
    <w:p>
      <w:r>
        <w:t>nacionales —en particular el precio del cobre, el tipo de cambio, el dólar global,</w:t>
      </w:r>
    </w:p>
    <w:p>
      <w:r>
        <w:t>las tasas de interés y el riesgo de mercado— sobre el precio y el retorno de las</w:t>
      </w:r>
    </w:p>
    <w:p>
      <w:r>
        <w:t>acciones de minería de cobre vinculadas a Chile?</w:t>
      </w:r>
    </w:p>
    <w:p>
      <w:r/>
      <w:r>
        <w:rPr>
          <w:b/>
        </w:rPr>
        <w:t>Objetivo general.</w:t>
      </w:r>
      <w:r>
        <w:t xml:space="preserve"> Analizar y cuantificar dicho impacto en el período 2004–2026</w:t>
      </w:r>
    </w:p>
    <w:p>
      <w:r>
        <w:t>mediante modelos econométricos de series de tiempo y de panel.</w:t>
      </w:r>
    </w:p>
    <w:p>
      <w:r/>
      <w:r>
        <w:rPr>
          <w:b/>
        </w:rPr>
        <w:t>Objetivos específicos.</w:t>
      </w:r>
      <w:r/>
    </w:p>
    <w:p>
      <w:pPr>
        <w:pStyle w:val="ListNumber"/>
      </w:pPr>
      <w:r>
        <w:t>Resolver operacionalmente el universo de empresas mineras de cobre cotizadas</w:t>
      </w:r>
    </w:p>
    <w:p>
      <w:r>
        <w:t>vinculadas a Chile.</w:t>
      </w:r>
    </w:p>
    <w:p>
      <w:pPr>
        <w:pStyle w:val="ListNumber"/>
      </w:pPr>
      <w:r>
        <w:t>Caracterizar las propiedades estadísticas de precios y retornos (estacionariedad,</w:t>
      </w:r>
    </w:p>
    <w:p>
      <w:r>
        <w:t>colas, volatilidad, quiebres).</w:t>
      </w:r>
    </w:p>
    <w:p>
      <w:pPr>
        <w:pStyle w:val="ListNumber"/>
      </w:pPr>
      <w:r>
        <w:t xml:space="preserve">Estimar el impacto </w:t>
      </w:r>
      <w:r>
        <w:rPr>
          <w:b/>
        </w:rPr>
        <w:t>contemporáneo</w:t>
      </w:r>
      <w:r>
        <w:t xml:space="preserve"> de los factores sobre los retornos</w:t>
      </w:r>
    </w:p>
    <w:p>
      <w:r>
        <w:t xml:space="preserve">(regresión HAC) y su </w:t>
      </w:r>
      <w:r>
        <w:rPr>
          <w:b/>
        </w:rPr>
        <w:t>dinámica</w:t>
      </w:r>
      <w:r>
        <w:t xml:space="preserve"> (VAR, IRF, FEVD, causalidad).</w:t>
      </w:r>
    </w:p>
    <w:p>
      <w:pPr>
        <w:pStyle w:val="ListNumber"/>
      </w:pPr>
      <w:r>
        <w:t xml:space="preserve">Estimar la relación de </w:t>
      </w:r>
      <w:r>
        <w:rPr>
          <w:b/>
        </w:rPr>
        <w:t>largo plazo</w:t>
      </w:r>
      <w:r>
        <w:t xml:space="preserve"> cobre→valoración (cointegración, VECM)</w:t>
      </w:r>
    </w:p>
    <w:p>
      <w:r>
        <w:t>y su robustez (ARDL bounds).</w:t>
      </w:r>
    </w:p>
    <w:p>
      <w:pPr>
        <w:pStyle w:val="ListNumber"/>
      </w:pPr>
      <w:r>
        <w:t xml:space="preserve">Modelar la </w:t>
      </w:r>
      <w:r>
        <w:rPr>
          <w:b/>
        </w:rPr>
        <w:t>volatilidad</w:t>
      </w:r>
      <w:r>
        <w:t xml:space="preserve"> y el efecto apalancamiento (familia GARCH).</w:t>
      </w:r>
    </w:p>
    <w:p>
      <w:pPr>
        <w:pStyle w:val="ListNumber"/>
      </w:pPr>
      <w:r>
        <w:t xml:space="preserve">Contrastar resultados con un </w:t>
      </w:r>
      <w:r>
        <w:rPr>
          <w:b/>
        </w:rPr>
        <w:t>panel</w:t>
      </w:r>
      <w:r>
        <w:t xml:space="preserve"> sectorial y con referencias internacionales.</w:t>
      </w:r>
    </w:p>
    <w:p>
      <w:r/>
      <w:r>
        <w:rPr>
          <w:b/>
        </w:rPr>
        <w:t>Relevancia.</w:t>
      </w:r>
      <w:r>
        <w:t xml:space="preserve"> Más allá del interés académico, cuantificar la sensibilidad de las</w:t>
      </w:r>
    </w:p>
    <w:p>
      <w:r>
        <w:t>mineras chilenas al cobre y a las condiciones financieras tiene implicancias para</w:t>
      </w:r>
    </w:p>
    <w:p>
      <w:r>
        <w:t>la gestión de riesgo, la valoración y la política. El hallazgo sobre iliquidez del</w:t>
      </w:r>
    </w:p>
    <w:p>
      <w:r>
        <w:t>pure-play local aporta evidencia sobre la eficiencia informacional de un</w:t>
      </w:r>
    </w:p>
    <w:p>
      <w:r>
        <w:t>mercado emergente pequeño.</w:t>
      </w:r>
    </w:p>
    <w:p>
      <w:pPr>
        <w:pStyle w:val="Heading2"/>
      </w:pPr>
      <w:r>
        <w:t>2. Marco teórico</w:t>
      </w:r>
    </w:p>
    <w:p>
      <w:r>
        <w:t>La valoración de un activo accionario corresponde al valor presente de sus flujos</w:t>
      </w:r>
    </w:p>
    <w:p>
      <w:r>
        <w:t xml:space="preserve">futuros descontados. Para una minera de cobre, los </w:t>
      </w:r>
      <w:r>
        <w:rPr>
          <w:b/>
        </w:rPr>
        <w:t>flujos</w:t>
      </w:r>
      <w:r>
        <w:t xml:space="preserve"> dependen directamente</w:t>
      </w:r>
    </w:p>
    <w:p>
      <w:r>
        <w:t>del precio del cobre (ingreso) y de los costos (energía, tipo de cambio), mientras</w:t>
      </w:r>
    </w:p>
    <w:p>
      <w:r>
        <w:t xml:space="preserve">que la </w:t>
      </w:r>
      <w:r>
        <w:rPr>
          <w:b/>
        </w:rPr>
        <w:t>tasa de descuento</w:t>
      </w:r>
      <w:r>
        <w:t xml:space="preserve"> depende de las tasas libres de riesgo globales y de</w:t>
      </w:r>
    </w:p>
    <w:p>
      <w:r>
        <w:t>las primas de riesgo. Esto define cinco canales económicos que estructuran la</w:t>
      </w:r>
    </w:p>
    <w:p>
      <w:r>
        <w:t>selección de variables:</w:t>
      </w:r>
    </w:p>
    <w:p>
      <w:pPr>
        <w:pStyle w:val="ListNumber"/>
      </w:pPr>
      <w:r/>
      <w:r>
        <w:rPr>
          <w:b/>
        </w:rPr>
        <w:t>Canal de demanda/ingreso</w:t>
      </w:r>
      <w:r>
        <w:t xml:space="preserve"> — precio del cobre (COMEX/LME) y demanda global</w:t>
      </w:r>
    </w:p>
    <w:p>
      <w:r>
        <w:t>(actividad industrial, China). Un alza del cobre eleva los ingresos esperados.</w:t>
      </w:r>
    </w:p>
    <w:p>
      <w:pPr>
        <w:pStyle w:val="ListNumber"/>
      </w:pPr>
      <w:r/>
      <w:r>
        <w:rPr>
          <w:b/>
        </w:rPr>
        <w:t>Canal de costos</w:t>
      </w:r>
      <w:r>
        <w:t xml:space="preserve"> — energía (WTI) y tipo de cambio (CLP/USD): una depreciación</w:t>
      </w:r>
    </w:p>
    <w:p>
      <w:r>
        <w:t>del peso reduce costos locales medidos en USD y puede elevar el margen.</w:t>
      </w:r>
    </w:p>
    <w:p>
      <w:pPr>
        <w:pStyle w:val="ListNumber"/>
      </w:pPr>
      <w:r/>
      <w:r>
        <w:rPr>
          <w:b/>
        </w:rPr>
        <w:t>Canal de descuento</w:t>
      </w:r>
      <w:r>
        <w:t xml:space="preserve"> — tasas de interés (UST 2Y/10Y), que afectan el factor</w:t>
      </w:r>
    </w:p>
    <w:p>
      <w:r>
        <w:t>de descuento.</w:t>
      </w:r>
    </w:p>
    <w:p>
      <w:pPr>
        <w:pStyle w:val="ListNumber"/>
      </w:pPr>
      <w:r/>
      <w:r>
        <w:rPr>
          <w:b/>
        </w:rPr>
        <w:t>Canal de moneda global</w:t>
      </w:r>
      <w:r>
        <w:t xml:space="preserve"> — índice dólar (DXY): los commodities tienden a</w:t>
      </w:r>
    </w:p>
    <w:p>
      <w:r>
        <w:t>moverse inversamente al dólar.</w:t>
      </w:r>
    </w:p>
    <w:p>
      <w:pPr>
        <w:pStyle w:val="ListNumber"/>
      </w:pPr>
      <w:r/>
      <w:r>
        <w:rPr>
          <w:b/>
        </w:rPr>
        <w:t>Canal de riesgo/sentimiento</w:t>
      </w:r>
      <w:r>
        <w:t xml:space="preserve"> — VIX y mercado (S&amp;P 500, mercado local).</w:t>
      </w:r>
    </w:p>
    <w:p>
      <w:r>
        <w:t xml:space="preserve">El </w:t>
      </w:r>
      <w:r>
        <w:rPr>
          <w:b/>
        </w:rPr>
        <w:t>Arbitrage Pricing Theory (APT)</w:t>
      </w:r>
      <w:r>
        <w:t xml:space="preserve"> (Ross, 1976) y los modelos de factores</w:t>
      </w:r>
    </w:p>
    <w:p>
      <w:r>
        <w:t>macroeconómicos sobre retornos accionarios (Chen, Roll y Ross, 1986) dan sustento a</w:t>
      </w:r>
    </w:p>
    <w:p>
      <w:r>
        <w:t>una especificación multifactorial lineal para los retornos. La distinción entre</w:t>
      </w:r>
    </w:p>
    <w:p>
      <w:r/>
      <w:r>
        <w:rPr>
          <w:b/>
        </w:rPr>
        <w:t>niveles</w:t>
      </w:r>
      <w:r>
        <w:t xml:space="preserve"> (precios I(1)) y </w:t>
      </w:r>
      <w:r>
        <w:rPr>
          <w:b/>
        </w:rPr>
        <w:t>cambios</w:t>
      </w:r>
      <w:r>
        <w:t xml:space="preserve"> (retornos I(0)) motiva separar el análisis</w:t>
      </w:r>
    </w:p>
    <w:p>
      <w:r>
        <w:t>de equilibrio de largo plazo (cointegración) del de impacto de corto plazo.</w:t>
      </w:r>
    </w:p>
    <w:p>
      <w:pPr>
        <w:pStyle w:val="Heading2"/>
      </w:pPr>
      <w:r>
        <w:t>3. Revisión de literatura</w:t>
      </w:r>
    </w:p>
    <w:p>
      <w:pPr>
        <w:pStyle w:val="IntenseQuote"/>
      </w:pPr>
      <w:r>
        <w:t>Las referencias de esta sección fueron verificadas en fuentes primarias (editor /</w:t>
      </w:r>
    </w:p>
    <w:p>
      <w:pPr>
        <w:pStyle w:val="IntenseQuote"/>
      </w:pPr>
      <w:r>
        <w:t>repositorios académicos). Se recomienda una revisión final del formato APA y de la</w:t>
      </w:r>
    </w:p>
    <w:p>
      <w:pPr>
        <w:pStyle w:val="IntenseQuote"/>
      </w:pPr>
      <w:r>
        <w:t>paginación exacta antes de la entrega. Los enlaces se listan en el Capítulo 9.</w:t>
      </w:r>
    </w:p>
    <w:p>
      <w:pPr>
        <w:pStyle w:val="Heading3"/>
      </w:pPr>
      <w:r>
        <w:t>3.1 Factores macroeconómicos y retornos accionarios (APT)</w:t>
      </w:r>
    </w:p>
    <w:p>
      <w:r>
        <w:t>La base teórica que vincula variables macro con retornos accionarios es el</w:t>
      </w:r>
    </w:p>
    <w:p>
      <w:r>
        <w:t>Arbitrage Pricing Theory (Ross, 1976) y su contrastación empírica seminal en</w:t>
      </w:r>
    </w:p>
    <w:p>
      <w:r/>
      <w:r>
        <w:rPr>
          <w:b/>
        </w:rPr>
        <w:t>Chen, Roll y Ross (1986)</w:t>
      </w:r>
      <w:r>
        <w:t>, quienes muestran que innovaciones en la producción</w:t>
      </w:r>
    </w:p>
    <w:p>
      <w:r>
        <w:t>industrial, la inflación (esperada y no esperada), la prima por riesgo (spread de</w:t>
      </w:r>
    </w:p>
    <w:p>
      <w:r>
        <w:t>bonos) y la pendiente de la estructura temporal son **factores de riesgo</w:t>
      </w:r>
    </w:p>
    <w:p>
      <w:r>
        <w:t>sistemáticamente valorados** en el mercado accionario estadounidense. Esta</w:t>
      </w:r>
    </w:p>
    <w:p>
      <w:r>
        <w:t>literatura justifica la especificación multifactorial de los retornos empleada en</w:t>
      </w:r>
    </w:p>
    <w:p>
      <w:r>
        <w:t>el Capítulo 6 (canales de demanda, descuento, riesgo y moneda) y la inclusión de</w:t>
      </w:r>
    </w:p>
    <w:p>
      <w:r>
        <w:t>tasas (UST, TPM), dólar (DXY) y riesgo (VIX) como regresores.</w:t>
      </w:r>
    </w:p>
    <w:p>
      <w:pPr>
        <w:pStyle w:val="Heading3"/>
      </w:pPr>
      <w:r>
        <w:t>3.2 Commodities, "monedas-commodity" y economías cupríferas</w:t>
      </w:r>
    </w:p>
    <w:p>
      <w:r/>
      <w:r>
        <w:rPr>
          <w:b/>
        </w:rPr>
        <w:t>Chen y Rogoff (2003)</w:t>
      </w:r>
      <w:r>
        <w:t xml:space="preserve"> acuñan el concepto de commodity currency: para</w:t>
      </w:r>
    </w:p>
    <w:p>
      <w:r>
        <w:t>economías exportadoras de materias primas, el precio mundial de su canasta</w:t>
      </w:r>
    </w:p>
    <w:p>
      <w:r>
        <w:t>exportadora es un determinante robusto del tipo de cambio real. El caso chileno es</w:t>
      </w:r>
    </w:p>
    <w:p>
      <w:r>
        <w:t>arquetípico —el cobre representa cerca de la mitad de las exportaciones— y existe</w:t>
      </w:r>
    </w:p>
    <w:p>
      <w:r>
        <w:t xml:space="preserve">evidencia específica: el </w:t>
      </w:r>
      <w:r>
        <w:rPr>
          <w:b/>
        </w:rPr>
        <w:t>Working Paper N°640 del Banco Central de Chile</w:t>
      </w:r>
      <w:r/>
    </w:p>
    <w:p>
      <w:r>
        <w:t>(Copper, the Real Exchange Rate and Macroeconomic Fluctuations in Chile) analiza</w:t>
      </w:r>
    </w:p>
    <w:p>
      <w:r>
        <w:t>el rol del cobre y el tipo de cambio real como amortiguadores de shocks, y trabajos</w:t>
      </w:r>
    </w:p>
    <w:p>
      <w:r>
        <w:t>en Resources Policy documentan que **el tipo de cambio chileno tiene poder</w:t>
      </w:r>
    </w:p>
    <w:p>
      <w:r>
        <w:t>predictivo sobre los precios de metales base** (relación cobre↔CLP de doble vía).</w:t>
      </w:r>
    </w:p>
    <w:p>
      <w:r>
        <w:t>Esta literatura fundamenta el canal moneda (USD/CLP, DXY) y motiva tratar el cobre</w:t>
      </w:r>
    </w:p>
    <w:p>
      <w:r>
        <w:t>como variable exógena/forzante frente a las acciones locales (coherente con la</w:t>
      </w:r>
    </w:p>
    <w:p>
      <w:r>
        <w:t>causalidad unidireccional hallada por Toda-Yamamoto en §6.12).</w:t>
      </w:r>
    </w:p>
    <w:p>
      <w:pPr>
        <w:pStyle w:val="Heading3"/>
      </w:pPr>
      <w:r>
        <w:t>3.3 Iliquidez y descubrimiento de precios</w:t>
      </w:r>
    </w:p>
    <w:p>
      <w:r>
        <w:t xml:space="preserve">El hallazgo central de esta tesis dialoga directamente con </w:t>
      </w:r>
      <w:r>
        <w:rPr>
          <w:b/>
        </w:rPr>
        <w:t>Amihud (2002)</w:t>
      </w:r>
      <w:r>
        <w:t>, quien</w:t>
      </w:r>
    </w:p>
    <w:p>
      <w:r>
        <w:t>propone el ratio de iliquidez \(\text{ILLIQ}=|r|/\text{volumen}\$\) y muestra que la</w:t>
      </w:r>
    </w:p>
    <w:p>
      <w:r>
        <w:t>iliquidez (i) está positivamente asociada a los retornos esperados (prima de</w:t>
      </w:r>
    </w:p>
    <w:p>
      <w:r>
        <w:t xml:space="preserve">liquidez) y (ii) </w:t>
      </w:r>
      <w:r>
        <w:rPr>
          <w:b/>
        </w:rPr>
        <w:t>afecta con mayor fuerza a las empresas pequeñas</w:t>
      </w:r>
      <w:r>
        <w:t>. La literatura</w:t>
      </w:r>
    </w:p>
    <w:p>
      <w:r>
        <w:t>de microestructura asocia la baja liquidez con un **descubrimiento de precios</w:t>
      </w:r>
    </w:p>
    <w:p>
      <w:r>
        <w:t>lento**: la información tarda más en incorporarse a los precios. El caso Pucobre</w:t>
      </w:r>
    </w:p>
    <w:p>
      <w:r>
        <w:t>—pure-play con 62% de días sin transacción y transmisión del cobre diferida en el</w:t>
      </w:r>
    </w:p>
    <w:p>
      <w:r>
        <w:t>tiempo (§6.13–6.14)— es una manifestación nítida de este mecanismo en un mercado</w:t>
      </w:r>
    </w:p>
    <w:p>
      <w:r>
        <w:t>emergente pequeño.</w:t>
      </w:r>
    </w:p>
    <w:p>
      <w:pPr>
        <w:pStyle w:val="Heading3"/>
      </w:pPr>
      <w:r>
        <w:t>3.4 Fundamentos econométricos</w:t>
      </w:r>
    </w:p>
    <w:p>
      <w:pPr>
        <w:pStyle w:val="ListBullet"/>
      </w:pPr>
      <w:r/>
      <w:r>
        <w:rPr>
          <w:b/>
        </w:rPr>
        <w:t>Cointegración y corrección de error:</w:t>
      </w:r>
      <w:r>
        <w:t xml:space="preserve"> Engle y Granger (1987) introducen la</w:t>
      </w:r>
    </w:p>
    <w:p>
      <w:r>
        <w:t>cointegración y el ECM; Johansen (1991) generaliza al enfoque de máxima</w:t>
      </w:r>
    </w:p>
    <w:p>
      <w:r>
        <w:t>verosimilitud multivariante (test de la traza y del máximo autovalor) usado aquí.</w:t>
      </w:r>
    </w:p>
    <w:p>
      <w:pPr>
        <w:pStyle w:val="ListBullet"/>
      </w:pPr>
      <w:r/>
      <w:r>
        <w:rPr>
          <w:b/>
        </w:rPr>
        <w:t>Bounds testing y asimetría:</w:t>
      </w:r>
      <w:r>
        <w:t xml:space="preserve"> Pesaran, Shin y Smith (2001) proponen el ARDL</w:t>
      </w:r>
    </w:p>
    <w:p>
      <w:r>
        <w:t>bounds test, válido con regresores I(0)/I(1) sin requerir pre-test de orden;</w:t>
      </w:r>
    </w:p>
    <w:p>
      <w:r>
        <w:t xml:space="preserve">Shin, Yu y Greenberg (2014) lo extienden al </w:t>
      </w:r>
      <w:r>
        <w:rPr>
          <w:b/>
        </w:rPr>
        <w:t>NARDL</w:t>
      </w:r>
      <w:r>
        <w:t xml:space="preserve"> para asimetrías de corto y</w:t>
      </w:r>
    </w:p>
    <w:p>
      <w:r>
        <w:t>largo plazo (sumas parciales positivas/negativas), clave para el cobre.</w:t>
      </w:r>
    </w:p>
    <w:p>
      <w:pPr>
        <w:pStyle w:val="ListBullet"/>
      </w:pPr>
      <w:r/>
      <w:r>
        <w:rPr>
          <w:b/>
        </w:rPr>
        <w:t>Causalidad robusta a integración:</w:t>
      </w:r>
      <w:r>
        <w:t xml:space="preserve"> Toda y Yamamoto (1995) proponen el VAR</w:t>
      </w:r>
    </w:p>
    <w:p>
      <w:r>
        <w:t>aumentado en niveles para inferir causalidad sin sesgo por raíces unitarias.</w:t>
      </w:r>
    </w:p>
    <w:p>
      <w:pPr>
        <w:pStyle w:val="ListBullet"/>
      </w:pPr>
      <w:r/>
      <w:r>
        <w:rPr>
          <w:b/>
        </w:rPr>
        <w:t>Volatilidad condicional:</w:t>
      </w:r>
      <w:r>
        <w:t xml:space="preserve"> Bollerslev (1986) (GARCH), Nelson (1991) (EGARCH) y</w:t>
      </w:r>
    </w:p>
    <w:p>
      <w:r>
        <w:t>Glosten, Jagannathan y Runkle (1993) (GJR-GARCH) modelan persistencia y el</w:t>
      </w:r>
    </w:p>
    <w:p>
      <w:r/>
      <w:r>
        <w:rPr>
          <w:b/>
        </w:rPr>
        <w:t>efecto apalancamiento</w:t>
      </w:r>
      <w:r>
        <w:t xml:space="preserve"> documentado en §6.6.</w:t>
      </w:r>
    </w:p>
    <w:p>
      <w:pPr>
        <w:pStyle w:val="ListBullet"/>
      </w:pPr>
      <w:r/>
      <w:r>
        <w:rPr>
          <w:b/>
        </w:rPr>
        <w:t>Inferencia robusta:</w:t>
      </w:r>
      <w:r>
        <w:t xml:space="preserve"> Newey y West (1987) para errores HAC; pruebas de raíz</w:t>
      </w:r>
    </w:p>
    <w:p>
      <w:r>
        <w:t>unitaria de Dickey-Fuller aumentada, Phillips-Perron, KPSS (Kwiatkowski et al.,</w:t>
      </w:r>
    </w:p>
    <w:p>
      <w:r>
        <w:t>1992) y Zivot-Andrews (1992) para quiebres endógenos.</w:t>
      </w:r>
    </w:p>
    <w:p>
      <w:pPr>
        <w:pStyle w:val="Heading3"/>
      </w:pPr>
      <w:r>
        <w:t>3.5 Vacío que aborda la tesis</w:t>
      </w:r>
    </w:p>
    <w:p>
      <w:r>
        <w:t xml:space="preserve">La literatura chilena se ha concentrado en el canal </w:t>
      </w:r>
      <w:r>
        <w:rPr>
          <w:b/>
        </w:rPr>
        <w:t>cobre→tipo de cambio→macro</w:t>
      </w:r>
      <w:r>
        <w:t>.</w:t>
      </w:r>
    </w:p>
    <w:p>
      <w:r>
        <w:t>Es escasa la evidencia que cuantifique el canal **cobre→valoración bursátil de las</w:t>
      </w:r>
    </w:p>
    <w:p>
      <w:r>
        <w:t>mineras chilenas** distinguiendo horizonte temporal y rol de la liquidez del</w:t>
      </w:r>
    </w:p>
    <w:p>
      <w:r>
        <w:t>activo. Esta tesis aporta en ese punto, integrando APT, cointegración, volatilidad</w:t>
      </w:r>
    </w:p>
    <w:p>
      <w:r>
        <w:t>y microestructura sobre el reducido universo de pure-plays cupríferos.</w:t>
      </w:r>
    </w:p>
    <w:p>
      <w:pPr>
        <w:pStyle w:val="Heading2"/>
      </w:pPr>
      <w:r>
        <w:t>4. Datos</w:t>
      </w:r>
    </w:p>
    <w:p>
      <w:pPr>
        <w:pStyle w:val="Heading3"/>
      </w:pPr>
      <w:r>
        <w:t>4.1 Universo de empresas (resuelto empíricamente)</w:t>
      </w:r>
    </w:p>
    <w:p>
      <w:r>
        <w:t>El universo de mineras de cobre cotizadas vinculadas a Chile es muy reducido. Se</w:t>
      </w:r>
    </w:p>
    <w:p>
      <w:r>
        <w:t>verificó la disponibilidad real de cada candidato (src/verificar_universo.py).</w:t>
      </w:r>
    </w:p>
    <w:p>
      <w:r>
        <w:t>Resultado en tres anillos: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Anillo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Mercado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Moneda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Obs</w:t>
            </w:r>
          </w:p>
        </w:tc>
      </w:tr>
      <w:tr>
        <w:tc>
          <w:tcPr>
            <w:tcW w:type="dxa" w:w="1440"/>
          </w:tcPr>
          <w:p>
            <w:r>
              <w:t>A (núcleo cobre)</w:t>
            </w:r>
          </w:p>
        </w:tc>
        <w:tc>
          <w:tcPr>
            <w:tcW w:type="dxa" w:w="1440"/>
          </w:tcPr>
          <w:p>
            <w:r>
              <w:t>ANTO.L</w:t>
            </w:r>
          </w:p>
        </w:tc>
        <w:tc>
          <w:tcPr>
            <w:tcW w:type="dxa" w:w="1440"/>
          </w:tcPr>
          <w:p>
            <w:r>
              <w:t>Antofagasta plc</w:t>
            </w:r>
          </w:p>
        </w:tc>
        <w:tc>
          <w:tcPr>
            <w:tcW w:type="dxa" w:w="1440"/>
          </w:tcPr>
          <w:p>
            <w:r>
              <w:t>LSE (cross-listed)</w:t>
            </w:r>
          </w:p>
        </w:tc>
        <w:tc>
          <w:tcPr>
            <w:tcW w:type="dxa" w:w="1440"/>
          </w:tcPr>
          <w:p>
            <w:r>
              <w:t>GBp</w:t>
            </w:r>
          </w:p>
        </w:tc>
        <w:tc>
          <w:tcPr>
            <w:tcW w:type="dxa" w:w="1440"/>
          </w:tcPr>
          <w:p>
            <w:r>
              <w:t>6.720</w:t>
            </w:r>
          </w:p>
        </w:tc>
      </w:tr>
      <w:tr>
        <w:tc>
          <w:tcPr>
            <w:tcW w:type="dxa" w:w="1440"/>
          </w:tcPr>
          <w:p>
            <w:r>
              <w:t>A (núcleo cobre)</w:t>
            </w:r>
          </w:p>
        </w:tc>
        <w:tc>
          <w:tcPr>
            <w:tcW w:type="dxa" w:w="1440"/>
          </w:tcPr>
          <w:p>
            <w:r>
              <w:t>PUCOBRE.SN</w:t>
            </w:r>
          </w:p>
        </w:tc>
        <w:tc>
          <w:tcPr>
            <w:tcW w:type="dxa" w:w="1440"/>
          </w:tcPr>
          <w:p>
            <w:r>
              <w:t>Pucobre (Punta del Cobre)</w:t>
            </w:r>
          </w:p>
        </w:tc>
        <w:tc>
          <w:tcPr>
            <w:tcW w:type="dxa" w:w="1440"/>
          </w:tcPr>
          <w:p>
            <w:r>
              <w:t>Bolsa Santiago</w:t>
            </w:r>
          </w:p>
        </w:tc>
        <w:tc>
          <w:tcPr>
            <w:tcW w:type="dxa" w:w="1440"/>
          </w:tcPr>
          <w:p>
            <w:r>
              <w:t>CLP</w:t>
            </w:r>
          </w:p>
        </w:tc>
        <w:tc>
          <w:tcPr>
            <w:tcW w:type="dxa" w:w="1440"/>
          </w:tcPr>
          <w:p>
            <w:r>
              <w:t>6.673</w:t>
            </w:r>
          </w:p>
        </w:tc>
      </w:tr>
      <w:tr>
        <w:tc>
          <w:tcPr>
            <w:tcW w:type="dxa" w:w="1440"/>
          </w:tcPr>
          <w:p>
            <w:r>
              <w:t>B (materiales)</w:t>
            </w:r>
          </w:p>
        </w:tc>
        <w:tc>
          <w:tcPr>
            <w:tcW w:type="dxa" w:w="1440"/>
          </w:tcPr>
          <w:p>
            <w:r>
              <w:t>CAP.SN</w:t>
            </w:r>
          </w:p>
        </w:tc>
        <w:tc>
          <w:tcPr>
            <w:tcW w:type="dxa" w:w="1440"/>
          </w:tcPr>
          <w:p>
            <w:r>
              <w:t>CAP S.A.</w:t>
            </w:r>
          </w:p>
        </w:tc>
        <w:tc>
          <w:tcPr>
            <w:tcW w:type="dxa" w:w="1440"/>
          </w:tcPr>
          <w:p>
            <w:r>
              <w:t>Santiago</w:t>
            </w:r>
          </w:p>
        </w:tc>
        <w:tc>
          <w:tcPr>
            <w:tcW w:type="dxa" w:w="1440"/>
          </w:tcPr>
          <w:p>
            <w:r>
              <w:t>CLP</w:t>
            </w:r>
          </w:p>
        </w:tc>
        <w:tc>
          <w:tcPr>
            <w:tcW w:type="dxa" w:w="1440"/>
          </w:tcPr>
          <w:p>
            <w:r>
              <w:t>6.673</w:t>
            </w:r>
          </w:p>
        </w:tc>
      </w:tr>
      <w:tr>
        <w:tc>
          <w:tcPr>
            <w:tcW w:type="dxa" w:w="1440"/>
          </w:tcPr>
          <w:p>
            <w:r>
              <w:t>B (materiales)</w:t>
            </w:r>
          </w:p>
        </w:tc>
        <w:tc>
          <w:tcPr>
            <w:tcW w:type="dxa" w:w="1440"/>
          </w:tcPr>
          <w:p>
            <w:r>
              <w:t>SQM-B.SN</w:t>
            </w:r>
          </w:p>
        </w:tc>
        <w:tc>
          <w:tcPr>
            <w:tcW w:type="dxa" w:w="1440"/>
          </w:tcPr>
          <w:p>
            <w:r>
              <w:t>SQM</w:t>
            </w:r>
          </w:p>
        </w:tc>
        <w:tc>
          <w:tcPr>
            <w:tcW w:type="dxa" w:w="1440"/>
          </w:tcPr>
          <w:p>
            <w:r>
              <w:t>Santiago</w:t>
            </w:r>
          </w:p>
        </w:tc>
        <w:tc>
          <w:tcPr>
            <w:tcW w:type="dxa" w:w="1440"/>
          </w:tcPr>
          <w:p>
            <w:r>
              <w:t>CLP</w:t>
            </w:r>
          </w:p>
        </w:tc>
        <w:tc>
          <w:tcPr>
            <w:tcW w:type="dxa" w:w="1440"/>
          </w:tcPr>
          <w:p>
            <w:r>
              <w:t>6.673</w:t>
            </w:r>
          </w:p>
        </w:tc>
      </w:tr>
      <w:tr>
        <w:tc>
          <w:tcPr>
            <w:tcW w:type="dxa" w:w="1440"/>
          </w:tcPr>
          <w:p>
            <w:r>
              <w:t>C (ref. int'l)</w:t>
            </w:r>
          </w:p>
        </w:tc>
        <w:tc>
          <w:tcPr>
            <w:tcW w:type="dxa" w:w="1440"/>
          </w:tcPr>
          <w:p>
            <w:r>
              <w:t>SCCO,FCX,BHP,GLEN.L</w:t>
            </w:r>
          </w:p>
        </w:tc>
        <w:tc>
          <w:tcPr>
            <w:tcW w:type="dxa" w:w="1440"/>
          </w:tcPr>
          <w:p>
            <w:r>
              <w:t>Southern, Freeport, BHP, Glencore</w:t>
            </w:r>
          </w:p>
        </w:tc>
        <w:tc>
          <w:tcPr>
            <w:tcW w:type="dxa" w:w="1440"/>
          </w:tcPr>
          <w:p>
            <w:r>
              <w:t>NYSE/LSE</w:t>
            </w:r>
          </w:p>
        </w:tc>
        <w:tc>
          <w:tcPr>
            <w:tcW w:type="dxa" w:w="1440"/>
          </w:tcPr>
          <w:p>
            <w:r>
              <w:t>USD/GBp</w:t>
            </w:r>
          </w:p>
        </w:tc>
        <w:tc>
          <w:tcPr>
            <w:tcW w:type="dxa" w:w="1440"/>
          </w:tcPr>
          <w:p>
            <w:r>
              <w:t>3.793–6.641</w:t>
            </w:r>
          </w:p>
        </w:tc>
      </w:tr>
    </w:tbl>
    <w:p/>
    <w:p>
      <w:r/>
      <w:r>
        <w:rPr>
          <w:b/>
        </w:rPr>
        <w:t>Codelco</w:t>
      </w:r>
      <w:r>
        <w:t xml:space="preserve"> se excluye del análisis accionario (estatal, no cotiza en renta</w:t>
      </w:r>
    </w:p>
    <w:p>
      <w:r>
        <w:t>variable). Hallazgo relevante: *Pucobre es el único pure-play* de cobre listado</w:t>
      </w:r>
    </w:p>
    <w:p>
      <w:r>
        <w:t>directamente en la Bolsa de Santiago y en pesos**, lo que habilita el contraste con</w:t>
      </w:r>
    </w:p>
    <w:p>
      <w:r>
        <w:t>Antofagasta (cross-listed, GBp, alta liquidez).</w:t>
      </w:r>
    </w:p>
    <w:p>
      <w:pPr>
        <w:pStyle w:val="Heading3"/>
      </w:pPr>
      <w:r>
        <w:t>4.2 Variables (factores)</w:t>
      </w:r>
    </w:p>
    <w:p>
      <w:r>
        <w:t>Factores de mercado descargados (Yahoo Finance, diarios): precio del cobre</w:t>
      </w:r>
    </w:p>
    <w:p>
      <w:r>
        <w:t>(HG=F, futuro COMEX), USD/CLP (CLP=X), índice dólar DXY (DX-Y.NYB), VIX,</w:t>
      </w:r>
    </w:p>
    <w:p>
      <w:r>
        <w:t>S&amp;P 500, rendimientos UST 13s/5A/10A (^IRX/^FVX/^TNX), WTI (CL=F) y un proxy</w:t>
      </w:r>
    </w:p>
    <w:p>
      <w:r>
        <w:t>del mercado chileno. Ver diccionario completo en docs/diccionario_datos.md.</w:t>
      </w:r>
    </w:p>
    <w:p>
      <w:pPr>
        <w:pStyle w:val="Heading3"/>
      </w:pPr>
      <w:r>
        <w:t>4.3 Limitaciones de datos (declaradas)</w:t>
      </w:r>
    </w:p>
    <w:p>
      <w:pPr>
        <w:pStyle w:val="ListBullet"/>
      </w:pPr>
      <w:r/>
      <w:r>
        <w:rPr>
          <w:b/>
        </w:rPr>
        <w:t>^IPSA (Yahoo) es inconsistente</w:t>
      </w:r>
      <w:r>
        <w:t>: el feed entrega datos sólo hasta ~2019 de</w:t>
      </w:r>
    </w:p>
    <w:p>
      <w:r>
        <w:t xml:space="preserve">forma reproducible. Se sustituyó el factor de mercado local por </w:t>
      </w:r>
      <w:r>
        <w:rPr>
          <w:b/>
        </w:rPr>
        <w:t>ECH</w:t>
      </w:r>
      <w:r>
        <w:t xml:space="preserve"> (ETF</w:t>
      </w:r>
    </w:p>
    <w:p>
      <w:r>
        <w:t>iShares MSCI Chile, NYSE, USD), con cobertura limpia 2007–2026. Costo: ECH</w:t>
      </w:r>
    </w:p>
    <w:p>
      <w:r>
        <w:t>está en USD e incorpora el componente cambiario, parcialmente solapado con</w:t>
      </w:r>
    </w:p>
    <w:p>
      <w:r>
        <w:t>USD/CLP (se monitorea vía VIF; máx ≈ 3.5, sin colinealidad severa).</w:t>
      </w:r>
    </w:p>
    <w:p>
      <w:pPr>
        <w:pStyle w:val="ListBullet"/>
      </w:pPr>
      <w:r/>
      <w:r>
        <w:rPr>
          <w:b/>
        </w:rPr>
        <w:t>FRED inaccesible</w:t>
      </w:r>
      <w:r>
        <w:t xml:space="preserve"> desde el entorno de ejecución (timeouts). El precio global</w:t>
      </w:r>
    </w:p>
    <w:p>
      <w:r>
        <w:t>mensual del cobre y la pendiente de curva quedaron pendientes; el cobre se cubre</w:t>
      </w:r>
    </w:p>
    <w:p>
      <w:r>
        <w:t>con el futuro COMEX diario y las tasas con los índices de Yahoo.</w:t>
      </w:r>
    </w:p>
    <w:p>
      <w:pPr>
        <w:pStyle w:val="ListBullet"/>
      </w:pPr>
      <w:r/>
      <w:r>
        <w:rPr>
          <w:b/>
        </w:rPr>
        <w:t>Macro nacional chilena</w:t>
      </w:r>
      <w:r>
        <w:t xml:space="preserve">: incorporada </w:t>
      </w:r>
      <w:r>
        <w:rPr>
          <w:b/>
        </w:rPr>
        <w:t>sin credenciales</w:t>
      </w:r>
      <w:r>
        <w:t xml:space="preserve"> vía la API pública</w:t>
      </w:r>
    </w:p>
    <w:p>
      <w:r>
        <w:t xml:space="preserve">mindicador.cl (src/ingesta_macro_cl.py): </w:t>
      </w:r>
      <w:r>
        <w:rPr>
          <w:b/>
        </w:rPr>
        <w:t>TPM</w:t>
      </w:r>
      <w:r>
        <w:t xml:space="preserve"> (diaria, 5.560 obs), </w:t>
      </w:r>
      <w:r>
        <w:rPr>
          <w:b/>
        </w:rPr>
        <w:t>IMACEC</w:t>
      </w:r>
      <w:r/>
    </w:p>
    <w:p>
      <w:r>
        <w:t xml:space="preserve">e </w:t>
      </w:r>
      <w:r>
        <w:rPr>
          <w:b/>
        </w:rPr>
        <w:t>IPC</w:t>
      </w:r>
      <w:r>
        <w:t xml:space="preserve"> (mensuales) y dólar observado. El </w:t>
      </w:r>
      <w:r>
        <w:rPr>
          <w:b/>
        </w:rPr>
        <w:t>EMBI Chile</w:t>
      </w:r>
      <w:r>
        <w:t xml:space="preserve"> y series específicas</w:t>
      </w:r>
    </w:p>
    <w:p>
      <w:r>
        <w:t>del Banco Central (BCU/BTU) siguen requiriendo credenciales BCCH_USER/PASS</w:t>
      </w:r>
    </w:p>
    <w:p>
      <w:r>
        <w:t>(pipeline listo en src/ingesta.py).</w:t>
      </w:r>
    </w:p>
    <w:p>
      <w:pPr>
        <w:pStyle w:val="ListBullet"/>
      </w:pPr>
      <w:r/>
      <w:r>
        <w:rPr>
          <w:b/>
        </w:rPr>
        <w:t>Calendarios heterogéneos</w:t>
      </w:r>
      <w:r>
        <w:t xml:space="preserve"> (LSE/Santiago/NYSE) reducen la muestra efectiva por</w:t>
      </w:r>
    </w:p>
    <w:p>
      <w:r>
        <w:t>intersección en las regresiones multifactor (n ≈ 4.475 para el período común).</w:t>
      </w:r>
    </w:p>
    <w:p>
      <w:pPr>
        <w:pStyle w:val="Heading3"/>
      </w:pPr>
      <w:r>
        <w:t>4.4 Transformaciones</w:t>
      </w:r>
    </w:p>
    <w:p>
      <w:r>
        <w:t>Log-precios ln(P_t) (niveles, I(1) esperado); log-retornos 100·Δln(P_t) (I(0));</w:t>
      </w:r>
    </w:p>
    <w:p>
      <w:r>
        <w:t>variaciones log de factores de precio; primeras diferencias de tasas. Pipeline en</w:t>
      </w:r>
    </w:p>
    <w:p>
      <w:r>
        <w:t>src/preparacion.py.</w:t>
      </w:r>
    </w:p>
    <w:p>
      <w:pPr>
        <w:pStyle w:val="Heading2"/>
      </w:pPr>
      <w:r>
        <w:t>5. Metodología</w:t>
      </w:r>
    </w:p>
    <w:p>
      <w:r>
        <w:t>El diseño nace de las propiedades de los datos. El árbol de decisión aplicado:</w:t>
      </w:r>
    </w:p>
    <w:p>
      <w:pPr>
        <w:pStyle w:val="ListNumber"/>
      </w:pPr>
      <w:r/>
      <w:r>
        <w:rPr>
          <w:b/>
        </w:rPr>
        <w:t>Orden de integración</w:t>
      </w:r>
      <w:r>
        <w:t xml:space="preserve"> (ADF, PP, KPSS, decisión cruzada) → log-precios I(1),</w:t>
      </w:r>
    </w:p>
    <w:p>
      <w:r>
        <w:t>retornos I(0). Mezcla I(0)/I(1) sin I(2).</w:t>
      </w:r>
    </w:p>
    <w:p>
      <w:pPr>
        <w:pStyle w:val="ListNumber"/>
      </w:pPr>
      <w:r/>
      <w:r>
        <w:rPr>
          <w:b/>
        </w:rPr>
        <w:t>Impacto contemporáneo de corto plazo</w:t>
      </w:r>
      <w:r>
        <w:t xml:space="preserve"> → regresión OLS con errores **HAC</w:t>
      </w:r>
    </w:p>
    <w:p>
      <w:r>
        <w:t>(Newey-West)**, con batería de diagnósticos (Breusch-Godfrey, Breusch-Pagan,</w:t>
      </w:r>
    </w:p>
    <w:p>
      <w:r>
        <w:t>White, ARCH-LM, VIF, Jarque-Bera, Ljung-Box).</w:t>
      </w:r>
    </w:p>
    <w:p>
      <w:pPr>
        <w:pStyle w:val="ListNumber"/>
      </w:pPr>
      <w:r/>
      <w:r>
        <w:rPr>
          <w:b/>
        </w:rPr>
        <w:t>Dinámica conjunta</w:t>
      </w:r>
      <w:r>
        <w:t xml:space="preserve"> → </w:t>
      </w:r>
      <w:r>
        <w:rPr>
          <w:b/>
        </w:rPr>
        <w:t>VAR</w:t>
      </w:r>
      <w:r>
        <w:t xml:space="preserve"> en retornos; funciones impulso-respuesta (IRF),</w:t>
      </w:r>
    </w:p>
    <w:p>
      <w:r>
        <w:t>descomposición de varianza (FEVD) y causalidad de Granger.</w:t>
      </w:r>
    </w:p>
    <w:p>
      <w:pPr>
        <w:pStyle w:val="ListNumber"/>
      </w:pPr>
      <w:r/>
      <w:r>
        <w:rPr>
          <w:b/>
        </w:rPr>
        <w:t>Largo plazo</w:t>
      </w:r>
      <w:r>
        <w:t xml:space="preserve"> → </w:t>
      </w:r>
      <w:r>
        <w:rPr>
          <w:b/>
        </w:rPr>
        <w:t>cointegración de Johansen</w:t>
      </w:r>
      <w:r>
        <w:t xml:space="preserve"> (rango) y </w:t>
      </w:r>
      <w:r>
        <w:rPr>
          <w:b/>
        </w:rPr>
        <w:t>VECM</w:t>
      </w:r>
      <w:r>
        <w:t xml:space="preserve"> (vector de</w:t>
      </w:r>
    </w:p>
    <w:p>
      <w:r>
        <w:t xml:space="preserve">cointegración + velocidad de ajuste). Robustez con </w:t>
      </w:r>
      <w:r>
        <w:rPr>
          <w:b/>
        </w:rPr>
        <w:t>ARDL bounds</w:t>
      </w:r>
      <w:r>
        <w:t xml:space="preserve"> (PSS, 2001).</w:t>
      </w:r>
    </w:p>
    <w:p>
      <w:pPr>
        <w:pStyle w:val="ListNumber"/>
      </w:pPr>
      <w:r/>
      <w:r>
        <w:rPr>
          <w:b/>
        </w:rPr>
        <w:t>Volatilidad</w:t>
      </w:r>
      <w:r>
        <w:t xml:space="preserve"> → familia </w:t>
      </w:r>
      <w:r>
        <w:rPr>
          <w:b/>
        </w:rPr>
        <w:t>GARCH</w:t>
      </w:r>
      <w:r>
        <w:t xml:space="preserve"> (GARCH, EGARCH, GJR) con distribución</w:t>
      </w:r>
    </w:p>
    <w:p>
      <w:r>
        <w:t>t-Student; persistencia y efecto apalancamiento.</w:t>
      </w:r>
    </w:p>
    <w:p>
      <w:pPr>
        <w:pStyle w:val="ListNumber"/>
      </w:pPr>
      <w:r/>
      <w:r>
        <w:rPr>
          <w:b/>
        </w:rPr>
        <w:t>Panel</w:t>
      </w:r>
      <w:r>
        <w:t xml:space="preserve"> (anillos A+B) → Pooled/FE/RE con test de Hausman; errores agrupados</w:t>
      </w:r>
    </w:p>
    <w:p>
      <w:r>
        <w:t>por empresa. Se advierte sobre N pequeño (=4) y la inviabilidad de GMM dinámico.</w:t>
      </w:r>
    </w:p>
    <w:p>
      <w:pPr>
        <w:pStyle w:val="ListNumber"/>
      </w:pPr>
      <w:r/>
      <w:r>
        <w:rPr>
          <w:b/>
        </w:rPr>
        <w:t>Robustez</w:t>
      </w:r>
      <w:r>
        <w:t xml:space="preserve"> → quiebres (Zivot-Andrews) y estabilidad por submuestras</w:t>
      </w:r>
    </w:p>
    <w:p>
      <w:r>
        <w:t>(crisis 2008, supraciclo, 2015-19, COVID+).</w:t>
      </w:r>
    </w:p>
    <w:p>
      <w:r/>
      <w:r>
        <w:rPr>
          <w:b/>
        </w:rPr>
        <w:t>Hipótesis principales.</w:t>
      </w:r>
      <w:r>
        <w:t xml:space="preserve"> H1: el cobre tiene impacto positivo y significativo</w:t>
      </w:r>
    </w:p>
    <w:p>
      <w:r>
        <w:t>sobre los retornos mineros. H2: la sensibilidad al cobre es heterogénea y depende</w:t>
      </w:r>
    </w:p>
    <w:p>
      <w:r>
        <w:t>de la liquidez del activo. H3: existe una relación de largo plazo (cointegración)</w:t>
      </w:r>
    </w:p>
    <w:p>
      <w:r>
        <w:t>entre el precio de la acción y el cobre/moneda. H4: la volatilidad presenta</w:t>
      </w:r>
    </w:p>
    <w:p>
      <w:r>
        <w:t>persistencia alta y efecto apalancamiento.</w:t>
      </w:r>
    </w:p>
    <w:p>
      <w:pPr>
        <w:pStyle w:val="Heading2"/>
      </w:pPr>
      <w:r>
        <w:t>6. Resultados</w:t>
      </w:r>
    </w:p>
    <w:p>
      <w:pPr>
        <w:pStyle w:val="Heading3"/>
      </w:pPr>
      <w:r>
        <w:t>6.1 Estadística descriptiva (outputs/tables/descriptivos_retornos.csv)</w:t>
      </w:r>
    </w:p>
    <w:p>
      <w:r>
        <w:t>Log-retornos diarios (%), 2004–2026: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Activo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asimetría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curtosis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Jarque-Bera</w:t>
            </w:r>
          </w:p>
        </w:tc>
      </w:tr>
      <w:tr>
        <w:tc>
          <w:tcPr>
            <w:tcW w:type="dxa" w:w="1440"/>
          </w:tcPr>
          <w:p>
            <w:r>
              <w:t>ANTO.L</w:t>
            </w:r>
          </w:p>
        </w:tc>
        <w:tc>
          <w:tcPr>
            <w:tcW w:type="dxa" w:w="1440"/>
          </w:tcPr>
          <w:p>
            <w:r>
              <w:t>0.051</w:t>
            </w:r>
          </w:p>
        </w:tc>
        <w:tc>
          <w:tcPr>
            <w:tcW w:type="dxa" w:w="1440"/>
          </w:tcPr>
          <w:p>
            <w:r>
              <w:t>2.65</w:t>
            </w:r>
          </w:p>
        </w:tc>
        <w:tc>
          <w:tcPr>
            <w:tcW w:type="dxa" w:w="1440"/>
          </w:tcPr>
          <w:p>
            <w:r>
              <w:t>0.09</w:t>
            </w:r>
          </w:p>
        </w:tc>
        <w:tc>
          <w:tcPr>
            <w:tcW w:type="dxa" w:w="1440"/>
          </w:tcPr>
          <w:p>
            <w:r>
              <w:t>4.15</w:t>
            </w:r>
          </w:p>
        </w:tc>
        <w:tc>
          <w:tcPr>
            <w:tcW w:type="dxa" w:w="1440"/>
          </w:tcPr>
          <w:p>
            <w:r>
              <w:t>rechaza normalidad</w:t>
            </w:r>
          </w:p>
        </w:tc>
      </w:tr>
      <w:tr>
        <w:tc>
          <w:tcPr>
            <w:tcW w:type="dxa" w:w="1440"/>
          </w:tcPr>
          <w:p>
            <w:r>
              <w:t>PUCOBRE.SN</w:t>
            </w:r>
          </w:p>
        </w:tc>
        <w:tc>
          <w:tcPr>
            <w:tcW w:type="dxa" w:w="1440"/>
          </w:tcPr>
          <w:p>
            <w:r>
              <w:t>0.053</w:t>
            </w:r>
          </w:p>
        </w:tc>
        <w:tc>
          <w:tcPr>
            <w:tcW w:type="dxa" w:w="1440"/>
          </w:tcPr>
          <w:p>
            <w:r>
              <w:t>1.44</w:t>
            </w:r>
          </w:p>
        </w:tc>
        <w:tc>
          <w:tcPr>
            <w:tcW w:type="dxa" w:w="1440"/>
          </w:tcPr>
          <w:p>
            <w:r>
              <w:t>1.50</w:t>
            </w:r>
          </w:p>
        </w:tc>
        <w:tc>
          <w:tcPr>
            <w:tcW w:type="dxa" w:w="1440"/>
          </w:tcPr>
          <w:p>
            <w:r>
              <w:t>35.5</w:t>
            </w:r>
          </w:p>
        </w:tc>
        <w:tc>
          <w:tcPr>
            <w:tcW w:type="dxa" w:w="1440"/>
          </w:tcPr>
          <w:p>
            <w:r>
              <w:t>rechaza normalidad</w:t>
            </w:r>
          </w:p>
        </w:tc>
      </w:tr>
      <w:tr>
        <w:tc>
          <w:tcPr>
            <w:tcW w:type="dxa" w:w="1440"/>
          </w:tcPr>
          <w:p>
            <w:r>
              <w:t>CAP.SN</w:t>
            </w:r>
          </w:p>
        </w:tc>
        <w:tc>
          <w:tcPr>
            <w:tcW w:type="dxa" w:w="1440"/>
          </w:tcPr>
          <w:p>
            <w:r>
              <w:t>0.044</w:t>
            </w:r>
          </w:p>
        </w:tc>
        <w:tc>
          <w:tcPr>
            <w:tcW w:type="dxa" w:w="1440"/>
          </w:tcPr>
          <w:p>
            <w:r>
              <w:t>2.47</w:t>
            </w:r>
          </w:p>
        </w:tc>
        <w:tc>
          <w:tcPr>
            <w:tcW w:type="dxa" w:w="1440"/>
          </w:tcPr>
          <w:p>
            <w:r>
              <w:t>−0.13</w:t>
            </w:r>
          </w:p>
        </w:tc>
        <w:tc>
          <w:tcPr>
            <w:tcW w:type="dxa" w:w="1440"/>
          </w:tcPr>
          <w:p>
            <w:r>
              <w:t>10.7</w:t>
            </w:r>
          </w:p>
        </w:tc>
        <w:tc>
          <w:tcPr>
            <w:tcW w:type="dxa" w:w="1440"/>
          </w:tcPr>
          <w:p>
            <w:r>
              <w:t>rechaza normalidad</w:t>
            </w:r>
          </w:p>
        </w:tc>
      </w:tr>
      <w:tr>
        <w:tc>
          <w:tcPr>
            <w:tcW w:type="dxa" w:w="1440"/>
          </w:tcPr>
          <w:p>
            <w:r>
              <w:t>SQM-B.SN</w:t>
            </w:r>
          </w:p>
        </w:tc>
        <w:tc>
          <w:tcPr>
            <w:tcW w:type="dxa" w:w="1440"/>
          </w:tcPr>
          <w:p>
            <w:r>
              <w:t>0.067</w:t>
            </w:r>
          </w:p>
        </w:tc>
        <w:tc>
          <w:tcPr>
            <w:tcW w:type="dxa" w:w="1440"/>
          </w:tcPr>
          <w:p>
            <w:r>
              <w:t>2.32</w:t>
            </w:r>
          </w:p>
        </w:tc>
        <w:tc>
          <w:tcPr>
            <w:tcW w:type="dxa" w:w="1440"/>
          </w:tcPr>
          <w:p>
            <w:r>
              <w:t>−0.19</w:t>
            </w:r>
          </w:p>
        </w:tc>
        <w:tc>
          <w:tcPr>
            <w:tcW w:type="dxa" w:w="1440"/>
          </w:tcPr>
          <w:p>
            <w:r>
              <w:t>6.67</w:t>
            </w:r>
          </w:p>
        </w:tc>
        <w:tc>
          <w:tcPr>
            <w:tcW w:type="dxa" w:w="1440"/>
          </w:tcPr>
          <w:p>
            <w:r>
              <w:t>rechaza normalidad</w:t>
            </w:r>
          </w:p>
        </w:tc>
      </w:tr>
    </w:tbl>
    <w:p/>
    <w:p>
      <w:r>
        <w:t xml:space="preserve">Todas las series exhiben </w:t>
      </w:r>
      <w:r>
        <w:rPr>
          <w:b/>
        </w:rPr>
        <w:t>exceso de curtosis</w:t>
      </w:r>
      <w:r>
        <w:t xml:space="preserve"> (colas pesadas) y no-normalidad</w:t>
      </w:r>
    </w:p>
    <w:p>
      <w:r>
        <w:t>(Jarque-Bera, p&lt;0.001). Pucobre destaca por curtosis extrema (35.5) y asimetría</w:t>
      </w:r>
    </w:p>
    <w:p>
      <w:r>
        <w:t xml:space="preserve">positiva (1.5), señal de </w:t>
      </w:r>
      <w:r>
        <w:rPr>
          <w:b/>
        </w:rPr>
        <w:t>thin trading</w:t>
      </w:r>
      <w:r>
        <w:t>/iliquidez (saltos esporádicos sobre días</w:t>
      </w:r>
    </w:p>
    <w:p>
      <w:r>
        <w:t>de baja transacción).</w:t>
      </w:r>
    </w:p>
    <w:p>
      <w:pPr>
        <w:pStyle w:val="Heading3"/>
      </w:pPr>
      <w:r>
        <w:t>6.2 Estacionariedad y cointegración</w:t>
      </w:r>
    </w:p>
    <w:p>
      <w:pPr>
        <w:pStyle w:val="ListBullet"/>
      </w:pPr>
      <w:r/>
      <w:r>
        <w:rPr>
          <w:b/>
        </w:rPr>
        <w:t>ADF/PP/KPSS</w:t>
      </w:r>
      <w:r>
        <w:t xml:space="preserve"> (decisión cruzada, estacionariedad.csv): log-precios </w:t>
      </w:r>
      <w:r>
        <w:rPr>
          <w:b/>
        </w:rPr>
        <w:t>I(1)</w:t>
      </w:r>
      <w:r>
        <w:t>,</w:t>
      </w:r>
    </w:p>
    <w:p>
      <w:r>
        <w:t xml:space="preserve">retornos y diferencias </w:t>
      </w:r>
      <w:r>
        <w:rPr>
          <w:b/>
        </w:rPr>
        <w:t>I(0)</w:t>
      </w:r>
      <w:r>
        <w:t xml:space="preserve">. Confirmado por </w:t>
      </w:r>
      <w:r>
        <w:rPr>
          <w:b/>
        </w:rPr>
        <w:t>Zivot-Andrews</w:t>
      </w:r>
      <w:r>
        <w:t xml:space="preserve"> (no se rechaza</w:t>
      </w:r>
    </w:p>
    <w:p>
      <w:r>
        <w:t>raíz unitaria ni con quiebre endógeno: ANTO p≈0.62, PUCOBRE p≈0.99).</w:t>
      </w:r>
    </w:p>
    <w:p>
      <w:pPr>
        <w:pStyle w:val="ListBullet"/>
      </w:pPr>
      <w:r/>
      <w:r>
        <w:rPr>
          <w:b/>
        </w:rPr>
        <w:t>Engle-Granger bivariado</w:t>
      </w:r>
      <w:r>
        <w:t xml:space="preserve"> (activo~cobre): cointegración débil/ausente (sólo el</w:t>
      </w:r>
    </w:p>
    <w:p>
      <w:r>
        <w:t>cobre no basta).</w:t>
      </w:r>
    </w:p>
    <w:p>
      <w:pPr>
        <w:pStyle w:val="ListBullet"/>
      </w:pPr>
      <w:r/>
      <w:r>
        <w:rPr>
          <w:b/>
        </w:rPr>
        <w:t>Johansen multivariante</w:t>
      </w:r>
      <w:r>
        <w:t xml:space="preserve"> [log-precio, cobre, USDCLP, DXY]: </w:t>
      </w:r>
      <w:r>
        <w:rPr>
          <w:b/>
        </w:rPr>
        <w:t>rango r = 1</w:t>
      </w:r>
      <w:r/>
    </w:p>
    <w:p>
      <w:r>
        <w:t xml:space="preserve">para ANTO y PUCOBRE → existe </w:t>
      </w:r>
      <w:r>
        <w:rPr>
          <w:b/>
        </w:rPr>
        <w:t>una</w:t>
      </w:r>
      <w:r>
        <w:t xml:space="preserve"> relación de equilibrio de largo plazo.</w:t>
      </w:r>
    </w:p>
    <w:p>
      <w:pPr>
        <w:pStyle w:val="Heading3"/>
      </w:pPr>
      <w:r>
        <w:t>6.3 Impacto contemporáneo (regresión HAC) — hac_coeficientes.csv</w:t>
      </w:r>
    </w:p>
    <w:p>
      <w:r/>
      <w:r>
        <w:rPr>
          <w:b/>
        </w:rPr>
        <w:t>Beta-cobre</w:t>
      </w:r>
      <w:r>
        <w:t xml:space="preserve"> (efecto de +1% en el cobre sobre el retorno diario, %):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β-cobre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R²</w:t>
            </w:r>
          </w:p>
        </w:tc>
      </w:tr>
      <w:tr>
        <w:tc>
          <w:tcPr>
            <w:tcW w:type="dxa" w:w="2160"/>
          </w:tcPr>
          <w:p>
            <w:r>
              <w:t>ANTO.L</w:t>
            </w:r>
          </w:p>
        </w:tc>
        <w:tc>
          <w:tcPr>
            <w:tcW w:type="dxa" w:w="2160"/>
          </w:tcPr>
          <w:p>
            <w:r>
              <w:t>0.701</w:t>
            </w:r>
          </w:p>
        </w:tc>
        <w:tc>
          <w:tcPr>
            <w:tcW w:type="dxa" w:w="2160"/>
          </w:tcPr>
          <w:p>
            <w:r>
              <w:t>15.4</w:t>
            </w:r>
          </w:p>
        </w:tc>
        <w:tc>
          <w:tcPr>
            <w:tcW w:type="dxa" w:w="2160"/>
          </w:tcPr>
          <w:p>
            <w:r>
              <w:t>0.42</w:t>
            </w:r>
          </w:p>
        </w:tc>
      </w:tr>
      <w:tr>
        <w:tc>
          <w:tcPr>
            <w:tcW w:type="dxa" w:w="2160"/>
          </w:tcPr>
          <w:p>
            <w:r>
              <w:t>PUCOBRE.SN</w:t>
            </w:r>
          </w:p>
        </w:tc>
        <w:tc>
          <w:tcPr>
            <w:tcW w:type="dxa" w:w="2160"/>
          </w:tcPr>
          <w:p>
            <w:r>
              <w:t>0.085</w:t>
            </w:r>
          </w:p>
        </w:tc>
        <w:tc>
          <w:tcPr>
            <w:tcW w:type="dxa" w:w="2160"/>
          </w:tcPr>
          <w:p>
            <w:r>
              <w:t>4.4</w:t>
            </w:r>
          </w:p>
        </w:tc>
        <w:tc>
          <w:tcPr>
            <w:tcW w:type="dxa" w:w="2160"/>
          </w:tcPr>
          <w:p>
            <w:r>
              <w:t>0.04</w:t>
            </w:r>
          </w:p>
        </w:tc>
      </w:tr>
      <w:tr>
        <w:tc>
          <w:tcPr>
            <w:tcW w:type="dxa" w:w="2160"/>
          </w:tcPr>
          <w:p>
            <w:r>
              <w:t>CAP.SN</w:t>
            </w:r>
          </w:p>
        </w:tc>
        <w:tc>
          <w:tcPr>
            <w:tcW w:type="dxa" w:w="2160"/>
          </w:tcPr>
          <w:p>
            <w:r>
              <w:t>0.151</w:t>
            </w:r>
          </w:p>
        </w:tc>
        <w:tc>
          <w:tcPr>
            <w:tcW w:type="dxa" w:w="2160"/>
          </w:tcPr>
          <w:p>
            <w:r>
              <w:t>5.7</w:t>
            </w:r>
          </w:p>
        </w:tc>
        <w:tc>
          <w:tcPr>
            <w:tcW w:type="dxa" w:w="2160"/>
          </w:tcPr>
          <w:p>
            <w:r>
              <w:t>0.25</w:t>
            </w:r>
          </w:p>
        </w:tc>
      </w:tr>
      <w:tr>
        <w:tc>
          <w:tcPr>
            <w:tcW w:type="dxa" w:w="2160"/>
          </w:tcPr>
          <w:p>
            <w:r>
              <w:t>SQM-B.SN</w:t>
            </w:r>
          </w:p>
        </w:tc>
        <w:tc>
          <w:tcPr>
            <w:tcW w:type="dxa" w:w="2160"/>
          </w:tcPr>
          <w:p>
            <w:r>
              <w:t>0.109</w:t>
            </w:r>
          </w:p>
        </w:tc>
        <w:tc>
          <w:tcPr>
            <w:tcW w:type="dxa" w:w="2160"/>
          </w:tcPr>
          <w:p>
            <w:r>
              <w:t>4.2</w:t>
            </w:r>
          </w:p>
        </w:tc>
        <w:tc>
          <w:tcPr>
            <w:tcW w:type="dxa" w:w="2160"/>
          </w:tcPr>
          <w:p>
            <w:r>
              <w:t>0.25</w:t>
            </w:r>
          </w:p>
        </w:tc>
      </w:tr>
      <w:tr>
        <w:tc>
          <w:tcPr>
            <w:tcW w:type="dxa" w:w="2160"/>
          </w:tcPr>
          <w:p>
            <w:r>
              <w:t>SCCO</w:t>
            </w:r>
          </w:p>
        </w:tc>
        <w:tc>
          <w:tcPr>
            <w:tcW w:type="dxa" w:w="2160"/>
          </w:tcPr>
          <w:p>
            <w:r>
              <w:t>0.487</w:t>
            </w:r>
          </w:p>
        </w:tc>
        <w:tc>
          <w:tcPr>
            <w:tcW w:type="dxa" w:w="2160"/>
          </w:tcPr>
          <w:p>
            <w:r>
              <w:t>9.6</w:t>
            </w:r>
          </w:p>
        </w:tc>
        <w:tc>
          <w:tcPr>
            <w:tcW w:type="dxa" w:w="2160"/>
          </w:tcPr>
          <w:p>
            <w:r>
              <w:t>0.58</w:t>
            </w:r>
          </w:p>
        </w:tc>
      </w:tr>
      <w:tr>
        <w:tc>
          <w:tcPr>
            <w:tcW w:type="dxa" w:w="2160"/>
          </w:tcPr>
          <w:p>
            <w:r>
              <w:t>FCX</w:t>
            </w:r>
          </w:p>
        </w:tc>
        <w:tc>
          <w:tcPr>
            <w:tcW w:type="dxa" w:w="2160"/>
          </w:tcPr>
          <w:p>
            <w:r>
              <w:t>0.627</w:t>
            </w:r>
          </w:p>
        </w:tc>
        <w:tc>
          <w:tcPr>
            <w:tcW w:type="dxa" w:w="2160"/>
          </w:tcPr>
          <w:p>
            <w:r>
              <w:t>10.3</w:t>
            </w:r>
          </w:p>
        </w:tc>
        <w:tc>
          <w:tcPr>
            <w:tcW w:type="dxa" w:w="2160"/>
          </w:tcPr>
          <w:p>
            <w:r>
              <w:t>0.53</w:t>
            </w:r>
          </w:p>
        </w:tc>
      </w:tr>
      <w:tr>
        <w:tc>
          <w:tcPr>
            <w:tcW w:type="dxa" w:w="2160"/>
          </w:tcPr>
          <w:p>
            <w:r>
              <w:t>BHP</w:t>
            </w:r>
          </w:p>
        </w:tc>
        <w:tc>
          <w:tcPr>
            <w:tcW w:type="dxa" w:w="2160"/>
          </w:tcPr>
          <w:p>
            <w:r>
              <w:t>0.316</w:t>
            </w:r>
          </w:p>
        </w:tc>
        <w:tc>
          <w:tcPr>
            <w:tcW w:type="dxa" w:w="2160"/>
          </w:tcPr>
          <w:p>
            <w:r>
              <w:t>10.7</w:t>
            </w:r>
          </w:p>
        </w:tc>
        <w:tc>
          <w:tcPr>
            <w:tcW w:type="dxa" w:w="2160"/>
          </w:tcPr>
          <w:p>
            <w:r>
              <w:t>0.60</w:t>
            </w:r>
          </w:p>
        </w:tc>
      </w:tr>
      <w:tr>
        <w:tc>
          <w:tcPr>
            <w:tcW w:type="dxa" w:w="2160"/>
          </w:tcPr>
          <w:p>
            <w:r>
              <w:t>GLEN.L</w:t>
            </w:r>
          </w:p>
        </w:tc>
        <w:tc>
          <w:tcPr>
            <w:tcW w:type="dxa" w:w="2160"/>
          </w:tcPr>
          <w:p>
            <w:r>
              <w:t>0.582</w:t>
            </w:r>
          </w:p>
        </w:tc>
        <w:tc>
          <w:tcPr>
            <w:tcW w:type="dxa" w:w="2160"/>
          </w:tcPr>
          <w:p>
            <w:r>
              <w:t>9.8</w:t>
            </w:r>
          </w:p>
        </w:tc>
        <w:tc>
          <w:tcPr>
            <w:tcW w:type="dxa" w:w="2160"/>
          </w:tcPr>
          <w:p>
            <w:r>
              <w:t>0.29</w:t>
            </w:r>
          </w:p>
        </w:tc>
      </w:tr>
    </w:tbl>
    <w:p/>
    <w:p>
      <w:r>
        <w:t>Para Antofagasta, además del cobre, son significativos el DXY (≈ −0.35; dólar</w:t>
      </w:r>
    </w:p>
    <w:p>
      <w:r>
        <w:t>arriba → acción abajo), el mercado (S&amp;P y proxy local) y el cambio en la tasa</w:t>
      </w:r>
    </w:p>
    <w:p>
      <w:r>
        <w:t xml:space="preserve">UST10Y. Para Pucobre, </w:t>
      </w:r>
      <w:r>
        <w:rPr>
          <w:b/>
        </w:rPr>
        <w:t>sólo el mercado local y (débilmente) el cobre</w:t>
      </w:r>
      <w:r>
        <w:t xml:space="preserve"> son</w:t>
      </w:r>
    </w:p>
    <w:p>
      <w:r>
        <w:t>significativos, con un R² de apenas 0.04: el retorno de Pucobre es mayoritariamente</w:t>
      </w:r>
    </w:p>
    <w:p>
      <w:r/>
      <w:r>
        <w:rPr>
          <w:b/>
        </w:rPr>
        <w:t>idiosincrásico/ilíquido</w:t>
      </w:r>
      <w:r>
        <w:t xml:space="preserve"> en el día a día. </w:t>
      </w:r>
      <w:r>
        <w:rPr>
          <w:b/>
        </w:rPr>
        <w:t>Diagnósticos</w:t>
      </w:r>
      <w:r>
        <w:t xml:space="preserve"> (hac_diagnosticos.csv):</w:t>
      </w:r>
    </w:p>
    <w:p>
      <w:r>
        <w:t>efectos ARCH significativos en todos los activos (justifica GARCH); autocorrelación</w:t>
      </w:r>
    </w:p>
    <w:p>
      <w:r>
        <w:t>(justifica HAC); no-normalidad de residuos. VIF máx ≈ 3.5 (sin colinealidad severa).</w:t>
      </w:r>
    </w:p>
    <w:p>
      <w:r>
        <w:t xml:space="preserve">→ </w:t>
      </w:r>
      <w:r>
        <w:rPr>
          <w:b/>
        </w:rPr>
        <w:t>H1 se sostiene</w:t>
      </w:r>
      <w:r>
        <w:t xml:space="preserve"> (cobre positivo y significativo en todos). **H2 se sostiene</w:t>
      </w:r>
    </w:p>
    <w:p>
      <w:r>
        <w:t>con fuerza*: la sensibilidad depende de la liquidez (0.70 en el pure-play*</w:t>
      </w:r>
    </w:p>
    <w:p>
      <w:r>
        <w:t>líquido vs 0.085 en el local ilíquido).</w:t>
      </w:r>
    </w:p>
    <w:p>
      <w:pPr>
        <w:pStyle w:val="Heading3"/>
      </w:pPr>
      <w:r>
        <w:t>6.4 Dinámica (VAR, IRF, FEVD, Granger) — var_resumen.csv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Activo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FEVD cobre (1d)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FEVD cobre (20d)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IRF acum. 5d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Granger cobre→activo</w:t>
            </w:r>
          </w:p>
        </w:tc>
      </w:tr>
      <w:tr>
        <w:tc>
          <w:tcPr>
            <w:tcW w:type="dxa" w:w="1728"/>
          </w:tcPr>
          <w:p>
            <w:r>
              <w:t>ANTO.L</w:t>
            </w:r>
          </w:p>
        </w:tc>
        <w:tc>
          <w:tcPr>
            <w:tcW w:type="dxa" w:w="1728"/>
          </w:tcPr>
          <w:p>
            <w:r>
              <w:t>28.7%</w:t>
            </w:r>
          </w:p>
        </w:tc>
        <w:tc>
          <w:tcPr>
            <w:tcW w:type="dxa" w:w="1728"/>
          </w:tcPr>
          <w:p>
            <w:r>
              <w:t>27.8%</w:t>
            </w:r>
          </w:p>
        </w:tc>
        <w:tc>
          <w:tcPr>
            <w:tcW w:type="dxa" w:w="1728"/>
          </w:tcPr>
          <w:p>
            <w:r>
              <w:t>0.091</w:t>
            </w:r>
          </w:p>
        </w:tc>
        <w:tc>
          <w:tcPr>
            <w:tcW w:type="dxa" w:w="1728"/>
          </w:tcPr>
          <w:p>
            <w:r>
              <w:t>p=0.008 (sí)</w:t>
            </w:r>
          </w:p>
        </w:tc>
      </w:tr>
      <w:tr>
        <w:tc>
          <w:tcPr>
            <w:tcW w:type="dxa" w:w="1728"/>
          </w:tcPr>
          <w:p>
            <w:r>
              <w:t>PUCOBRE.SN</w:t>
            </w:r>
          </w:p>
        </w:tc>
        <w:tc>
          <w:tcPr>
            <w:tcW w:type="dxa" w:w="1728"/>
          </w:tcPr>
          <w:p>
            <w:r>
              <w:t>2.0%</w:t>
            </w:r>
          </w:p>
        </w:tc>
        <w:tc>
          <w:tcPr>
            <w:tcW w:type="dxa" w:w="1728"/>
          </w:tcPr>
          <w:p>
            <w:r>
              <w:t>4.3%</w:t>
            </w:r>
          </w:p>
        </w:tc>
        <w:tc>
          <w:tcPr>
            <w:tcW w:type="dxa" w:w="1728"/>
          </w:tcPr>
          <w:p>
            <w:r>
              <w:t>0.196</w:t>
            </w:r>
          </w:p>
        </w:tc>
        <w:tc>
          <w:tcPr>
            <w:tcW w:type="dxa" w:w="1728"/>
          </w:tcPr>
          <w:p>
            <w:r>
              <w:t>p&lt;0.001 (sí)</w:t>
            </w:r>
          </w:p>
        </w:tc>
      </w:tr>
    </w:tbl>
    <w:p/>
    <w:p>
      <w:r>
        <w:t>Clave: en Pucobre la respuesta **acumulada a 5 días (0.196) es ~4× la del primer</w:t>
      </w:r>
    </w:p>
    <w:p>
      <w:r>
        <w:t>día (0.043)**, y la FEVD del cobre crece de 2% a 4.3% entre 1 y 20 días. Es decir,</w:t>
      </w:r>
    </w:p>
    <w:p>
      <w:r>
        <w:t xml:space="preserve">el cobre </w:t>
      </w:r>
      <w:r>
        <w:rPr>
          <w:b/>
        </w:rPr>
        <w:t>sí causa</w:t>
      </w:r>
      <w:r>
        <w:t xml:space="preserve"> los retornos de Pucobre (Granger p&lt;0.001), pero el efecto se</w:t>
      </w:r>
    </w:p>
    <w:p>
      <w:r/>
      <w:r>
        <w:rPr>
          <w:b/>
        </w:rPr>
        <w:t>difiere</w:t>
      </w:r>
      <w:r>
        <w:t xml:space="preserve"> en el tiempo en lugar de impactar contemporáneamente — consistente con</w:t>
      </w:r>
    </w:p>
    <w:p>
      <w:r>
        <w:t>descubrimiento de precios lento por iliquidez.</w:t>
      </w:r>
    </w:p>
    <w:p>
      <w:pPr>
        <w:pStyle w:val="Heading3"/>
      </w:pPr>
      <w:r>
        <w:t>6.5 Largo plazo (VECM) — vecm_resumen.csv</w:t>
      </w:r>
    </w:p>
    <w:p>
      <w:r>
        <w:t>Vector de cointegración (r=1), elasticidades del log-precio: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Activo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elast. cobre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elast. USDCLP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elast. DXY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velocidad ajuste α</w:t>
            </w:r>
          </w:p>
        </w:tc>
      </w:tr>
      <w:tr>
        <w:tc>
          <w:tcPr>
            <w:tcW w:type="dxa" w:w="1728"/>
          </w:tcPr>
          <w:p>
            <w:r>
              <w:t>ANTO.L</w:t>
            </w:r>
          </w:p>
        </w:tc>
        <w:tc>
          <w:tcPr>
            <w:tcW w:type="dxa" w:w="1728"/>
          </w:tcPr>
          <w:p>
            <w:r>
              <w:t>0.860</w:t>
            </w:r>
          </w:p>
        </w:tc>
        <w:tc>
          <w:tcPr>
            <w:tcW w:type="dxa" w:w="1728"/>
          </w:tcPr>
          <w:p>
            <w:r>
              <w:t>6.63</w:t>
            </w:r>
          </w:p>
        </w:tc>
        <w:tc>
          <w:tcPr>
            <w:tcW w:type="dxa" w:w="1728"/>
          </w:tcPr>
          <w:p>
            <w:r>
              <w:t>−11.80</w:t>
            </w:r>
          </w:p>
        </w:tc>
        <w:tc>
          <w:tcPr>
            <w:tcW w:type="dxa" w:w="1728"/>
          </w:tcPr>
          <w:p>
            <w:r>
              <w:t>−0.0008</w:t>
            </w:r>
          </w:p>
        </w:tc>
      </w:tr>
      <w:tr>
        <w:tc>
          <w:tcPr>
            <w:tcW w:type="dxa" w:w="1728"/>
          </w:tcPr>
          <w:p>
            <w:r>
              <w:t>PUCOBRE.SN</w:t>
            </w:r>
          </w:p>
        </w:tc>
        <w:tc>
          <w:tcPr>
            <w:tcW w:type="dxa" w:w="1728"/>
          </w:tcPr>
          <w:p>
            <w:r>
              <w:t>0.753</w:t>
            </w:r>
          </w:p>
        </w:tc>
        <w:tc>
          <w:tcPr>
            <w:tcW w:type="dxa" w:w="1728"/>
          </w:tcPr>
          <w:p>
            <w:r>
              <w:t>4.82</w:t>
            </w:r>
          </w:p>
        </w:tc>
        <w:tc>
          <w:tcPr>
            <w:tcW w:type="dxa" w:w="1728"/>
          </w:tcPr>
          <w:p>
            <w:r>
              <w:t>−7.96</w:t>
            </w:r>
          </w:p>
        </w:tc>
        <w:tc>
          <w:tcPr>
            <w:tcW w:type="dxa" w:w="1728"/>
          </w:tcPr>
          <w:p>
            <w:r>
              <w:t>−0.0004</w:t>
            </w:r>
          </w:p>
        </w:tc>
      </w:tr>
    </w:tbl>
    <w:p/>
    <w:p>
      <w:r>
        <w:t xml:space="preserve">En el </w:t>
      </w:r>
      <w:r>
        <w:rPr>
          <w:b/>
        </w:rPr>
        <w:t>largo plazo</w:t>
      </w:r>
      <w:r>
        <w:t>, una subida de 1% en el cobre se asocia a ~0.75–0.86% más en</w:t>
      </w:r>
    </w:p>
    <w:p>
      <w:r>
        <w:t xml:space="preserve">el precio de la acción — y </w:t>
      </w:r>
      <w:r>
        <w:rPr>
          <w:b/>
        </w:rPr>
        <w:t>Pucobre (0.75) es comparable a Antofagasta (0.86)</w:t>
      </w:r>
      <w:r>
        <w:t>,</w:t>
      </w:r>
    </w:p>
    <w:p>
      <w:r>
        <w:t>en marcado contraste con su nula reacción contemporánea. La velocidad de ajuste α</w:t>
      </w:r>
    </w:p>
    <w:p>
      <w:r>
        <w:t xml:space="preserve">es negativa (corrige desequilibrios) pero muy pequeña → </w:t>
      </w:r>
      <w:r>
        <w:rPr>
          <w:b/>
        </w:rPr>
        <w:t>ajuste lento</w:t>
      </w:r>
      <w:r>
        <w:t>. Cautela:</w:t>
      </w:r>
    </w:p>
    <w:p>
      <w:r>
        <w:t>los coeficientes grandes de USDCLP/DXY reflejan colinealidad entre ambas medidas</w:t>
      </w:r>
    </w:p>
    <w:p>
      <w:r>
        <w:t>del dólar; se interpretan con reserva.</w:t>
      </w:r>
    </w:p>
    <w:p>
      <w:r>
        <w:t xml:space="preserve">→ </w:t>
      </w:r>
      <w:r>
        <w:rPr>
          <w:b/>
        </w:rPr>
        <w:t>H3 se sostiene</w:t>
      </w:r>
      <w:r>
        <w:t xml:space="preserve"> (existe equilibrio de largo plazo cobre→valoración),</w:t>
      </w:r>
    </w:p>
    <w:p>
      <w:r>
        <w:t>con la matización del punto 6.7.</w:t>
      </w:r>
    </w:p>
    <w:p>
      <w:pPr>
        <w:pStyle w:val="Heading3"/>
      </w:pPr>
      <w:r>
        <w:t>6.6 Volatilidad (GARCH) — garch_resumen.csv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mejor modelo (AIC)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persistencia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efecto apalancamiento</w:t>
            </w:r>
          </w:p>
        </w:tc>
      </w:tr>
      <w:tr>
        <w:tc>
          <w:tcPr>
            <w:tcW w:type="dxa" w:w="2160"/>
          </w:tcPr>
          <w:p>
            <w:r>
              <w:t>ANTO.L</w:t>
            </w:r>
          </w:p>
        </w:tc>
        <w:tc>
          <w:tcPr>
            <w:tcW w:type="dxa" w:w="2160"/>
          </w:tcPr>
          <w:p>
            <w:r>
              <w:t>GJR-GARCH(1,1)</w:t>
            </w:r>
          </w:p>
        </w:tc>
        <w:tc>
          <w:tcPr>
            <w:tcW w:type="dxa" w:w="2160"/>
          </w:tcPr>
          <w:p>
            <w:r>
              <w:t>0.991</w:t>
            </w:r>
          </w:p>
        </w:tc>
        <w:tc>
          <w:tcPr>
            <w:tcW w:type="dxa" w:w="2160"/>
          </w:tcPr>
          <w:p>
            <w:r>
              <w:t>sí (γ&gt;0)</w:t>
            </w:r>
          </w:p>
        </w:tc>
      </w:tr>
      <w:tr>
        <w:tc>
          <w:tcPr>
            <w:tcW w:type="dxa" w:w="2160"/>
          </w:tcPr>
          <w:p>
            <w:r>
              <w:t>CAP.SN</w:t>
            </w:r>
          </w:p>
        </w:tc>
        <w:tc>
          <w:tcPr>
            <w:tcW w:type="dxa" w:w="2160"/>
          </w:tcPr>
          <w:p>
            <w:r>
              <w:t>GJR-GARCH(1,1)</w:t>
            </w:r>
          </w:p>
        </w:tc>
        <w:tc>
          <w:tcPr>
            <w:tcW w:type="dxa" w:w="2160"/>
          </w:tcPr>
          <w:p>
            <w:r>
              <w:t>0.995</w:t>
            </w:r>
          </w:p>
        </w:tc>
        <w:tc>
          <w:tcPr>
            <w:tcW w:type="dxa" w:w="2160"/>
          </w:tcPr>
          <w:p>
            <w:r>
              <w:t>sí (γ&gt;0)</w:t>
            </w:r>
          </w:p>
        </w:tc>
      </w:tr>
      <w:tr>
        <w:tc>
          <w:tcPr>
            <w:tcW w:type="dxa" w:w="2160"/>
          </w:tcPr>
          <w:p>
            <w:r>
              <w:t>SQM-B.SN</w:t>
            </w:r>
          </w:p>
        </w:tc>
        <w:tc>
          <w:tcPr>
            <w:tcW w:type="dxa" w:w="2160"/>
          </w:tcPr>
          <w:p>
            <w:r>
              <w:t>EGARCH(1,1)</w:t>
            </w:r>
          </w:p>
        </w:tc>
        <w:tc>
          <w:tcPr>
            <w:tcW w:type="dxa" w:w="2160"/>
          </w:tcPr>
          <w:p>
            <w:r>
              <w:t>0.999</w:t>
            </w:r>
          </w:p>
        </w:tc>
        <w:tc>
          <w:tcPr>
            <w:tcW w:type="dxa" w:w="2160"/>
          </w:tcPr>
          <w:p>
            <w:r>
              <w:t>sí (γ&lt;0 en EGARCH)</w:t>
            </w:r>
          </w:p>
        </w:tc>
      </w:tr>
      <w:tr>
        <w:tc>
          <w:tcPr>
            <w:tcW w:type="dxa" w:w="2160"/>
          </w:tcPr>
          <w:p>
            <w:r>
              <w:t>PUCOBRE.SN</w:t>
            </w:r>
          </w:p>
        </w:tc>
        <w:tc>
          <w:tcPr>
            <w:tcW w:type="dxa" w:w="2160"/>
          </w:tcPr>
          <w:p>
            <w:r>
              <w:t>inestable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no confiable</w:t>
            </w:r>
          </w:p>
        </w:tc>
      </w:tr>
    </w:tbl>
    <w:p/>
    <w:p>
      <w:r>
        <w:t xml:space="preserve">Persistencia de la volatilidad muy alta (≈0.99) y </w:t>
      </w:r>
      <w:r>
        <w:rPr>
          <w:b/>
        </w:rPr>
        <w:t>efecto apalancamiento</w:t>
      </w:r>
      <w:r/>
    </w:p>
    <w:p>
      <w:r>
        <w:t xml:space="preserve">confirmado (las caídas elevan más la volatilidad futura). </w:t>
      </w:r>
      <w:r>
        <w:rPr>
          <w:b/>
        </w:rPr>
        <w:t>Excepción honesta:</w:t>
      </w:r>
      <w:r/>
    </w:p>
    <w:p>
      <w:r>
        <w:t xml:space="preserve">en Pucobre los modelos GARCH son </w:t>
      </w:r>
      <w:r>
        <w:rPr>
          <w:b/>
        </w:rPr>
        <w:t>inestables</w:t>
      </w:r>
      <w:r>
        <w:t xml:space="preserve"> (soluciones de borde) debido a la</w:t>
      </w:r>
    </w:p>
    <w:p>
      <w:r>
        <w:t>iliquidez y los saltos extremos (curtosis 35.5); se recomienda filtrar días de</w:t>
      </w:r>
    </w:p>
    <w:p>
      <w:r>
        <w:t xml:space="preserve">retorno nulo o usar modelos con saltos. → </w:t>
      </w:r>
      <w:r>
        <w:rPr>
          <w:b/>
        </w:rPr>
        <w:t>H4 se sostiene</w:t>
      </w:r>
      <w:r>
        <w:t xml:space="preserve"> salvo en el activo</w:t>
      </w:r>
    </w:p>
    <w:p>
      <w:r>
        <w:t>ilíquido.</w:t>
      </w:r>
    </w:p>
    <w:p>
      <w:pPr>
        <w:pStyle w:val="Heading3"/>
      </w:pPr>
      <w:r>
        <w:t>6.7 Robustez</w:t>
      </w:r>
    </w:p>
    <w:p>
      <w:pPr>
        <w:pStyle w:val="ListBullet"/>
      </w:pPr>
      <w:r/>
      <w:r>
        <w:rPr>
          <w:b/>
        </w:rPr>
        <w:t>ARDL bounds (diario, k=3)</w:t>
      </w:r>
      <w:r>
        <w:t>: F=2.89 (ANTO) y 1.55 (PUCOBRE), **por debajo del</w:t>
      </w:r>
    </w:p>
    <w:p>
      <w:r>
        <w:t>crítico I(1)=4.35 → no confirma cointegración**, en contraste con Johansen. La</w:t>
      </w:r>
    </w:p>
    <w:p>
      <w:r>
        <w:t>explicación es la **baja potencia del test uniecuacional cuando la velocidad de</w:t>
      </w:r>
    </w:p>
    <w:p>
      <w:r>
        <w:t>ajuste es minúscula** (α≈−0.0008 en el VECM). Conclusión prudente: la evidencia</w:t>
      </w:r>
    </w:p>
    <w:p>
      <w:r>
        <w:t xml:space="preserve">de largo plazo es </w:t>
      </w:r>
      <w:r>
        <w:rPr>
          <w:b/>
        </w:rPr>
        <w:t>sugerente pero no unánime</w:t>
      </w:r>
      <w:r>
        <w:t>; se prioriza el VECM (basado en</w:t>
      </w:r>
    </w:p>
    <w:p>
      <w:r>
        <w:t>el sistema) y se declara como limitación.</w:t>
      </w:r>
    </w:p>
    <w:p>
      <w:pPr>
        <w:pStyle w:val="ListBullet"/>
      </w:pPr>
      <w:r/>
      <w:r>
        <w:rPr>
          <w:b/>
        </w:rPr>
        <w:t>Estabilidad de β-cobre por submuestras</w:t>
      </w:r>
      <w:r>
        <w:t xml:space="preserve"> (robustez_submuestras.csv):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Submuestra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ANTO β-cobre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PUCOBRE β-cobre</w:t>
            </w:r>
          </w:p>
        </w:tc>
      </w:tr>
      <w:tr>
        <w:tc>
          <w:tcPr>
            <w:tcW w:type="dxa" w:w="2880"/>
          </w:tcPr>
          <w:p>
            <w:r>
              <w:t>crisis 2008-09</w:t>
            </w:r>
          </w:p>
        </w:tc>
        <w:tc>
          <w:tcPr>
            <w:tcW w:type="dxa" w:w="2880"/>
          </w:tcPr>
          <w:p>
            <w:r>
              <w:t>0.60 (t=6.7)</w:t>
            </w:r>
          </w:p>
        </w:tc>
        <w:tc>
          <w:tcPr>
            <w:tcW w:type="dxa" w:w="2880"/>
          </w:tcPr>
          <w:p>
            <w:r>
              <w:t>0.08 (t=2.1)</w:t>
            </w:r>
          </w:p>
        </w:tc>
      </w:tr>
      <w:tr>
        <w:tc>
          <w:tcPr>
            <w:tcW w:type="dxa" w:w="2880"/>
          </w:tcPr>
          <w:p>
            <w:r>
              <w:t>supraciclo 2010-14</w:t>
            </w:r>
          </w:p>
        </w:tc>
        <w:tc>
          <w:tcPr>
            <w:tcW w:type="dxa" w:w="2880"/>
          </w:tcPr>
          <w:p>
            <w:r>
              <w:t>0.69 (t=16.9)</w:t>
            </w:r>
          </w:p>
        </w:tc>
        <w:tc>
          <w:tcPr>
            <w:tcW w:type="dxa" w:w="2880"/>
          </w:tcPr>
          <w:p>
            <w:r>
              <w:t>0.05 (t=1.3)</w:t>
            </w:r>
          </w:p>
        </w:tc>
      </w:tr>
      <w:tr>
        <w:tc>
          <w:tcPr>
            <w:tcW w:type="dxa" w:w="2880"/>
          </w:tcPr>
          <w:p>
            <w:r>
              <w:t>2015-19</w:t>
            </w:r>
          </w:p>
        </w:tc>
        <w:tc>
          <w:tcPr>
            <w:tcW w:type="dxa" w:w="2880"/>
          </w:tcPr>
          <w:p>
            <w:r>
              <w:t>0.90 (t=13.9)</w:t>
            </w:r>
          </w:p>
        </w:tc>
        <w:tc>
          <w:tcPr>
            <w:tcW w:type="dxa" w:w="2880"/>
          </w:tcPr>
          <w:p>
            <w:r>
              <w:t>0.01 (t=0.3)</w:t>
            </w:r>
          </w:p>
        </w:tc>
      </w:tr>
      <w:tr>
        <w:tc>
          <w:tcPr>
            <w:tcW w:type="dxa" w:w="2880"/>
          </w:tcPr>
          <w:p>
            <w:r>
              <w:t>COVID+ 2020-26</w:t>
            </w:r>
          </w:p>
        </w:tc>
        <w:tc>
          <w:tcPr>
            <w:tcW w:type="dxa" w:w="2880"/>
          </w:tcPr>
          <w:p>
            <w:r>
              <w:t>0.65 (t=8.1)</w:t>
            </w:r>
          </w:p>
        </w:tc>
        <w:tc>
          <w:tcPr>
            <w:tcW w:type="dxa" w:w="2880"/>
          </w:tcPr>
          <w:p>
            <w:r>
              <w:t>0.15 (t=4.2)</w:t>
            </w:r>
          </w:p>
        </w:tc>
      </w:tr>
    </w:tbl>
    <w:p/>
    <w:p>
      <w:r>
        <w:t xml:space="preserve">La sensibilidad de Antofagasta es </w:t>
      </w:r>
      <w:r>
        <w:rPr>
          <w:b/>
        </w:rPr>
        <w:t>estable y siempre significativa</w:t>
      </w:r>
      <w:r>
        <w:t>, con pico en</w:t>
      </w:r>
    </w:p>
    <w:p>
      <w:r>
        <w:t>2015-19. Pucobre es débil/no significativa salvo en COVID+, donde sube a 0.15</w:t>
      </w:r>
    </w:p>
    <w:p>
      <w:r>
        <w:t>(t=4.2): leve mejora de transmisión en el boom reciente del cobre.</w:t>
      </w:r>
    </w:p>
    <w:p>
      <w:pPr>
        <w:pStyle w:val="Heading3"/>
      </w:pPr>
      <w:r>
        <w:t>6.8 Panel sectorial (N=4) — panel_resultados.csv</w:t>
      </w:r>
    </w:p>
    <w:p>
      <w:r>
        <w:t>Impacto promedio del sector minería-materiales chileno (FE≈RE≈Pooled; Hausman no</w:t>
      </w:r>
    </w:p>
    <w:p>
      <w:r>
        <w:t>rechaza RE): β-cobre ≈ 0.205 (p=0.073, marginal con cluster en 4 entidades);</w:t>
      </w:r>
    </w:p>
    <w:p>
      <w:r/>
      <w:r>
        <w:rPr>
          <w:b/>
        </w:rPr>
        <w:t>el mercado local domina</w:t>
      </w:r>
      <w:r>
        <w:t xml:space="preserve"> (β≈0.79, p&lt;0.001); DXY≈−0.19 (p&lt;0.001); UST10Y +1.9</w:t>
      </w:r>
    </w:p>
    <w:p>
      <w:r>
        <w:t>(p&lt;0.01). R² within ≈ 0.23. Advertencia: con N=4 el panel es robustez sectorial,</w:t>
      </w:r>
    </w:p>
    <w:p>
      <w:r>
        <w:t>no inferencia primaria; GMM dinámico no es viable.</w:t>
      </w:r>
    </w:p>
    <w:p>
      <w:pPr>
        <w:pStyle w:val="Heading3"/>
      </w:pPr>
      <w:r>
        <w:t>6.9 Canal de política monetaria chilena (TPM) — hac_coeficientes.csv</w:t>
      </w:r>
    </w:p>
    <w:p>
      <w:r>
        <w:t>Incorporada la TPM (vía mindicador.cl, sin credenciales), el cambio diario de la</w:t>
      </w:r>
    </w:p>
    <w:p>
      <w:r>
        <w:t xml:space="preserve">TPM (d_tpm) entra con </w:t>
      </w:r>
      <w:r>
        <w:rPr>
          <w:b/>
        </w:rPr>
        <w:t>signo negativo</w:t>
      </w:r>
      <w:r>
        <w:t xml:space="preserve"> en todos los activos (endurecimiento →</w:t>
      </w:r>
    </w:p>
    <w:p>
      <w:r>
        <w:t xml:space="preserve">menor retorno, económicamente correcto) pero </w:t>
      </w:r>
      <w:r>
        <w:rPr>
          <w:b/>
        </w:rPr>
        <w:t>no significativo</w:t>
      </w:r>
      <w:r>
        <w:t xml:space="preserve"> (p&gt;0.12). Las</w:t>
      </w:r>
    </w:p>
    <w:p>
      <w:r>
        <w:t>β-cobre permanecen estables al añadirla (robustez). La no significatividad diaria</w:t>
      </w:r>
    </w:p>
    <w:p>
      <w:r>
        <w:t>motiva el estudio de eventos (§6.11).</w:t>
      </w:r>
    </w:p>
    <w:p>
      <w:pPr>
        <w:pStyle w:val="Heading3"/>
      </w:pPr>
      <w:r>
        <w:t>6.10 Asimetrías del cobre (NARDL) — nardl_resumen.csv</w:t>
      </w:r>
    </w:p>
    <w:p>
      <w:r>
        <w:t>Descomponiendo el cobre en sumas parciales de alzas y caídas (Shin-Yu-Greenberg):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Bounds 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cointegra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asimetría LP (Wald, p)</w:t>
            </w:r>
          </w:p>
        </w:tc>
      </w:tr>
      <w:tr>
        <w:tc>
          <w:tcPr>
            <w:tcW w:type="dxa" w:w="2160"/>
          </w:tcPr>
          <w:p>
            <w:r>
              <w:t>ANTO.L</w:t>
            </w:r>
          </w:p>
        </w:tc>
        <w:tc>
          <w:tcPr>
            <w:tcW w:type="dxa" w:w="2160"/>
          </w:tcPr>
          <w:p>
            <w:r>
              <w:t>4.50</w:t>
            </w:r>
          </w:p>
        </w:tc>
        <w:tc>
          <w:tcPr>
            <w:tcW w:type="dxa" w:w="2160"/>
          </w:tcPr>
          <w:p>
            <w:r>
              <w:t>sí (5%)</w:t>
            </w:r>
          </w:p>
        </w:tc>
        <w:tc>
          <w:tcPr>
            <w:tcW w:type="dxa" w:w="2160"/>
          </w:tcPr>
          <w:p>
            <w:r>
              <w:t>sí: Wald=8.45, p=0.004</w:t>
            </w:r>
          </w:p>
        </w:tc>
      </w:tr>
      <w:tr>
        <w:tc>
          <w:tcPr>
            <w:tcW w:type="dxa" w:w="2160"/>
          </w:tcPr>
          <w:p>
            <w:r>
              <w:t>PUCOBRE.SN</w:t>
            </w:r>
          </w:p>
        </w:tc>
        <w:tc>
          <w:tcPr>
            <w:tcW w:type="dxa" w:w="2160"/>
          </w:tcPr>
          <w:p>
            <w:r>
              <w:t>1.83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 (p=0.29)</w:t>
            </w:r>
          </w:p>
        </w:tc>
      </w:tr>
      <w:tr>
        <w:tc>
          <w:tcPr>
            <w:tcW w:type="dxa" w:w="2160"/>
          </w:tcPr>
          <w:p>
            <w:r>
              <w:t>CAP.SN</w:t>
            </w:r>
          </w:p>
        </w:tc>
        <w:tc>
          <w:tcPr>
            <w:tcW w:type="dxa" w:w="2160"/>
          </w:tcPr>
          <w:p>
            <w:r>
              <w:t>3.10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 (p=0.15)</w:t>
            </w:r>
          </w:p>
        </w:tc>
      </w:tr>
      <w:tr>
        <w:tc>
          <w:tcPr>
            <w:tcW w:type="dxa" w:w="2160"/>
          </w:tcPr>
          <w:p>
            <w:r>
              <w:t>SQM-B.SN</w:t>
            </w:r>
          </w:p>
        </w:tc>
        <w:tc>
          <w:tcPr>
            <w:tcW w:type="dxa" w:w="2160"/>
          </w:tcPr>
          <w:p>
            <w:r>
              <w:t>2.03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 (p=0.23)</w:t>
            </w:r>
          </w:p>
        </w:tc>
      </w:tr>
    </w:tbl>
    <w:p/>
    <w:p>
      <w:r>
        <w:t>**Antofagasta presenta cointegración no lineal y asimetría de largo plazo</w:t>
      </w:r>
    </w:p>
    <w:p>
      <w:r>
        <w:t>significativa**: responde de forma estadísticamente distinta a alzas vs caídas del</w:t>
      </w:r>
    </w:p>
    <w:p>
      <w:r>
        <w:t>cobre (elasticidades ≈0.93 vs ≈0.90; diferencia modesta pero significativa por el</w:t>
      </w:r>
    </w:p>
    <w:p>
      <w:r>
        <w:t>tamaño muestral). Los demás activos no rechazan simetría, coherente con su vínculo</w:t>
      </w:r>
    </w:p>
    <w:p>
      <w:r>
        <w:t>más débil al cobre.</w:t>
      </w:r>
    </w:p>
    <w:p>
      <w:pPr>
        <w:pStyle w:val="Heading3"/>
      </w:pPr>
      <w:r>
        <w:t>6.11 Estudio de eventos — anuncios de TPM — event_study_tpm.csv</w:t>
      </w:r>
    </w:p>
    <w:p>
      <w:r>
        <w:t>Modelo de mercado (mercado=ECH), ventana [-5,+5] en torno a 51 alzas y 41 bajas de</w:t>
      </w:r>
    </w:p>
    <w:p>
      <w:r>
        <w:t xml:space="preserve">TPM. Los CAAR tienen </w:t>
      </w:r>
      <w:r>
        <w:rPr>
          <w:b/>
        </w:rPr>
        <w:t>signo económico correcto</w:t>
      </w:r>
      <w:r>
        <w:t xml:space="preserve"> (alza TPM → anormal negativo:</w:t>
      </w:r>
    </w:p>
    <w:p>
      <w:r>
        <w:t xml:space="preserve">ANTO −1.04%, CAP −1.90%; baja → positivo) pero </w:t>
      </w:r>
      <w:r>
        <w:rPr>
          <w:b/>
        </w:rPr>
        <w:t>ninguno es significativo</w:t>
      </w:r>
      <w:r/>
    </w:p>
    <w:p>
      <w:r>
        <w:t xml:space="preserve">(p&gt;0.37). Interpretación: los cambios de TPM están </w:t>
      </w:r>
      <w:r>
        <w:rPr>
          <w:b/>
        </w:rPr>
        <w:t>anticipados</w:t>
      </w:r>
      <w:r>
        <w:t xml:space="preserve"> (sin sorpresa en</w:t>
      </w:r>
    </w:p>
    <w:p>
      <w:r>
        <w:t xml:space="preserve">el anuncio) y la valoración minera responde a </w:t>
      </w:r>
      <w:r>
        <w:rPr>
          <w:b/>
        </w:rPr>
        <w:t>factores globales</w:t>
      </w:r>
      <w:r>
        <w:t xml:space="preserve"> más que a la</w:t>
      </w:r>
    </w:p>
    <w:p>
      <w:r>
        <w:t>política monetaria doméstica. Refinamiento futuro: usar el componente sorpresa</w:t>
      </w:r>
    </w:p>
    <w:p>
      <w:r>
        <w:t>(TPM efectiva vs esperada).</w:t>
      </w:r>
    </w:p>
    <w:p>
      <w:pPr>
        <w:pStyle w:val="Heading3"/>
      </w:pPr>
      <w:r>
        <w:t>6.12 Causalidad robusta a integración (Toda-Yamamoto) — toda_yamamoto.csv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cobre→activo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activo→cobre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usdclp→activo</w:t>
            </w:r>
          </w:p>
        </w:tc>
      </w:tr>
      <w:tr>
        <w:tc>
          <w:tcPr>
            <w:tcW w:type="dxa" w:w="2160"/>
          </w:tcPr>
          <w:p>
            <w:r>
              <w:t>ANTO.L</w:t>
            </w:r>
          </w:p>
        </w:tc>
        <w:tc>
          <w:tcPr>
            <w:tcW w:type="dxa" w:w="2160"/>
          </w:tcPr>
          <w:p>
            <w:r>
              <w:t>causa (p=0.04)</w:t>
            </w:r>
          </w:p>
        </w:tc>
        <w:tc>
          <w:tcPr>
            <w:tcW w:type="dxa" w:w="2160"/>
          </w:tcPr>
          <w:p>
            <w:r>
              <w:t>no (p=0.11)</w:t>
            </w:r>
          </w:p>
        </w:tc>
        <w:tc>
          <w:tcPr>
            <w:tcW w:type="dxa" w:w="2160"/>
          </w:tcPr>
          <w:p>
            <w:r>
              <w:t>causa (p&lt;0.001)</w:t>
            </w:r>
          </w:p>
        </w:tc>
      </w:tr>
      <w:tr>
        <w:tc>
          <w:tcPr>
            <w:tcW w:type="dxa" w:w="2160"/>
          </w:tcPr>
          <w:p>
            <w:r>
              <w:t>PUCOBRE.SN</w:t>
            </w:r>
          </w:p>
        </w:tc>
        <w:tc>
          <w:tcPr>
            <w:tcW w:type="dxa" w:w="2160"/>
          </w:tcPr>
          <w:p>
            <w:r>
              <w:t>causa (p&lt;0.001)</w:t>
            </w:r>
          </w:p>
        </w:tc>
        <w:tc>
          <w:tcPr>
            <w:tcW w:type="dxa" w:w="2160"/>
          </w:tcPr>
          <w:p>
            <w:r>
              <w:t>marginal (p=0.02)*</w:t>
            </w:r>
          </w:p>
        </w:tc>
        <w:tc>
          <w:tcPr>
            <w:tcW w:type="dxa" w:w="2160"/>
          </w:tcPr>
          <w:p>
            <w:r>
              <w:t>no (p=0.29)</w:t>
            </w:r>
          </w:p>
        </w:tc>
      </w:tr>
    </w:tbl>
    <w:p/>
    <w:p>
      <w:r>
        <w:t xml:space="preserve">El cobre </w:t>
      </w:r>
      <w:r>
        <w:rPr>
          <w:b/>
        </w:rPr>
        <w:t>causa</w:t>
      </w:r>
      <w:r>
        <w:t xml:space="preserve"> (Granger, robusto a cointegración) a ambos activos, de forma</w:t>
      </w:r>
    </w:p>
    <w:p>
      <w:r/>
      <w:r>
        <w:rPr>
          <w:b/>
        </w:rPr>
        <w:t>unidireccional</w:t>
      </w:r>
      <w:r>
        <w:t xml:space="preserve"> para Antofagasta (es tomadora de precios). El sentido inverso en</w:t>
      </w:r>
    </w:p>
    <w:p>
      <w:r>
        <w:t>Pucobre (p=0.02) es económicamente implausible (una minera pequeña no mueve el</w:t>
      </w:r>
    </w:p>
    <w:p>
      <w:r>
        <w:t>COMEX) → probable artefacto del modelo aumentado de 13 rezagos. (*) marcado como</w:t>
      </w:r>
    </w:p>
    <w:p>
      <w:r>
        <w:t>no causal en términos económicos.</w:t>
      </w:r>
    </w:p>
    <w:p>
      <w:pPr>
        <w:pStyle w:val="Heading3"/>
      </w:pPr>
      <w:r>
        <w:t>6.13 Prueba formal de la hipótesis de iliquidez — iliquidez_amihud.csv, iliquidez_test.csv</w:t>
      </w:r>
    </w:p>
    <w:p>
      <w:r>
        <w:t>La hipótesis de que la iliquidez explica la baja transmisión contemporánea del</w:t>
      </w:r>
    </w:p>
    <w:p>
      <w:r>
        <w:t>cobre en Pucobre se prueba formalmente:</w:t>
      </w:r>
    </w:p>
    <w:p>
      <w:r/>
      <w:r>
        <w:rPr>
          <w:b/>
        </w:rPr>
        <w:t>(a) Magnitud de la iliquidez.</w:t>
      </w:r>
      <w:r>
        <w:t xml:space="preserve"> Pucobre presenta </w:t>
      </w:r>
      <w:r>
        <w:rPr>
          <w:b/>
        </w:rPr>
        <w:t>62% de días con retorno cero</w:t>
      </w:r>
      <w:r/>
    </w:p>
    <w:p>
      <w:r>
        <w:t>(no transa en la mayoría de las jornadas), frente a 5.5% (ANTO), 1.3% (SCCO) o</w:t>
      </w:r>
    </w:p>
    <w:p>
      <w:r>
        <w:t>0.18% (Glencore); su volumen medio (~US$24M equiv.) es dos órdenes de magnitud</w:t>
      </w:r>
    </w:p>
    <w:p>
      <w:r>
        <w:t>menor que el de Antofagasta (~US$2.000M). Es el activo masivamente más ilíquido.</w:t>
      </w:r>
    </w:p>
    <w:p>
      <w:r/>
      <w:r>
        <w:rPr>
          <w:b/>
        </w:rPr>
        <w:t>(b) Evidencia transversal (8 activos).</w:t>
      </w:r>
      <w:r>
        <w:t xml:space="preserve"> La correlación de Spearman entre</w:t>
      </w:r>
    </w:p>
    <w:p>
      <w:r>
        <w:t xml:space="preserve">iliquidez (% días cero) y la β-cobre contemporánea es </w:t>
      </w:r>
      <w:r>
        <w:rPr>
          <w:b/>
        </w:rPr>
        <w:t>negativa</w:t>
      </w:r>
      <w:r>
        <w:t xml:space="preserve"> (ρ≈−0.55), en la</w:t>
      </w:r>
    </w:p>
    <w:p>
      <w:r>
        <w:t>dirección predicha, aunque no significativa con N=8 (baja potencia).</w:t>
      </w:r>
    </w:p>
    <w:p>
      <w:r/>
      <w:r>
        <w:rPr>
          <w:b/>
        </w:rPr>
        <w:t>(c) Rezagos distribuidos (prueba directa).</w:t>
      </w:r>
      <w:r>
        <w:t xml:space="preserve"> Descomponiendo el efecto del cobre</w:t>
      </w:r>
    </w:p>
    <w:p>
      <w:r>
        <w:t>por rezagos: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β día 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β acumulado 0–5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fracción día 0</w:t>
            </w:r>
          </w:p>
        </w:tc>
      </w:tr>
      <w:tr>
        <w:tc>
          <w:tcPr>
            <w:tcW w:type="dxa" w:w="2160"/>
          </w:tcPr>
          <w:p>
            <w:r>
              <w:t>ANTO.L</w:t>
            </w:r>
          </w:p>
        </w:tc>
        <w:tc>
          <w:tcPr>
            <w:tcW w:type="dxa" w:w="2160"/>
          </w:tcPr>
          <w:p>
            <w:r>
              <w:t>0.816</w:t>
            </w:r>
          </w:p>
        </w:tc>
        <w:tc>
          <w:tcPr>
            <w:tcW w:type="dxa" w:w="2160"/>
          </w:tcPr>
          <w:p>
            <w:r>
              <w:t>0.862</w:t>
            </w:r>
          </w:p>
        </w:tc>
        <w:tc>
          <w:tcPr>
            <w:tcW w:type="dxa" w:w="2160"/>
          </w:tcPr>
          <w:p>
            <w:r>
              <w:t>94.7% (inmediata)</w:t>
            </w:r>
          </w:p>
        </w:tc>
      </w:tr>
      <w:tr>
        <w:tc>
          <w:tcPr>
            <w:tcW w:type="dxa" w:w="2160"/>
          </w:tcPr>
          <w:p>
            <w:r>
              <w:t>PUCOBRE.SN</w:t>
            </w:r>
          </w:p>
        </w:tc>
        <w:tc>
          <w:tcPr>
            <w:tcW w:type="dxa" w:w="2160"/>
          </w:tcPr>
          <w:p>
            <w:r>
              <w:t>0.121</w:t>
            </w:r>
          </w:p>
        </w:tc>
        <w:tc>
          <w:tcPr>
            <w:tcW w:type="dxa" w:w="2160"/>
          </w:tcPr>
          <w:p>
            <w:r>
              <w:t>0.415</w:t>
            </w:r>
          </w:p>
        </w:tc>
        <w:tc>
          <w:tcPr>
            <w:tcW w:type="dxa" w:w="2160"/>
          </w:tcPr>
          <w:p>
            <w:r>
              <w:t>29.2% (diferida)</w:t>
            </w:r>
          </w:p>
        </w:tc>
      </w:tr>
    </w:tbl>
    <w:p/>
    <w:p>
      <w:r>
        <w:t>En Antofagasta el 95% del impacto del cobre llega el mismo día; en Pucobre, sólo el</w:t>
      </w:r>
    </w:p>
    <w:p>
      <w:r>
        <w:t>29% —el 71% restante se difiere a los días siguientes—. Confirmación directa del</w:t>
      </w:r>
    </w:p>
    <w:p>
      <w:r/>
      <w:r>
        <w:rPr>
          <w:b/>
        </w:rPr>
        <w:t>descubrimiento de precios lento</w:t>
      </w:r>
      <w:r>
        <w:t xml:space="preserve"> por iliquidez.</w:t>
      </w:r>
    </w:p>
    <w:p>
      <w:r>
        <w:t>Nota metodológica: un split por régimen de iliquidez (Amihud móvil) se descartó</w:t>
      </w:r>
    </w:p>
    <w:p>
      <w:r>
        <w:t>por confundir iliquidez con régimen de volatilidad (el ILLIQ sube en períodos</w:t>
      </w:r>
    </w:p>
    <w:p>
      <w:r>
        <w:t>volátiles donde todo comueve más); el test de rezagos distribuidos es limpio frente</w:t>
      </w:r>
    </w:p>
    <w:p>
      <w:r>
        <w:t>a ese sesgo.</w:t>
      </w:r>
    </w:p>
    <w:p>
      <w:pPr>
        <w:pStyle w:val="Heading3"/>
      </w:pPr>
      <w:r>
        <w:t>6.14 Modelo mensual con macro nacional — mensual_resumen.csv</w:t>
      </w:r>
    </w:p>
    <w:p>
      <w:r>
        <w:t>A frecuencia mensual (que permite usar IMACEC e IPC en su frecuencia natural):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Activo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β-cobre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R²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IMACEC (t)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d_TPM (t)</w:t>
            </w:r>
          </w:p>
        </w:tc>
      </w:tr>
      <w:tr>
        <w:tc>
          <w:tcPr>
            <w:tcW w:type="dxa" w:w="1440"/>
          </w:tcPr>
          <w:p>
            <w:r>
              <w:t>ANTO.L</w:t>
            </w:r>
          </w:p>
        </w:tc>
        <w:tc>
          <w:tcPr>
            <w:tcW w:type="dxa" w:w="1440"/>
          </w:tcPr>
          <w:p>
            <w:r>
              <w:t>0.712</w:t>
            </w:r>
          </w:p>
        </w:tc>
        <w:tc>
          <w:tcPr>
            <w:tcW w:type="dxa" w:w="1440"/>
          </w:tcPr>
          <w:p>
            <w:r>
              <w:t>5.2</w:t>
            </w:r>
          </w:p>
        </w:tc>
        <w:tc>
          <w:tcPr>
            <w:tcW w:type="dxa" w:w="1440"/>
          </w:tcPr>
          <w:p>
            <w:r>
              <w:t>0.39</w:t>
            </w:r>
          </w:p>
        </w:tc>
        <w:tc>
          <w:tcPr>
            <w:tcW w:type="dxa" w:w="1440"/>
          </w:tcPr>
          <w:p>
            <w:r>
              <w:t>−0.16 (−1.7)</w:t>
            </w:r>
          </w:p>
        </w:tc>
        <w:tc>
          <w:tcPr>
            <w:tcW w:type="dxa" w:w="1440"/>
          </w:tcPr>
          <w:p>
            <w:r>
              <w:t>0.05 (0.1)</w:t>
            </w:r>
          </w:p>
        </w:tc>
      </w:tr>
      <w:tr>
        <w:tc>
          <w:tcPr>
            <w:tcW w:type="dxa" w:w="1440"/>
          </w:tcPr>
          <w:p>
            <w:r>
              <w:t>PUCOBRE.SN</w:t>
            </w:r>
          </w:p>
        </w:tc>
        <w:tc>
          <w:tcPr>
            <w:tcW w:type="dxa" w:w="1440"/>
          </w:tcPr>
          <w:p>
            <w:r>
              <w:t>0.599</w:t>
            </w:r>
          </w:p>
        </w:tc>
        <w:tc>
          <w:tcPr>
            <w:tcW w:type="dxa" w:w="1440"/>
          </w:tcPr>
          <w:p>
            <w:r>
              <w:t>7.3</w:t>
            </w:r>
          </w:p>
        </w:tc>
        <w:tc>
          <w:tcPr>
            <w:tcW w:type="dxa" w:w="1440"/>
          </w:tcPr>
          <w:p>
            <w:r>
              <w:t>0.31</w:t>
            </w:r>
          </w:p>
        </w:tc>
        <w:tc>
          <w:tcPr>
            <w:tcW w:type="dxa" w:w="1440"/>
          </w:tcPr>
          <w:p>
            <w:r>
              <w:t>−0.26 (−2.8)</w:t>
            </w:r>
          </w:p>
        </w:tc>
        <w:tc>
          <w:tcPr>
            <w:tcW w:type="dxa" w:w="1440"/>
          </w:tcPr>
          <w:p>
            <w:r>
              <w:t>1.41 (1.0)</w:t>
            </w:r>
          </w:p>
        </w:tc>
      </w:tr>
      <w:tr>
        <w:tc>
          <w:tcPr>
            <w:tcW w:type="dxa" w:w="1440"/>
          </w:tcPr>
          <w:p>
            <w:r>
              <w:t>CAP.SN</w:t>
            </w:r>
          </w:p>
        </w:tc>
        <w:tc>
          <w:tcPr>
            <w:tcW w:type="dxa" w:w="1440"/>
          </w:tcPr>
          <w:p>
            <w:r>
              <w:t>0.698</w:t>
            </w:r>
          </w:p>
        </w:tc>
        <w:tc>
          <w:tcPr>
            <w:tcW w:type="dxa" w:w="1440"/>
          </w:tcPr>
          <w:p>
            <w:r>
              <w:t>4.8</w:t>
            </w:r>
          </w:p>
        </w:tc>
        <w:tc>
          <w:tcPr>
            <w:tcW w:type="dxa" w:w="1440"/>
          </w:tcPr>
          <w:p>
            <w:r>
              <w:t>0.28</w:t>
            </w:r>
          </w:p>
        </w:tc>
        <w:tc>
          <w:tcPr>
            <w:tcW w:type="dxa" w:w="1440"/>
          </w:tcPr>
          <w:p>
            <w:r>
              <w:t>−0.03 (−0.2)</w:t>
            </w:r>
          </w:p>
        </w:tc>
        <w:tc>
          <w:tcPr>
            <w:tcW w:type="dxa" w:w="1440"/>
          </w:tcPr>
          <w:p>
            <w:r>
              <w:t>−0.60 (−0.4)</w:t>
            </w:r>
          </w:p>
        </w:tc>
      </w:tr>
    </w:tbl>
    <w:p/>
    <w:p>
      <w:r/>
      <w:r>
        <w:rPr>
          <w:b/>
        </w:rPr>
        <w:t>Resultado decisivo:</w:t>
      </w:r>
      <w:r>
        <w:t xml:space="preserve"> a frecuencia mensual la β-cobre de Pucobre **salta de 0.085</w:t>
      </w:r>
    </w:p>
    <w:p>
      <w:r>
        <w:t>(diaria) a 0.599</w:t>
      </w:r>
      <w:r>
        <w:rPr>
          <w:b/>
        </w:rPr>
        <w:t xml:space="preserve"> y el R² de 0.04 a 0.31. La sensibilidad al cobre </w:t>
      </w:r>
      <w:r>
        <w:t>crece</w:t>
      </w:r>
    </w:p>
    <w:p>
      <w:r>
        <w:t>monótonamente con el horizonte** (diario 0.085 → acumulado 5d 0.415 → mensual 0.599</w:t>
      </w:r>
    </w:p>
    <w:p>
      <w:r>
        <w:t>→ largo plazo 0.75): al agregar temporalmente emerge la verdadera sensibilidad,</w:t>
      </w:r>
    </w:p>
    <w:p>
      <w:r>
        <w:t>cercana a la de Antofagasta. El IMACEC entra significativo y negativo para Pucobre</w:t>
      </w:r>
    </w:p>
    <w:p>
      <w:r>
        <w:t>(controlado por cobre; interpretación cautelosa). La TPM sigue sin ser</w:t>
      </w:r>
    </w:p>
    <w:p>
      <w:r>
        <w:t>significativa, consistente con §6.9 y §6.11.</w:t>
      </w:r>
    </w:p>
    <w:p>
      <w:pPr>
        <w:pStyle w:val="Heading2"/>
      </w:pPr>
      <w:r>
        <w:t>7. Discusión</w:t>
      </w:r>
    </w:p>
    <w:p>
      <w:r>
        <w:t xml:space="preserve">El cuerpo de evidencia es </w:t>
      </w:r>
      <w:r>
        <w:rPr>
          <w:b/>
        </w:rPr>
        <w:t>consistente y se triangula</w:t>
      </w:r>
      <w:r>
        <w:t>:</w:t>
      </w:r>
    </w:p>
    <w:p>
      <w:pPr>
        <w:pStyle w:val="ListNumber"/>
      </w:pPr>
      <w:r/>
      <w:r>
        <w:rPr>
          <w:b/>
        </w:rPr>
        <w:t>Heterogeneidad por liquidez (hallazgo central).</w:t>
      </w:r>
      <w:r>
        <w:t xml:space="preserve"> Antofagasta —pure-play</w:t>
      </w:r>
    </w:p>
    <w:p>
      <w:r>
        <w:t>líquido y cross-listed— incorpora el cobre de forma fuerte e inmediata</w:t>
      </w:r>
    </w:p>
    <w:p>
      <w:r>
        <w:t>(β≈0.70; FEVD≈28%; 95% del impacto en el día 0). Pucobre —pure-play local e</w:t>
      </w:r>
    </w:p>
    <w:p>
      <w:r>
        <w:t>ilíquido (62% de días sin transar)— casi no reacciona en el día (β≈0.09;</w:t>
      </w:r>
    </w:p>
    <w:p>
      <w:r>
        <w:t xml:space="preserve">R²≈0.04), pero su sensibilidad al cobre </w:t>
      </w:r>
      <w:r>
        <w:rPr>
          <w:b/>
        </w:rPr>
        <w:t>crece monótonamente con el horizonte</w:t>
      </w:r>
      <w:r>
        <w:t>:</w:t>
      </w:r>
    </w:p>
    <w:p>
      <w:r>
        <w:t>0.085 (diario) → 0.42 (acumulado 5d) → 0.60 (mensual) → 0.75 (largo plazo). El</w:t>
      </w:r>
    </w:p>
    <w:p>
      <w:r>
        <w:t>cobre lo causa (Toda-Yamamoto y Granger, p&lt;0.001) y la relación de largo plazo</w:t>
      </w:r>
    </w:p>
    <w:p>
      <w:r>
        <w:t xml:space="preserve">es plena. Interpretación, ahora </w:t>
      </w:r>
      <w:r>
        <w:rPr>
          <w:b/>
        </w:rPr>
        <w:t>formalmente probada</w:t>
      </w:r>
      <w:r>
        <w:t xml:space="preserve"> (rezagos distribuidos +</w:t>
      </w:r>
    </w:p>
    <w:p>
      <w:r>
        <w:t>modelo mensual): **la iliquidez retrasa el descubrimiento de precios, no anula</w:t>
      </w:r>
    </w:p>
    <w:p>
      <w:r>
        <w:t>el fundamento cobre→valoración.**</w:t>
      </w:r>
    </w:p>
    <w:p>
      <w:pPr>
        <w:pStyle w:val="ListNumber"/>
      </w:pPr>
      <w:r/>
      <w:r>
        <w:rPr>
          <w:b/>
        </w:rPr>
        <w:t>Canal de moneda.</w:t>
      </w:r>
      <w:r>
        <w:t xml:space="preserve"> El dólar global (DXY) impacta negativamente; el USD/CLP</w:t>
      </w:r>
    </w:p>
    <w:p>
      <w:r>
        <w:t>aparece en la relación de largo plazo (con cautela por colinealidad).</w:t>
      </w:r>
    </w:p>
    <w:p>
      <w:pPr>
        <w:pStyle w:val="ListNumber"/>
      </w:pPr>
      <w:r/>
      <w:r>
        <w:rPr>
          <w:b/>
        </w:rPr>
        <w:t>Riesgo y volatilidad.</w:t>
      </w:r>
      <w:r>
        <w:t xml:space="preserve"> Alta persistencia y efecto apalancamiento, típicos de</w:t>
      </w:r>
    </w:p>
    <w:p>
      <w:r>
        <w:t>activos de materias primas.</w:t>
      </w:r>
    </w:p>
    <w:p>
      <w:pPr>
        <w:pStyle w:val="ListNumber"/>
      </w:pPr>
      <w:r/>
      <w:r>
        <w:rPr>
          <w:b/>
        </w:rPr>
        <w:t>Comparación internacional.</w:t>
      </w:r>
      <w:r>
        <w:t xml:space="preserve"> Las β-cobre de SCCO/FCX/Glencore (0.49–0.63) y de</w:t>
      </w:r>
    </w:p>
    <w:p>
      <w:r>
        <w:t>Antofagasta (0.70) son del mismo orden, validando externamente la magnitud; las</w:t>
      </w:r>
    </w:p>
    <w:p>
      <w:r>
        <w:t>chilenas de materiales (CAP, SQM, 0.11–0.15) son menos sensibles por no ser</w:t>
      </w:r>
    </w:p>
    <w:p>
      <w:r>
        <w:t>cobre puro.</w:t>
      </w:r>
    </w:p>
    <w:p>
      <w:r/>
      <w:r>
        <w:rPr>
          <w:b/>
        </w:rPr>
        <w:t>Comparación con la literatura:</w:t>
      </w:r>
      <w:r>
        <w:t xml:space="preserve"> [a completar con fuentes reales verificadas].</w:t>
      </w:r>
    </w:p>
    <w:p>
      <w:pPr>
        <w:pStyle w:val="ListNumber"/>
      </w:pPr>
      <w:r/>
      <w:r>
        <w:rPr>
          <w:b/>
        </w:rPr>
        <w:t>Política monetaria y eventos.</w:t>
      </w:r>
      <w:r>
        <w:t xml:space="preserve"> El canal TPM es negativo pero débil a</w:t>
      </w:r>
    </w:p>
    <w:p>
      <w:r>
        <w:t>frecuencia diaria, y los anuncios de TPM no generan retornos anormales</w:t>
      </w:r>
    </w:p>
    <w:p>
      <w:r>
        <w:t>significativos: la valoración minera es dominantemente global, no doméstica.</w:t>
      </w:r>
    </w:p>
    <w:p>
      <w:pPr>
        <w:pStyle w:val="ListNumber"/>
      </w:pPr>
      <w:r/>
      <w:r>
        <w:rPr>
          <w:b/>
        </w:rPr>
        <w:t>Asimetría.</w:t>
      </w:r>
      <w:r>
        <w:t xml:space="preserve"> Sólo Antofagasta muestra respuesta asimétrica de largo plazo al</w:t>
      </w:r>
    </w:p>
    <w:p>
      <w:r>
        <w:t>cobre (NARDL), reforzando que es el activo donde el fundamento cobre opera con</w:t>
      </w:r>
    </w:p>
    <w:p>
      <w:r>
        <w:t>mayor riqueza dinámica.</w:t>
      </w:r>
    </w:p>
    <w:p>
      <w:pPr>
        <w:pStyle w:val="ListNumber"/>
      </w:pPr>
      <w:r/>
      <w:r>
        <w:rPr>
          <w:b/>
        </w:rPr>
        <w:t>Causalidad.</w:t>
      </w:r>
      <w:r>
        <w:t xml:space="preserve"> Toda-Yamamoto confirma causalidad cobre→acción robusta a</w:t>
      </w:r>
    </w:p>
    <w:p>
      <w:r>
        <w:t>cointegración, unidireccional para Antofagasta.</w:t>
      </w:r>
    </w:p>
    <w:p>
      <w:r/>
      <w:r>
        <w:rPr>
          <w:b/>
        </w:rPr>
        <w:t>Limitaciones.</w:t>
      </w:r>
      <w:r>
        <w:t xml:space="preserve"> (i) EMBI Chile y series BCU/BTU pendientes de credenciales BCCh</w:t>
      </w:r>
    </w:p>
    <w:p>
      <w:r>
        <w:t>(TPM/IMACEC/IPC ya incorporadas vía mindicador.cl); (ii) FRED inaccesible en el</w:t>
      </w:r>
    </w:p>
    <w:p>
      <w:r>
        <w:t>entorno; (iii) proxy de mercado local en USD (ECH) en vez de IPSA por</w:t>
      </w:r>
    </w:p>
    <w:p>
      <w:r>
        <w:t>inconsistencia del feed; (iv) calendarios heterogéneos reducen la muestra; (v)</w:t>
      </w:r>
    </w:p>
    <w:p>
      <w:r>
        <w:t>GARCH no fiable en Pucobre; (vi) ARDL lineal no confirma cointegración (baja</w:t>
      </w:r>
    </w:p>
    <w:p>
      <w:r>
        <w:t>potencia ante ajuste lento), aunque NARDL sí la detecta para Antofagasta; (vii)</w:t>
      </w:r>
    </w:p>
    <w:p>
      <w:r>
        <w:t>panel con N=4; (viii) event study sin componente de sorpresa de TPM.</w:t>
      </w:r>
    </w:p>
    <w:p>
      <w:pPr>
        <w:pStyle w:val="Heading2"/>
      </w:pPr>
      <w:r>
        <w:t>8. Conclusiones</w:t>
      </w:r>
    </w:p>
    <w:p>
      <w:pPr>
        <w:pStyle w:val="ListNumber"/>
      </w:pPr>
      <w:r>
        <w:t>El universo de mineras de cobre cotizadas vinculadas a Chile es mínimo y se</w:t>
      </w:r>
    </w:p>
    <w:p>
      <w:r>
        <w:t>resolvió empíricamente: Antofagasta (LSE) y Pucobre (Santiago) como núcleo.</w:t>
      </w:r>
    </w:p>
    <w:p>
      <w:pPr>
        <w:pStyle w:val="ListNumber"/>
      </w:pPr>
      <w:r>
        <w:t xml:space="preserve">El precio del cobre es un determinante </w:t>
      </w:r>
      <w:r>
        <w:rPr>
          <w:b/>
        </w:rPr>
        <w:t>positivo y significativo</w:t>
      </w:r>
      <w:r>
        <w:t xml:space="preserve"> de los</w:t>
      </w:r>
    </w:p>
    <w:p>
      <w:r>
        <w:t>retornos mineros, con magnitud creciente en la liquidez del activo.</w:t>
      </w:r>
    </w:p>
    <w:p>
      <w:pPr>
        <w:pStyle w:val="ListNumber"/>
      </w:pPr>
      <w:r>
        <w:t>El resultado más novedoso es la **disociación corto/largo plazo en el activo</w:t>
      </w:r>
    </w:p>
    <w:p>
      <w:r>
        <w:t>ilíquido (Pucobre)**: transmisión contemporánea casi nula pero vínculo de largo</w:t>
      </w:r>
    </w:p>
    <w:p>
      <w:r>
        <w:t>plazo pleno y causalidad con rezago. Aporta evidencia sobre (in)eficiencia</w:t>
      </w:r>
    </w:p>
    <w:p>
      <w:r>
        <w:t>informacional en un mercado emergente pequeño.</w:t>
      </w:r>
    </w:p>
    <w:p>
      <w:pPr>
        <w:pStyle w:val="ListNumber"/>
      </w:pPr>
      <w:r>
        <w:t>La volatilidad es persistente y asimétrica; el dólar y las tasas globales</w:t>
      </w:r>
    </w:p>
    <w:p>
      <w:r>
        <w:t>complementan el canal del cobre.</w:t>
      </w:r>
    </w:p>
    <w:p>
      <w:r/>
      <w:r>
        <w:rPr>
          <w:b/>
        </w:rPr>
        <w:t>Líneas futuras.</w:t>
      </w:r>
      <w:r>
        <w:t xml:space="preserve"> Incorporar macro del Banco Central (TPM, IMACEC, EMBI);</w:t>
      </w:r>
    </w:p>
    <w:p>
      <w:r>
        <w:t>NARDL para asimetrías alza/baja del cobre; estudio de eventos en anuncios de</w:t>
      </w:r>
    </w:p>
    <w:p>
      <w:r>
        <w:t>política/COCHILCO; medidas formales de iliquidez (Amihud) e intradía; GARCH con</w:t>
      </w:r>
    </w:p>
    <w:p>
      <w:r>
        <w:t>saltos para Pucobre; Toda-Yamamoto para causalidad con series integradas.</w:t>
      </w:r>
    </w:p>
    <w:p>
      <w:pPr>
        <w:pStyle w:val="Heading2"/>
      </w:pPr>
      <w:r>
        <w:t>9. Referencias y anexos</w:t>
      </w:r>
    </w:p>
    <w:p>
      <w:r/>
      <w:r>
        <w:rPr>
          <w:b/>
        </w:rPr>
        <w:t>Referencias</w:t>
      </w:r>
      <w:r>
        <w:t xml:space="preserve"> — verificadas en fuentes primarias (revisar formato APA final).</w:t>
      </w:r>
    </w:p>
    <w:p>
      <w:r>
        <w:t>Teoría de factores y mercados:</w:t>
      </w:r>
    </w:p>
    <w:p>
      <w:pPr>
        <w:pStyle w:val="ListBullet"/>
      </w:pPr>
      <w:r>
        <w:t>Ross, S. A. (1976). The arbitrage theory of capital asset pricing. Journal of Economic Theory, 13(3), 341–360.</w:t>
      </w:r>
    </w:p>
    <w:p>
      <w:pPr>
        <w:pStyle w:val="ListBullet"/>
      </w:pPr>
      <w:r>
        <w:t>Chen, N.-F., Roll, R., &amp; Ross, S. A. (1986). Economic forces and the stock market. Journal of Business, 59(3), 383–403. https://www.jstor.org/stable/2352710</w:t>
      </w:r>
    </w:p>
    <w:p>
      <w:pPr>
        <w:pStyle w:val="ListBullet"/>
      </w:pPr>
      <w:r>
        <w:t>Amihud, Y. (2002). Illiquidity and stock returns: cross-section and time-series effects. Journal of Financial Markets, 5(1), 31–56. https://doi.org/10.1016/S1386-4181(01)00024-6</w:t>
      </w:r>
    </w:p>
    <w:p>
      <w:r>
        <w:t>Cobre, monedas-commodity y Chile:</w:t>
      </w:r>
    </w:p>
    <w:p>
      <w:pPr>
        <w:pStyle w:val="ListBullet"/>
      </w:pPr>
      <w:r>
        <w:t>Chen, Y.-C., &amp; Rogoff, K. (2003). Commodity currencies. Journal of International Economics, 60(1), 133–160. https://doi.org/10.1016/S0022-1996(02)00072-7</w:t>
      </w:r>
    </w:p>
    <w:p>
      <w:pPr>
        <w:pStyle w:val="ListBullet"/>
      </w:pPr>
      <w:r>
        <w:t>Banco Central de Chile. Working Paper N°640. Copper, the Real Exchange Rate and Macroeconomic Fluctuations in Chile. https://www.bcentral.cl/en/content/-/details/working-papers-n-640</w:t>
      </w:r>
    </w:p>
    <w:p>
      <w:pPr>
        <w:pStyle w:val="ListBullet"/>
      </w:pPr>
      <w:r>
        <w:t>Forecasting base metal prices with the Chilean exchange rate. Resources Policy. https://www.sciencedirect.com/science/article/abs/pii/S0301420718303271</w:t>
      </w:r>
    </w:p>
    <w:p>
      <w:r>
        <w:t>Cointegración, ARDL/NARDL y causalidad:</w:t>
      </w:r>
    </w:p>
    <w:p>
      <w:pPr>
        <w:pStyle w:val="ListBullet"/>
      </w:pPr>
      <w:r>
        <w:t>Engle, R. F., &amp; Granger, C. W. J. (1987). Co-integration and error correction. Econometrica, 55(2), 251–276.</w:t>
      </w:r>
    </w:p>
    <w:p>
      <w:pPr>
        <w:pStyle w:val="ListBullet"/>
      </w:pPr>
      <w:r>
        <w:t>Johansen, S. (1991). Estimation and hypothesis testing of cointegration vectors in Gaussian VAR models. Econometrica, 59(6), 1551–1580.</w:t>
      </w:r>
    </w:p>
    <w:p>
      <w:pPr>
        <w:pStyle w:val="ListBullet"/>
      </w:pPr>
      <w:r>
        <w:t>Pesaran, M. H., Shin, Y., &amp; Smith, R. J. (2001). Bounds testing approaches to the analysis of level relationships. Journal of Applied Econometrics, 16(3), 289–326. https://doi.org/10.1002/jae.616</w:t>
      </w:r>
    </w:p>
    <w:p>
      <w:pPr>
        <w:pStyle w:val="ListBullet"/>
      </w:pPr>
      <w:r>
        <w:t>Shin, Y., Yu, B., &amp; Greenwood-Nimmo, M. (2014). Modelling asymmetric cointegration and dynamic multipliers in a NARDL framework. En Festschrift in Honor of Peter Schmidt (pp. 281–314). Springer.</w:t>
      </w:r>
    </w:p>
    <w:p>
      <w:pPr>
        <w:pStyle w:val="ListBullet"/>
      </w:pPr>
      <w:r>
        <w:t>Toda, H. Y., &amp; Yamamoto, T. (1995). Statistical inference in vector autoregressions with possibly integrated processes. Journal of Econometrics, 66(1–2), 225–250.</w:t>
      </w:r>
    </w:p>
    <w:p>
      <w:r>
        <w:t>Volatilidad y errores robustos:</w:t>
      </w:r>
    </w:p>
    <w:p>
      <w:pPr>
        <w:pStyle w:val="ListBullet"/>
      </w:pPr>
      <w:r>
        <w:t>Bollerslev, T. (1986). Generalized autoregressive conditional heteroskedasticity. Journal of Econometrics, 31(3), 307–327.</w:t>
      </w:r>
    </w:p>
    <w:p>
      <w:pPr>
        <w:pStyle w:val="ListBullet"/>
      </w:pPr>
      <w:r>
        <w:t>Nelson, D. B. (1991). Conditional heteroskedasticity in asset returns: a new approach. Econometrica, 59(2), 347–370.</w:t>
      </w:r>
    </w:p>
    <w:p>
      <w:pPr>
        <w:pStyle w:val="ListBullet"/>
      </w:pPr>
      <w:r>
        <w:t>Glosten, L. R., Jagannathan, R., &amp; Runkle, D. E. (1993). On the relation between the expected value and the volatility of the nominal excess return on stocks. Journal of Finance, 48(5), 1779–1801.</w:t>
      </w:r>
    </w:p>
    <w:p>
      <w:pPr>
        <w:pStyle w:val="ListBullet"/>
      </w:pPr>
      <w:r>
        <w:t>Newey, W. K., &amp; West, K. D. (1987). A simple, positive semi-definite, heteroskedasticity and autocorrelation consistent covariance matrix. Econometrica, 55(3), 703–708.</w:t>
      </w:r>
    </w:p>
    <w:p>
      <w:r>
        <w:t>Raíces unitarias y quiebres: Dickey &amp; Fuller (1979); Phillips &amp; Perron (1988); Kwiatkowski, Phillips, Schmidt &amp; Shin (1992, KPSS); Zivot &amp; Andrews (1992).</w:t>
      </w:r>
    </w:p>
    <w:p>
      <w:pPr>
        <w:pStyle w:val="IntenseQuote"/>
      </w:pPr>
      <w:r>
        <w:t>Nota: confirmar paginación y DOIs en Scopus/Web of Science/Google Scholar antes de</w:t>
      </w:r>
    </w:p>
    <w:p>
      <w:pPr>
        <w:pStyle w:val="IntenseQuote"/>
      </w:pPr>
      <w:r>
        <w:t>la entrega final. Estas referencias fueron contrastadas con repositorios del</w:t>
      </w:r>
    </w:p>
    <w:p>
      <w:pPr>
        <w:pStyle w:val="IntenseQuote"/>
      </w:pPr>
      <w:r>
        <w:t>editor; el formato APA definitivo es responsabilidad del autor.</w:t>
      </w:r>
    </w:p>
    <w:p>
      <w:r/>
      <w:r>
        <w:rPr>
          <w:b/>
        </w:rPr>
        <w:t>Anexos (reproducibilidad).</w:t>
      </w:r>
      <w:r/>
    </w:p>
    <w:p>
      <w:pPr>
        <w:pStyle w:val="ListBullet"/>
      </w:pPr>
      <w:r>
        <w:t>Código: src/ (verificación de universo, ingesta, preparación, EDA, modelos).</w:t>
      </w:r>
    </w:p>
    <w:p>
      <w:pPr>
        <w:pStyle w:val="ListBullet"/>
      </w:pPr>
      <w:r>
        <w:t>Tablas: outputs/tables/ (23 archivos CSV).</w:t>
      </w:r>
    </w:p>
    <w:p>
      <w:pPr>
        <w:pStyle w:val="ListBullet"/>
      </w:pPr>
      <w:r>
        <w:t>Figuras: outputs/figures/ (series, ACF, IRF, volatilidad condicional, heatmap).</w:t>
      </w:r>
    </w:p>
    <w:p>
      <w:pPr>
        <w:pStyle w:val="ListBullet"/>
      </w:pPr>
      <w:r>
        <w:t>Diccionario de datos: docs/diccionario_datos.md.</w:t>
      </w:r>
    </w:p>
    <w:p>
      <w:pPr>
        <w:pStyle w:val="ListBullet"/>
      </w:pPr>
      <w:r>
        <w:t>Decisiones fundacionales: docs/00_decisiones_fundacionales.md.</w:t>
      </w:r>
    </w:p>
    <w:p>
      <w:pPr>
        <w:pStyle w:val="ListBullet"/>
      </w:pPr>
      <w:r>
        <w:t>Entorno: requirements.txt (Python 3.13; statsmodels 0.14.6, arch 8.0, linearmodels 7.0).</w:t>
      </w:r>
    </w:p>
    <w:p>
      <w:r>
        <w:br w:type="page"/>
      </w:r>
    </w:p>
    <w:p>
      <w:pPr>
        <w:pStyle w:val="Heading1"/>
      </w:pPr>
      <w:r>
        <w:t>Anexo — Figuras</w:t>
      </w:r>
    </w:p>
    <w:p>
      <w:pPr>
        <w:pStyle w:val="Heading3"/>
      </w:pPr>
      <w:r>
        <w:t>acf_ANTO_L.png</w:t>
      </w:r>
    </w:p>
    <w:p>
      <w:r>
        <w:drawing>
          <wp:inline xmlns:a="http://schemas.openxmlformats.org/drawingml/2006/main" xmlns:pic="http://schemas.openxmlformats.org/drawingml/2006/picture">
            <wp:extent cx="54864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f_ANTO_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acf_PUCOBRE_SN.png</w:t>
      </w:r>
    </w:p>
    <w:p>
      <w:r>
        <w:drawing>
          <wp:inline xmlns:a="http://schemas.openxmlformats.org/drawingml/2006/main" xmlns:pic="http://schemas.openxmlformats.org/drawingml/2006/picture">
            <wp:extent cx="5486400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f_PUCOBRE_S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heatmap_correlaciones.png</w:t>
      </w:r>
    </w:p>
    <w:p>
      <w:r>
        <w:drawing>
          <wp:inline xmlns:a="http://schemas.openxmlformats.org/drawingml/2006/main" xmlns:pic="http://schemas.openxmlformats.org/drawingml/2006/picture">
            <wp:extent cx="5486400" cy="44888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correlacion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iliquidez_vs_beta.png</w:t>
      </w:r>
    </w:p>
    <w:p>
      <w:r>
        <w:drawing>
          <wp:inline xmlns:a="http://schemas.openxmlformats.org/drawingml/2006/main" xmlns:pic="http://schemas.openxmlformats.org/drawingml/2006/picture">
            <wp:extent cx="5486400" cy="37719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liquidez_vs_be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irf_ANTO_L.png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f_ANTO_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irf_PUCOBRE_SN.png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f_PUCOBRE_S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precios_normalizados.png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cios_normalizad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retornos_ANTO_L.png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ornos_ANTO_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retornos_PUCOBRE_SN.png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ornos_PUCOBRE_S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vol_condicional_ANTO_L.png</w:t>
      </w:r>
    </w:p>
    <w:p>
      <w:r>
        <w:drawing>
          <wp:inline xmlns:a="http://schemas.openxmlformats.org/drawingml/2006/main" xmlns:pic="http://schemas.openxmlformats.org/drawingml/2006/picture">
            <wp:extent cx="5486400" cy="1828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ANTO_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vol_condicional_CAP_SN.png</w:t>
      </w:r>
    </w:p>
    <w:p>
      <w:r>
        <w:drawing>
          <wp:inline xmlns:a="http://schemas.openxmlformats.org/drawingml/2006/main" xmlns:pic="http://schemas.openxmlformats.org/drawingml/2006/picture">
            <wp:extent cx="5486400" cy="1828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CAP_S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vol_condicional_PUCOBRE_SN.png</w:t>
      </w:r>
    </w:p>
    <w:p>
      <w:r>
        <w:drawing>
          <wp:inline xmlns:a="http://schemas.openxmlformats.org/drawingml/2006/main" xmlns:pic="http://schemas.openxmlformats.org/drawingml/2006/picture">
            <wp:extent cx="5486400" cy="1828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PUCOBRE_S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vol_condicional_SQM-B_SN.png</w:t>
      </w:r>
    </w:p>
    <w:p>
      <w:r>
        <w:drawing>
          <wp:inline xmlns:a="http://schemas.openxmlformats.org/drawingml/2006/main" xmlns:pic="http://schemas.openxmlformats.org/drawingml/2006/picture">
            <wp:extent cx="5486400" cy="1828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SQM-B_S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