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pPr>
        <w:pStyle w:val="IntenseQuote"/>
      </w:pPr>
      <w:r/>
      <w:r>
        <w:rPr>
          <w:b/>
        </w:rPr>
        <w:t>Nota de reproducibilidad.</w:t>
      </w:r>
      <w:r>
        <w:t xml:space="preserve"> Todos los resultados numéricos de este documento</w:t>
      </w:r>
    </w:p>
    <w:p>
      <w:pPr>
        <w:pStyle w:val="IntenseQuote"/>
      </w:pPr>
      <w:r>
        <w:t>provienen de estimaciones propias sobre datos reales (Yahoo Finance y la API</w:t>
      </w:r>
    </w:p>
    <w:p>
      <w:pPr>
        <w:pStyle w:val="IntenseQuote"/>
      </w:pPr>
      <w:r>
        <w:t>pública del indicador económico chileno mindicador.cl), descargados el</w:t>
      </w:r>
    </w:p>
    <w:p>
      <w:pPr>
        <w:pStyle w:val="IntenseQuote"/>
      </w:pPr>
      <w:r>
        <w:t>2026-05-30. El código fuente, los datos procesados, las 33 tablas de salida y las</w:t>
      </w:r>
    </w:p>
    <w:p>
      <w:pPr>
        <w:pStyle w:val="IntenseQuote"/>
      </w:pPr>
      <w:r>
        <w:t>13 figuras se encuentran en el repositorio del proyecto. Las referencias</w:t>
      </w:r>
    </w:p>
    <w:p>
      <w:pPr>
        <w:pStyle w:val="IntenseQuote"/>
      </w:pPr>
      <w:r>
        <w:t>bibliográficas fueron verificadas en fuentes primarias; el formato APA definitivo</w:t>
      </w:r>
    </w:p>
    <w:p>
      <w:pPr>
        <w:pStyle w:val="IntenseQuote"/>
      </w:pPr>
      <w:r>
        <w:t>debe revisarse antes de la entrega final. No se ha inventado ningún dato ni</w:t>
      </w:r>
    </w:p>
    <w:p>
      <w:pPr>
        <w:pStyle w:val="IntenseQuote"/>
      </w:pPr>
      <w:r>
        <w:t>resultado empírico.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Para una empresa minera de</w:t>
      </w:r>
    </w:p>
    <w:p>
      <w:r>
        <w:t xml:space="preserve">cobre, los </w:t>
      </w:r>
      <w:r>
        <w:rPr>
          <w:b/>
        </w:rPr>
        <w:t>flujos</w:t>
      </w:r>
      <w:r>
        <w:t xml:space="preserve"> dependen directamente del precio del metal (ingreso) y de sus</w:t>
      </w:r>
    </w:p>
    <w:p>
      <w:r>
        <w:t>costos (energía, insumos, salarios, tipo de cambio), mientras que la **tasa de</w:t>
      </w:r>
    </w:p>
    <w:p>
      <w:r>
        <w:t>descuento** depende de la tasa libre de riesgo global y de las primas de riesgo. De</w:t>
      </w:r>
    </w:p>
    <w:p>
      <w:r>
        <w:t>esta estructura se desprenden cinco canales económicos que organizan la selección de</w:t>
      </w:r>
    </w:p>
    <w:p>
      <w:r>
        <w:t>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 El antecedente más directo es Mendiola,</w:t>
      </w:r>
    </w:p>
    <w:p>
      <w:r>
        <w:t>Chávez-Bedoya y Wallenstein (2022), que documentan una relación **positiva pero</w:t>
      </w:r>
    </w:p>
    <w:p>
      <w:r>
        <w:t>inelástica** entre los cambios del precio del cobre y los retornos de acciones</w:t>
      </w:r>
    </w:p>
    <w:p>
      <w:r>
        <w:t>mineras de cobre —precisamente la magnitud que esta tesis estima y descompone por</w:t>
      </w:r>
    </w:p>
    <w:p>
      <w:r>
        <w:t>horizonte—. Kilian y Park (2009) advierten que el efecto de un shock de commodity</w:t>
      </w:r>
    </w:p>
    <w:p>
      <w:r>
        <w:t>sobre las acciones depende de si es de oferta o de demanda, y Díaz, Hansen y Cabrera</w:t>
      </w:r>
    </w:p>
    <w:p>
      <w:r>
        <w:t>(2021) —autores chilenos— muestran que variables macro-financieras (VIX, incertidumbre,</w:t>
      </w:r>
    </w:p>
    <w:p>
      <w:r>
        <w:t>ciclo) gobiernan la volatilidad del cobre, respaldando el conjunto de regresores</w:t>
      </w:r>
    </w:p>
    <w:p>
      <w:r>
        <w:t>empleado. Gorton y Rouwenhorst (2006) y Cashin et al. (2002) enmarcan, además, el</w:t>
      </w:r>
    </w:p>
    <w:p>
      <w:r>
        <w:t>comportamiento cíclico y asimétrico de los precios de commodities que motiva la</w:t>
      </w:r>
    </w:p>
    <w:p>
      <w:r>
        <w:t>especificación NARDL.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 Bekaert, Harvey y Lundblad (2007) muestran que la liquidez local es</w:t>
      </w:r>
    </w:p>
    <w:p>
      <w:r>
        <w:t>un determinante de primer orden de los retornos esperados en mercados emergentes, y</w:t>
      </w:r>
    </w:p>
    <w:p>
      <w:r>
        <w:t>Amihud, Hameed, Kang y Zhang (2015) documentan que el premio por iliquidez se</w:t>
      </w:r>
    </w:p>
    <w:p>
      <w:r>
        <w:t>concentra en las firmas más pequeñas a nivel internacional —justo el perfil de</w:t>
      </w:r>
    </w:p>
    <w:p>
      <w:r>
        <w:t>Pucobre—; para mercados ilíquidos, la proporción de días con retorno cero suele</w:t>
      </w:r>
    </w:p>
    <w:p>
      <w:r>
        <w:t>superar a Amihud como proxy, lo que motiva el uso de múltiples medidas en §6.14.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pPr>
        <w:pStyle w:val="Heading2"/>
      </w:pPr>
      <w:r>
        <w:t>4. Datos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rellenan. La alineación de calendarios entre las plazas de</w:t>
      </w:r>
    </w:p>
    <w:p>
      <w:r>
        <w:t>Londres, Santiago y Nueva York reduce la muestra efectiva común en las regresiones</w:t>
      </w:r>
    </w:p>
    <w:p>
      <w:r>
        <w:t>multifactor a n ≈ 4.475 observaciones diarias.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5.0 Estrategia de identificación</w:t>
      </w:r>
    </w:p>
    <w:p>
      <w:r>
        <w:t>La pregunta causal —¿cómo afecta el precio del cobre a la valoración de una minera</w:t>
      </w:r>
    </w:p>
    <w:p>
      <w:r>
        <w:t>chilena?— enfrenta el riesgo habitual de endogeneidad. Aquí, sin embargo, la</w:t>
      </w:r>
    </w:p>
    <w:p>
      <w:r>
        <w:t>identificación se apoya en dos pilares razonables:</w:t>
      </w:r>
    </w:p>
    <w:p>
      <w:pPr>
        <w:pStyle w:val="ListNumber"/>
      </w:pPr>
      <w:r/>
      <w:r>
        <w:rPr>
          <w:b/>
        </w:rPr>
        <w:t>El cobre como shock externo (cuasi-exógeno).</w:t>
      </w:r>
      <w:r>
        <w:t xml:space="preserve"> El precio del cobre se determina</w:t>
      </w:r>
    </w:p>
    <w:p>
      <w:r>
        <w:t>en mercados globales (LME/COMEX) por la oferta y demanda mundiales —dominadas por</w:t>
      </w:r>
    </w:p>
    <w:p>
      <w:r>
        <w:t>China—; dos empresas chilenas, una de ellas pequeña, **no mueven el precio</w:t>
      </w:r>
    </w:p>
    <w:p>
      <w:r>
        <w:t>mundial**. Esta exogeneidad se contrasta empíricamente: el test de Toda-Yamamoto</w:t>
      </w:r>
    </w:p>
    <w:p>
      <w:r>
        <w:t xml:space="preserve">arroja causalidad </w:t>
      </w:r>
      <w:r>
        <w:rPr>
          <w:b/>
        </w:rPr>
        <w:t>unidireccional</w:t>
      </w:r>
      <w:r>
        <w:t xml:space="preserve"> cobre→Antofagasta (§6.11), descartando</w:t>
      </w:r>
    </w:p>
    <w:p>
      <w:r>
        <w:t>retroalimentación. El cobre opera, así, como una fuente de variación plausiblemente</w:t>
      </w:r>
    </w:p>
    <w:p>
      <w:r>
        <w:t>exógena para la valoración local.</w:t>
      </w:r>
    </w:p>
    <w:p>
      <w:pPr>
        <w:pStyle w:val="ListNumber"/>
      </w:pPr>
      <w:r/>
      <w:r>
        <w:rPr>
          <w:b/>
        </w:rPr>
        <w:t>Diseño cuasi-experimental por liquidez.</w:t>
      </w:r>
      <w:r>
        <w:t xml:space="preserve"> Antofagasta y Pucobre comparten la</w:t>
      </w:r>
    </w:p>
    <w:p>
      <w:r/>
      <w:r>
        <w:rPr>
          <w:b/>
        </w:rPr>
        <w:t>misma exposición fundamental</w:t>
      </w:r>
      <w:r>
        <w:t xml:space="preserve"> al cobre (ambos son pure-plays) pero difieren</w:t>
      </w:r>
    </w:p>
    <w:p>
      <w:r>
        <w:t xml:space="preserve">radicalmente en </w:t>
      </w:r>
      <w:r>
        <w:rPr>
          <w:b/>
        </w:rPr>
        <w:t>microestructura</w:t>
      </w:r>
      <w:r>
        <w:t xml:space="preserve"> (liquidez). Comparar la velocidad de</w:t>
      </w:r>
    </w:p>
    <w:p>
      <w:r>
        <w:t xml:space="preserve">transmisión entre ambos </w:t>
      </w:r>
      <w:r>
        <w:rPr>
          <w:b/>
        </w:rPr>
        <w:t>aísla el efecto de la liquidez</w:t>
      </w:r>
      <w:r>
        <w:t>, manteniendo</w:t>
      </w:r>
    </w:p>
    <w:p>
      <w:r>
        <w:t>aproximadamente constante el fundamento: las referencias internacionales</w:t>
      </w:r>
    </w:p>
    <w:p>
      <w:r>
        <w:t>(SCCO/FCX/BHP/GLEN) y los materiales chilenos (CAP/SQM) sirven como benchmarks de</w:t>
      </w:r>
    </w:p>
    <w:p>
      <w:r>
        <w:t>exposición. La diferencia sistemática en el horizonte de transmisión —no en el</w:t>
      </w:r>
    </w:p>
    <w:p>
      <w:r>
        <w:t>nivel de largo plazo— es, por tanto, atribuible a la fricción de liquidez, no a una</w:t>
      </w:r>
    </w:p>
    <w:p>
      <w:r>
        <w:t>desconexión fundamental.</w:t>
      </w:r>
    </w:p>
    <w:p>
      <w:r/>
      <w:r>
        <w:rPr>
          <w:b/>
        </w:rPr>
        <w:t>Variables omitidas.</w:t>
      </w:r>
      <w:r>
        <w:t xml:space="preserve"> El diseño controla por los factores globales que podrían</w:t>
      </w:r>
    </w:p>
    <w:p>
      <w:r>
        <w:t>confundir el canal del cobre —dólar (DXY), tasas (UST), riesgo (VIX), mercado (S&amp;P y</w:t>
      </w:r>
    </w:p>
    <w:p>
      <w:r>
        <w:t>proxy local) y energía (WTI)—, de modo que la elasticidad-cobre estimada es</w:t>
      </w:r>
    </w:p>
    <w:p>
      <w:r>
        <w:t>incremental respecto de ese comovimiento. Residualmente, factores idiosincrásicos de</w:t>
      </w:r>
    </w:p>
    <w:p>
      <w:r>
        <w:t>empresa (anuncios, guidance, gobierno corporativo) quedan en el error; su efecto se</w:t>
      </w:r>
    </w:p>
    <w:p>
      <w:r>
        <w:t>mitiga al trabajar con retornos y se discute como limitación.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Log-retornos diarios (%), 2004–2026: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sd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Jarque-Bera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1.50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35.5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rechaza normalidad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pPr>
        <w:pStyle w:val="Heading3"/>
      </w:pPr>
      <w:r>
        <w:t>6.2 Estacionariedad y cointegración</w:t>
      </w:r>
    </w:p>
    <w:p>
      <w:pPr>
        <w:pStyle w:val="ListBullet"/>
      </w:pPr>
      <w:r/>
      <w:r>
        <w:rPr>
          <w:b/>
        </w:rPr>
        <w:t>ADF/PP/KPSS</w:t>
      </w:r>
      <w:r>
        <w:t xml:space="preserve"> (decisión cruzada): log-precios I(1), retornos y diferencias I(0).</w:t>
      </w:r>
    </w:p>
    <w:p>
      <w:r>
        <w:t>Confirmado por Zivot-Andrews (no se rechaza raíz unitaria ni con quiebre endógeno:</w:t>
      </w:r>
    </w:p>
    <w:p>
      <w:r>
        <w:t>ANTO p≈0.62, PUCOBRE p≈0.99).</w:t>
      </w:r>
    </w:p>
    <w:p>
      <w:pPr>
        <w:pStyle w:val="ListBullet"/>
      </w:pPr>
      <w:r/>
      <w:r>
        <w:rPr>
          <w:b/>
        </w:rPr>
        <w:t>Engle-Granger bivariado</w:t>
      </w:r>
      <w:r>
        <w:t xml:space="preserve"> (activo~cobre): cointegración débil/ausente (sólo el</w:t>
      </w:r>
    </w:p>
    <w:p>
      <w:r>
        <w:t>cobre no basta).</w:t>
      </w:r>
    </w:p>
    <w:p>
      <w:pPr>
        <w:pStyle w:val="ListBullet"/>
      </w:pPr>
      <w:r/>
      <w:r>
        <w:rPr>
          <w:b/>
        </w:rPr>
        <w:t>Johansen multivariante</w:t>
      </w:r>
      <w:r>
        <w:t xml:space="preserve"> [ln P, ln cobre, ln USDCLP, ln DXY]: </w:t>
      </w:r>
      <w:r>
        <w:rPr>
          <w:b/>
        </w:rPr>
        <w:t>rango r = 1</w:t>
      </w:r>
      <w:r/>
    </w:p>
    <w:p>
      <w:r>
        <w:t>para ANTO y PUCOBRE → existe exactamente una relación de equilibrio de largo plazo.</w:t>
      </w:r>
    </w:p>
    <w:p>
      <w:pPr>
        <w:pStyle w:val="Heading3"/>
      </w:pPr>
      <w:r>
        <w:t>6.3 Impacto contemporáneo (HAC)</w:t>
      </w:r>
    </w:p>
    <w:p>
      <w:r>
        <w:t>Elasticidad-cobre (efecto de +1% en el cobre sobre el retorno diario, %):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t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15.4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5.7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0.25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SCCO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FCX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0.53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BHP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10.7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GLEN.L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9.8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0.29</w:t>
            </w:r>
          </w:p>
        </w:tc>
      </w:tr>
    </w:tbl>
    <w:p>
      <w:pPr>
        <w:spacing w:after="80"/>
      </w:pPr>
    </w:p>
    <w:p>
      <w:r>
        <w:t>Para Antofagasta también son significativos el DXY (signo negativo: dólar arriba →</w:t>
      </w:r>
    </w:p>
    <w:p>
      <w:r>
        <w:t>acción abajo), el mercado (S&amp;P y proxy local) y el cambio en la UST10Y. Para Pucobre,</w:t>
      </w:r>
    </w:p>
    <w:p>
      <w:r>
        <w:t>sólo el mercado local y —débilmente— el cobre son significativos, con un R² de</w:t>
      </w:r>
    </w:p>
    <w:p>
      <w:r>
        <w:t>apenas 0.04: su retorno es mayoritariamente idiosincrásico/ilíquido en el día a día.</w:t>
      </w:r>
    </w:p>
    <w:p>
      <w:r>
        <w:t>Los diagnósticos muestran efectos ARCH significativos en todos los activos (justifica</w:t>
      </w:r>
    </w:p>
    <w:p>
      <w:r>
        <w:t>GARCH), autocorrelación (justifica HAC) y no-normalidad; VIF máximo ≈ 3.5 (sin</w:t>
      </w:r>
    </w:p>
    <w:p>
      <w:r>
        <w:t xml:space="preserve">colinealidad severa). </w:t>
      </w:r>
      <w:r>
        <w:rPr>
          <w:b/>
        </w:rPr>
        <w:t>H1 se sostiene</w:t>
      </w:r>
      <w:r>
        <w:t xml:space="preserve"> (cobre positivo y significativo en todos);</w:t>
      </w:r>
    </w:p>
    <w:p>
      <w:r/>
      <w:r>
        <w:rPr>
          <w:b/>
        </w:rPr>
        <w:t>H2 se sostiene con fuerza</w:t>
      </w:r>
      <w:r>
        <w:t xml:space="preserve"> (0.70 en el líquido vs 0.09 en el ilíquido).</w:t>
      </w:r>
    </w:p>
    <w:p>
      <w:pPr>
        <w:pStyle w:val="Heading3"/>
      </w:pPr>
      <w:r>
        <w:t>6.4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pPr>
        <w:pStyle w:val="Heading3"/>
      </w:pPr>
      <w:r>
        <w:t>6.6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 xml:space="preserve">confirmado. Excepción honesta: en Pucobre los GARCH son </w:t>
      </w:r>
      <w:r>
        <w:rPr>
          <w:b/>
        </w:rPr>
        <w:t>inestables</w:t>
      </w:r>
      <w:r>
        <w:t xml:space="preserve">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</w:t>
      </w:r>
    </w:p>
    <w:p>
      <w:pPr>
        <w:pStyle w:val="Heading3"/>
      </w:pPr>
      <w:r>
        <w:t>6.11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 xml:space="preserve">Antofagasta (~US$2.000 M). </w:t>
      </w:r>
      <w:r>
        <w:rPr>
          <w:b/>
        </w:rPr>
        <w:t>(b) Transversal.</w:t>
      </w:r>
      <w:r>
        <w:t xml:space="preserve"> La correlación de Spearman entre</w:t>
      </w:r>
    </w:p>
    <w:p>
      <w:r>
        <w:t>iliquidez (% días cero) y β-cobre contemporánea es negativa (ρ≈−0.55), en la</w:t>
      </w:r>
    </w:p>
    <w:p>
      <w:r>
        <w:t xml:space="preserve">dirección predicha (no significativa con N=8). </w:t>
      </w:r>
      <w:r>
        <w:rPr>
          <w:b/>
        </w:rPr>
        <w:t>(c) Rezagos distribuidos: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 xml:space="preserve">para Pucobre (−0.26, t=−2.8). </w:t>
      </w:r>
      <w:r>
        <w:rPr>
          <w:b/>
        </w:rPr>
        <w:t>H5 se sostiene de forma contundente.</w:t>
      </w:r>
      <w:r/>
    </w:p>
    <w:p>
      <w:pPr>
        <w:pStyle w:val="Heading3"/>
      </w:pPr>
      <w:r>
        <w:t>6.13 Quiebres estructurales endógenos (Quandt-Andrews)</w:t>
      </w:r>
    </w:p>
    <w:p>
      <w:r>
        <w:t>Para evaluar la estabilidad de la transmisión en 22 años (que abarcan la crisis de</w:t>
      </w:r>
    </w:p>
    <w:p>
      <w:r>
        <w:t>2008, el superciclo, el COVID y el boom pospandemia), se aplica una prueba de quiebre</w:t>
      </w:r>
    </w:p>
    <w:p>
      <w:r>
        <w:t>con fecha endógena (sup-Chow / Quandt-Andrews, trimming 15%) sobre la regresión</w:t>
      </w:r>
    </w:p>
    <w:p>
      <w:r>
        <w:t>r = a + b·Δcobre + controles: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sup-F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crítico 5%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fecha de quiebre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β-cobre pre → post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¿quiebre?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33.5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2007-07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0.34 → 0.78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7.8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2010-12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0.08 → 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12.4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2011-01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0.12 → 0.35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11.1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2019-06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0.15 → 0.30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al 5%</w:t>
            </w:r>
          </w:p>
        </w:tc>
      </w:tr>
    </w:tbl>
    <w:p>
      <w:pPr>
        <w:spacing w:after="80"/>
      </w:pPr>
    </w:p>
    <w:p>
      <w:r>
        <w:t xml:space="preserve">Antofagasta presenta un </w:t>
      </w:r>
      <w:r>
        <w:rPr>
          <w:b/>
        </w:rPr>
        <w:t>quiebre significativo</w:t>
      </w:r>
      <w:r>
        <w:t xml:space="preserve"> en torno a mediados de 2007</w:t>
      </w:r>
    </w:p>
    <w:p>
      <w:r>
        <w:t>(víspera de la crisis financiera), tras el cual su elasticidad-cobre **se duplica con</w:t>
      </w:r>
    </w:p>
    <w:p>
      <w:r>
        <w:t>creces** (0.34 → 0.78): su integración al fundamento cuprífero se intensificó</w:t>
      </w:r>
    </w:p>
    <w:p>
      <w:r>
        <w:t xml:space="preserve">estructuralmente. Pucobre, en cambio, </w:t>
      </w:r>
      <w:r>
        <w:rPr>
          <w:b/>
        </w:rPr>
        <w:t>no exhibe quiebre significativo</w:t>
      </w:r>
      <w:r>
        <w:t>: su débil</w:t>
      </w:r>
    </w:p>
    <w:p>
      <w:r>
        <w:t xml:space="preserve">transmisión contemporánea es </w:t>
      </w:r>
      <w:r>
        <w:rPr>
          <w:b/>
        </w:rPr>
        <w:t>estructuralmente estable</w:t>
      </w:r>
      <w:r>
        <w:t>, no un artefacto de un</w:t>
      </w:r>
    </w:p>
    <w:p>
      <w:r>
        <w:t>régimen particular. Esto refuerza H2/H5: la baja sensibilidad contemporánea de</w:t>
      </w:r>
    </w:p>
    <w:p>
      <w:r>
        <w:t>Pucobre es una característica permanente de su microestructura (iliquidez), no un</w:t>
      </w:r>
    </w:p>
    <w:p>
      <w:r>
        <w:t>fenómeno transitorio.</w:t>
      </w:r>
    </w:p>
    <w:p>
      <w:pPr>
        <w:pStyle w:val="Heading3"/>
      </w:pPr>
      <w:r>
        <w:t>6.14 Robustez de la iliquidez: medidas alternativas</w:t>
      </w:r>
    </w:p>
    <w:p>
      <w:r>
        <w:t>Dado que el hallazgo central descansa sobre la iliquidez, se replica el contraste</w:t>
      </w:r>
    </w:p>
    <w:p>
      <w:r>
        <w:t xml:space="preserve">transversal con </w:t>
      </w:r>
      <w:r>
        <w:rPr>
          <w:b/>
        </w:rPr>
        <w:t>cuatro proxies construidas con metodologías distintas</w:t>
      </w:r>
      <w:r>
        <w:t xml:space="preserve"> —Amihud</w:t>
      </w:r>
    </w:p>
    <w:p>
      <w:r>
        <w:t>(basada en volumen), porcentaje de días con retorno cero (Lesmond et al.), spread</w:t>
      </w:r>
    </w:p>
    <w:p>
      <w:r>
        <w:t>implícito de Roll (basado en autocovarianza de retornos) y volumen medio en</w:t>
      </w:r>
    </w:p>
    <w:p>
      <w:r>
        <w:t>USD-equivalente—: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Signo esperado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Spearman ρ con 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% días retorno cero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−0.55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0.16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Spread de Roll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0.50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Amihud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0.88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Volumen medio (USD)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0.42</w:t>
            </w:r>
          </w:p>
        </w:tc>
      </w:tr>
    </w:tbl>
    <w:p>
      <w:pPr>
        <w:spacing w:after="80"/>
      </w:pPr>
    </w:p>
    <w:p>
      <w:r>
        <w:t xml:space="preserve">Las cuatro medidas apuntan en la </w:t>
      </w:r>
      <w:r>
        <w:rPr>
          <w:b/>
        </w:rPr>
        <w:t>dirección predicha</w:t>
      </w:r>
      <w:r>
        <w:t xml:space="preserve"> (mayor iliquidez → menor</w:t>
      </w:r>
    </w:p>
    <w:p>
      <w:r>
        <w:t>transmisión contemporánea; mayor volumen → mayor transmisión), aunque ninguna alcanza</w:t>
      </w:r>
    </w:p>
    <w:p>
      <w:r>
        <w:t xml:space="preserve">significancia individual con N=8 (baja potencia). La </w:t>
      </w:r>
      <w:r>
        <w:rPr>
          <w:b/>
        </w:rPr>
        <w:t>consistencia de signos</w:t>
      </w:r>
      <w:r>
        <w:t xml:space="preserve"> entre</w:t>
      </w:r>
    </w:p>
    <w:p>
      <w:r>
        <w:t>proxies metodológicamente independientes robustece la conclusión: el hallazgo no</w:t>
      </w:r>
    </w:p>
    <w:p>
      <w:r>
        <w:t>depende del estimador de Amihud. (El spread de Roll resulta indefinido para Pucobre,</w:t>
      </w:r>
    </w:p>
    <w:p>
      <w:r>
        <w:t>CAP y SQM —autocovarianza positiva por la masa de retornos cero—, lo que confirma que</w:t>
      </w:r>
    </w:p>
    <w:p>
      <w:r>
        <w:t xml:space="preserve">el </w:t>
      </w:r>
      <w:r>
        <w:rPr>
          <w:b/>
        </w:rPr>
        <w:t>porcentaje de días con retorno cero</w:t>
      </w:r>
      <w:r>
        <w:t xml:space="preserve"> es la proxy preferida para los activos más</w:t>
      </w:r>
    </w:p>
    <w:p>
      <w:r>
        <w:t>ilíquidos, en línea con Lesmond et al.)</w:t>
      </w:r>
    </w:p>
    <w:p>
      <w:pPr>
        <w:pStyle w:val="Heading3"/>
      </w:pPr>
      <w:r>
        <w:t>6.15 Validación fuera de muestra (Clark-West)</w:t>
      </w:r>
    </w:p>
    <w:p>
      <w:r>
        <w:t xml:space="preserve">Como prueba </w:t>
      </w:r>
      <w:r>
        <w:rPr>
          <w:b/>
        </w:rPr>
        <w:t>predictiva e independiente</w:t>
      </w:r>
      <w:r>
        <w:t xml:space="preserve"> de la transmisión diferida (H5), se evalúa</w:t>
      </w:r>
    </w:p>
    <w:p>
      <w:r>
        <w:t xml:space="preserve">si el cobre </w:t>
      </w:r>
      <w:r>
        <w:rPr>
          <w:b/>
        </w:rPr>
        <w:t>rezagado</w:t>
      </w:r>
      <w:r>
        <w:t xml:space="preserve"> mejora la predicción fuera de muestra del retorno, mediante</w:t>
      </w:r>
    </w:p>
    <w:p>
      <w:r>
        <w:t>un esquema recursivo (ventana expansiva desde el 50% de la muestra) que compara un</w:t>
      </w:r>
    </w:p>
    <w:p>
      <w:r>
        <w:t>benchmark AR(1) anidado con un modelo AR(1) + cobre rezagado (lags 1–2), usando el</w:t>
      </w:r>
    </w:p>
    <w:p>
      <w:r>
        <w:t>R² fuera de muestra (Campbell-Thompson) y el test de Clark-West: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R² OOS (%)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Clark-West t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¿el cobre rezagado mejora?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2.64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+0.20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+0.32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2.53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0.006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SQM-B.SN (litio)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−0.45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0.68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No (placebo)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rezagado</w:t>
      </w:r>
      <w:r>
        <w:t xml:space="preserve"> tiene poder predictivo fuera de muestra para Pucobre —de hecho</w:t>
      </w:r>
    </w:p>
    <w:p>
      <w:r/>
      <w:r>
        <w:rPr>
          <w:b/>
        </w:rPr>
        <w:t>mayor</w:t>
      </w:r>
      <w:r>
        <w:t xml:space="preserve"> que para Antofagasta—, exactamente lo que predice la transmisión diferida:</w:t>
      </w:r>
    </w:p>
    <w:p>
      <w:r>
        <w:t>en el activo líquido el cobre ya está incorporado y el rezago aporta poco, mientras</w:t>
      </w:r>
    </w:p>
    <w:p>
      <w:r>
        <w:t xml:space="preserve">que en el ilíquido el rezago captura la incorporación tardía. El </w:t>
      </w:r>
      <w:r>
        <w:rPr>
          <w:b/>
        </w:rPr>
        <w:t>placebo</w:t>
      </w:r>
      <w:r>
        <w:t xml:space="preserve"> es nítido:</w:t>
      </w:r>
    </w:p>
    <w:p>
      <w:r>
        <w:t>SQM (litio, no cobre) no muestra predictibilidad por cobre rezagado (p=0.68),</w:t>
      </w:r>
    </w:p>
    <w:p>
      <w:r>
        <w:t>descartando que el resultado sea espurio. Esta es una confirmación de H5 por una vía</w:t>
      </w:r>
    </w:p>
    <w:p>
      <w:r>
        <w:t>metodológicamente distinta a todo el resto del análisis.</w:t>
      </w:r>
    </w:p>
    <w:p>
      <w:pPr>
        <w:pStyle w:val="Heading3"/>
      </w:pPr>
      <w:r>
        <w:t>6.16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 —un estándar de honestidad inferencial propio del trabajo empírico riguroso.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pPr>
        <w:pStyle w:val="Heading3"/>
      </w:pPr>
      <w:r>
        <w:t>7.1bis Significancia económica de las magnitudes</w:t>
      </w:r>
    </w:p>
    <w:p>
      <w:r>
        <w:t>Más allá de la significancia estadística, las magnitudes tienen una lectura</w:t>
      </w:r>
    </w:p>
    <w:p>
      <w:r>
        <w:t xml:space="preserve">económica concreta. Una elasticidad-cobre contemporánea de </w:t>
      </w:r>
      <w:r>
        <w:rPr>
          <w:b/>
        </w:rPr>
        <w:t>0.70</w:t>
      </w:r>
      <w:r>
        <w:t xml:space="preserve"> para Antofagasta</w:t>
      </w:r>
    </w:p>
    <w:p>
      <w:r>
        <w:t xml:space="preserve">implica que un movimiento de </w:t>
      </w:r>
      <w:r>
        <w:rPr>
          <w:b/>
        </w:rPr>
        <w:t>+10%</w:t>
      </w:r>
      <w:r>
        <w:t xml:space="preserve"> en el precio del cobre se asocia, el mismo día,</w:t>
      </w:r>
    </w:p>
    <w:p>
      <w:r>
        <w:t xml:space="preserve">con un retorno de </w:t>
      </w:r>
      <w:r>
        <w:rPr>
          <w:b/>
        </w:rPr>
        <w:t>≈+7%</w:t>
      </w:r>
      <w:r>
        <w:t xml:space="preserve"> de la acción —coherente con el apalancamiento operativo de</w:t>
      </w:r>
    </w:p>
    <w:p>
      <w:r>
        <w:t xml:space="preserve">un pure-play (§2.5)—. Para Pucobre, ese mismo shock de +10% genera apenas </w:t>
      </w:r>
      <w:r>
        <w:rPr>
          <w:b/>
        </w:rPr>
        <w:t>≈+0.9%</w:t>
      </w:r>
      <w:r/>
    </w:p>
    <w:p>
      <w:r>
        <w:t xml:space="preserve">el primer día, pero </w:t>
      </w:r>
      <w:r>
        <w:rPr>
          <w:b/>
        </w:rPr>
        <w:t>≈+6%</w:t>
      </w:r>
      <w:r>
        <w:t xml:space="preserve"> acumulado al cabo de un mes y </w:t>
      </w:r>
      <w:r>
        <w:rPr>
          <w:b/>
        </w:rPr>
        <w:t>≈+7.5%</w:t>
      </w:r>
      <w:r>
        <w:t xml:space="preserve"> en el equilibrio</w:t>
      </w:r>
    </w:p>
    <w:p>
      <w:r>
        <w:t>de largo plazo. Para un inversionista, la implicancia es operativa: medir la</w:t>
      </w:r>
    </w:p>
    <w:p>
      <w:r>
        <w:t xml:space="preserve">exposición de Pucobre al cobre con una beta </w:t>
      </w:r>
      <w:r>
        <w:rPr>
          <w:b/>
        </w:rPr>
        <w:t>diaria</w:t>
      </w:r>
      <w:r>
        <w:t xml:space="preserve"> subestima su riesgo real en un</w:t>
      </w:r>
    </w:p>
    <w:p>
      <w:r>
        <w:t xml:space="preserve">factor cercano a </w:t>
      </w:r>
      <w:r>
        <w:rPr>
          <w:b/>
        </w:rPr>
        <w:t>ocho</w:t>
      </w:r>
      <w:r>
        <w:t xml:space="preserve"> (0.09 vs 0.75); la exposición sólo se aprecia correctamente</w:t>
      </w:r>
    </w:p>
    <w:p>
      <w:r>
        <w:t>a horizontes mensuales o superiores. Para un emisor pequeño, el resultado cuantifica</w:t>
      </w:r>
    </w:p>
    <w:p>
      <w:r>
        <w:t xml:space="preserve">un </w:t>
      </w:r>
      <w:r>
        <w:rPr>
          <w:b/>
        </w:rPr>
        <w:t>costo de iliquidez</w:t>
      </w:r>
      <w:r>
        <w:t>: el mercado tarda en reflejar las mejoras de su fundamento,</w:t>
      </w:r>
    </w:p>
    <w:p>
      <w:r>
        <w:t>lo que se traduce en mayor costo de capital y menor utilidad de la acción como</w:t>
      </w:r>
    </w:p>
    <w:p>
      <w:r>
        <w:t>instrumento de cobertura del riesgo-cobre en el corto plazo.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El signo negativo del DXY y la relación</w:t>
      </w:r>
    </w:p>
    <w:p>
      <w:r>
        <w:t>cobre↔moneda son coherentes con la literatura de commodity currencies (Chen-Rogoff;</w:t>
      </w:r>
    </w:p>
    <w:p>
      <w:r>
        <w:t>BCCh). La disociación corto/largo plazo por liquidez es consistente con Amihud (2002)</w:t>
      </w:r>
    </w:p>
    <w:p>
      <w:r>
        <w:t>y la teoría de microestructura.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 xml:space="preserve">unidireccional) y (ii) el control por factores globales y de moneda. </w:t>
      </w:r>
      <w:r>
        <w:rPr>
          <w:b/>
        </w:rPr>
        <w:t>Externa.</w:t>
      </w:r>
      <w:r>
        <w:t xml:space="preserve"> El</w:t>
      </w:r>
    </w:p>
    <w:p>
      <w:r>
        <w:t>núcleo del resultado (heterogeneidad por liquidez) es específico al contraste</w:t>
      </w:r>
    </w:p>
    <w:p>
      <w:r>
        <w:t>líquido/ilíquido y debería replicarse en otros small-caps de commodities en</w:t>
      </w:r>
    </w:p>
    <w:p>
      <w:r>
        <w:t>mercados emergentes; la generalización a todo el sector chileno está limitada por el</w:t>
      </w:r>
    </w:p>
    <w:p>
      <w:r>
        <w:t>N reducido.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>Metodológica (batería integrada y reproducible sobre un universo difícil), empírica</w:t>
      </w:r>
    </w:p>
    <w:p>
      <w:r>
        <w:t>(cuantificación del canal cobre→valoración para los pure-plays chilenos) y</w:t>
      </w:r>
    </w:p>
    <w:p>
      <w:r>
        <w:t>conceptual (prueba formal del descubrimiento de precios diferido por iliquidez).</w:t>
      </w:r>
    </w:p>
    <w:p>
      <w:pPr>
        <w:pStyle w:val="Heading3"/>
      </w:pPr>
      <w:r>
        <w:t>8.2 Líneas futuras</w:t>
      </w:r>
    </w:p>
    <w:p>
      <w:r>
        <w:t>Incorporar EMBI Chile y tasas locales del Banco Central; NARDL dinámico con</w:t>
      </w:r>
    </w:p>
    <w:p>
      <w:r>
        <w:t>multiplicadores acumulados asimétricos; estudio de eventos con sorpresa de TPM</w:t>
      </w:r>
    </w:p>
    <w:p>
      <w:r>
        <w:t>(expectativas de encuestas); medidas de iliquidez intradía y de Amihud por régimen;</w:t>
      </w:r>
    </w:p>
    <w:p>
      <w:r>
        <w:t>GARCH con saltos para Pucobre; extensión a un panel internacional de small-caps</w:t>
      </w:r>
    </w:p>
    <w:p>
      <w:r>
        <w:t>de commodities para testear la generalidad del mecanismo de liquidez.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Banco Central de Chile. Working Paper N°640. Copper, the Real Exchange Rate and Macroeconomic Fluctuations in Chile. https://www.bcentral.cl/en/content/-/details/working-papers-n-640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(1992); Andrews (1993, sup-tests de quiebre); Bai &amp; Perron (2003, quiebres múltiples).</w:t>
      </w:r>
    </w:p>
    <w:p>
      <w:r>
        <w:t>Evidencia empírica reciente (commodities, cobre, liquidez):</w:t>
      </w:r>
    </w:p>
    <w:p>
      <w:pPr>
        <w:pStyle w:val="ListBullet"/>
      </w:pPr>
      <w:r>
        <w:t>Mendiola, A., Chávez-Bedoya, L., &amp; Wallenstein, T. (2022). Analyzing the reaction of mining stocks to the development of copper prices. Emerging Markets Finance and Trade, 58(1), 244–266. https://doi.org/10.1080/1540496X.2019.1703103</w:t>
      </w:r>
    </w:p>
    <w:p>
      <w:pPr>
        <w:pStyle w:val="ListBullet"/>
      </w:pPr>
      <w:r>
        <w:t>Díaz, J. D., Hansen, E., &amp; Cabrera, G. (2021). Economic drivers of commodity volatility: the case of copper. Resources Policy, 73, 102224. https://doi.org/10.1016/j.resourpol.2021.102224</w:t>
      </w:r>
    </w:p>
    <w:p>
      <w:pPr>
        <w:pStyle w:val="ListBullet"/>
      </w:pPr>
      <w:r>
        <w:t>Gorton, G., &amp; Rouwenhorst, K. G. (2006). Facts and fantasies about commodity futures. Financial Analysts Journal, 62(2), 47–68. https://doi.org/10.2469/faj.v62.n2.4083</w:t>
      </w:r>
    </w:p>
    <w:p>
      <w:pPr>
        <w:pStyle w:val="ListBullet"/>
      </w:pPr>
      <w:r>
        <w:t>Kilian, L., &amp; Park, C. (2009). The impact of oil price shocks on the U.S. stock market. International Economic Review, 50(4), 1267–1287. https://doi.org/10.1111/j.1468-2354.2009.00568.x</w:t>
      </w:r>
    </w:p>
    <w:p>
      <w:pPr>
        <w:pStyle w:val="ListBullet"/>
      </w:pPr>
      <w:r>
        <w:t>Cashin, P., McDermott, C. J., &amp; Scott, A. (2002). Booms and slumps in world commodity prices. Journal of Development Economics, 69(1), 277–296. https://doi.org/10.1016/S0304-3878(02)00062-7</w:t>
      </w:r>
    </w:p>
    <w:p>
      <w:pPr>
        <w:pStyle w:val="ListBullet"/>
      </w:pPr>
      <w:r>
        <w:t>Bekaert, G., Harvey, C. R., &amp; Lundblad, C. (2007). Liquidity and expected returns: lessons from emerging markets. Review of Financial Studies, 20(6), 1783–1831. https://doi.org/10.1093/rfs/hhm030</w:t>
      </w:r>
    </w:p>
    <w:p>
      <w:pPr>
        <w:pStyle w:val="ListBullet"/>
      </w:pPr>
      <w:r>
        <w:t>Amihud, Y., Hameed, A., Kang, W., &amp; Zhang, H. (2015). The illiquidity premium: international evidence. Journal of Financial Economics, 117(2), 350–368. https://doi.org/10.1016/j.jfineco.2015.04.005</w:t>
      </w:r>
    </w:p>
    <w:p>
      <w:pPr>
        <w:pStyle w:val="ListBullet"/>
      </w:pPr>
      <w:r>
        <w:t>Cunado, J., &amp; Pérez de Gracia, F. (2014). Oil price shocks and stock market returns: evidence for some European countries. Energy Economics, 42, 365–377. https://doi.org/10.1016/j.eneco.2013.10.017</w:t>
      </w:r>
    </w:p>
    <w:p>
      <w:pPr>
        <w:pStyle w:val="ListBullet"/>
      </w:pPr>
      <w:r>
        <w:t>Jawadi, F., Arouri, M. E. H., &amp; Million, N. (2009). Stock market integration in the Latin American markets: further evidence from nonlinear modeling. [Preprint — verificar versión publicada].</w:t>
      </w:r>
    </w:p>
    <w:p>
      <w:pPr>
        <w:pStyle w:val="IntenseQuote"/>
      </w:pPr>
      <w:r>
        <w:t>Las referencias de este bloque fueron verificadas con DOI durante la investigación</w:t>
      </w:r>
    </w:p>
    <w:p>
      <w:pPr>
        <w:pStyle w:val="IntenseQuote"/>
      </w:pPr>
      <w:r>
        <w:t>bibliográfica de apoyo; restan por confirmar volumen/páginas exactos de algunas</w:t>
      </w:r>
    </w:p>
    <w:p>
      <w:pPr>
        <w:pStyle w:val="IntenseQuote"/>
      </w:pPr>
      <w:r>
        <w:t>(Amihud et al., 2015; Jawadi et al., 2009) antes de la entrega final.</w:t>
      </w:r>
    </w:p>
    <w:p>
      <w:r/>
      <w:r>
        <w:rPr>
          <w:b/>
        </w:rPr>
        <w:t>Data Availability Statement.</w:t>
      </w:r>
      <w:r>
        <w:t xml:space="preserve"> Todos los datos provienen de fuentes públicas:</w:t>
      </w:r>
    </w:p>
    <w:p>
      <w:r>
        <w:t>precios y volúmenes de Yahoo Finance (descarga 2026-05-30, vía la librería yfinance)</w:t>
      </w:r>
    </w:p>
    <w:p>
      <w:r>
        <w:t>y macro de Chile de la API pública mindicador.cl (TPM, IMACEC, IPC, dólar</w:t>
      </w:r>
    </w:p>
    <w:p>
      <w:r>
        <w:t>observado). El código de descarga, limpieza, estimación y exportación, los datos</w:t>
      </w:r>
    </w:p>
    <w:p>
      <w:r>
        <w:t>procesados, las 35+ tablas de salida y las 13 figuras están disponibles en el</w:t>
      </w:r>
    </w:p>
    <w:p>
      <w:r>
        <w:t>repositorio del proyecto, con scripts numerados que reproducen cada tabla y figura.</w:t>
      </w:r>
    </w:p>
    <w:p>
      <w:r>
        <w:t>No se emplearon datos propietarios ni restringidos.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 (reproducibilidad).</w:t>
      </w:r>
      <w:r/>
    </w:p>
    <w:p>
      <w:pPr>
        <w:pStyle w:val="ListBullet"/>
      </w:pPr>
      <w:r>
        <w:t>Anexo A — Figuras del análisis (series, ACF, IRF, volatilidad condicional, heatmap, iliquidez).</w:t>
      </w:r>
    </w:p>
    <w:p>
      <w:pPr>
        <w:pStyle w:val="ListBullet"/>
      </w:pPr>
      <w:r>
        <w:t>Anexo B — Código fuente: src/ (verificación de universo, ingesta, preparación, EDA, 13 módulos de modelos y exportadores).</w:t>
      </w:r>
    </w:p>
    <w:p>
      <w:pPr>
        <w:pStyle w:val="ListBullet"/>
      </w:pPr>
      <w:r>
        <w:t>Anexo C — Tablas de salida: outputs/tables/ (33 archivos CSV).</w:t>
      </w:r>
    </w:p>
    <w:p>
      <w:pPr>
        <w:pStyle w:val="ListBullet"/>
      </w:pPr>
      <w:r>
        <w:t>Anexo D — Desarrollo matemático de los modelos (a continuación).</w:t>
      </w:r>
    </w:p>
    <w:p>
      <w:pPr>
        <w:pStyle w:val="ListBullet"/>
      </w:pPr>
      <w:r>
        <w:t>Diccionario de datos: docs/diccionario_datos.md; decisiones fundacionales: docs/00_decisiones_fundacionales.md.</w:t>
      </w:r>
    </w:p>
    <w:p>
      <w:pPr>
        <w:pStyle w:val="ListBullet"/>
      </w:pPr>
      <w:r>
        <w:t>Entorno: requirements.txt (Python 3.13; statsmodels 0.14.6, arch 8.0, linearmodels 7.0, reportlab).</w:t>
      </w:r>
    </w:p>
    <w:p>
      <w:pPr>
        <w:pStyle w:val="Heading2"/>
      </w:pPr>
      <w:r>
        <w:t>Anexo D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