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after="40" w:line="276" w:lineRule="auto"/>
        <w:jc w:val="center"/>
      </w:pPr>
      <w:r>
        <w:rPr>
          <w:rFonts w:ascii="Times New Roman" w:hAnsi="Times New Roman"/>
          <w:b/>
          <w:i w:val="0"/>
          <w:color w:val="1B2A41"/>
          <w:sz w:val="36"/>
        </w:rPr>
        <w:t>UNIVERSIDAD SAN SEBASTIÁN</w:t>
      </w:r>
    </w:p>
    <w:p>
      <w:pPr>
        <w:spacing w:after="40" w:line="276" w:lineRule="auto"/>
        <w:jc w:val="center"/>
      </w:pPr>
      <w:r>
        <w:rPr>
          <w:rFonts w:ascii="Times New Roman" w:hAnsi="Times New Roman"/>
          <w:b w:val="0"/>
          <w:i w:val="0"/>
          <w:color w:val="555555"/>
          <w:sz w:val="24"/>
        </w:rPr>
        <w:t>Facultad de Economía y Negocios</w:t>
      </w:r>
    </w:p>
    <w:p>
      <w:pPr>
        <w:spacing w:after="480" w:line="276" w:lineRule="auto"/>
        <w:jc w:val="center"/>
      </w:pPr>
      <w:r>
        <w:rPr>
          <w:rFonts w:ascii="Times New Roman" w:hAnsi="Times New Roman"/>
          <w:b/>
          <w:i w:val="0"/>
          <w:sz w:val="26"/>
        </w:rPr>
        <w:t>Magíster en Data Science</w:t>
      </w:r>
    </w:p>
    <w:p/>
    <w:p/>
    <w:p>
      <w:pPr>
        <w:spacing w:after="120" w:line="276" w:lineRule="auto"/>
        <w:jc w:val="center"/>
      </w:pPr>
      <w:r>
        <w:rPr>
          <w:rFonts w:ascii="Times New Roman" w:hAnsi="Times New Roman"/>
          <w:b/>
          <w:i w:val="0"/>
          <w:color w:val="1B2A41"/>
          <w:sz w:val="36"/>
        </w:rPr>
        <w:t>Impacto de las variables macroeconómicas globales y financieras en la valoración bursátil del sector de minería de cobre en Chile</w:t>
      </w:r>
    </w:p>
    <w:p>
      <w:pPr>
        <w:spacing w:after="600" w:line="276" w:lineRule="auto"/>
        <w:jc w:val="center"/>
      </w:pPr>
      <w:r>
        <w:rPr>
          <w:rFonts w:ascii="Times New Roman" w:hAnsi="Times New Roman"/>
          <w:b w:val="0"/>
          <w:i/>
          <w:color w:val="555555"/>
          <w:sz w:val="24"/>
        </w:rPr>
        <w:t>Un análisis econométrico de series de tiempo y panel, 2004–2026</w:t>
      </w:r>
    </w:p>
    <w:p/>
    <w:p/>
    <w:p/>
    <w:p/>
    <w:p>
      <w:pPr>
        <w:spacing w:after="480" w:line="276" w:lineRule="auto"/>
        <w:jc w:val="center"/>
      </w:pPr>
      <w:r>
        <w:rPr>
          <w:rFonts w:ascii="Times New Roman" w:hAnsi="Times New Roman"/>
          <w:b w:val="0"/>
          <w:i/>
          <w:sz w:val="24"/>
        </w:rPr>
        <w:t>Tesis para optar al grado de Magíster en Data Science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Autor: ________________________</w:t>
      </w:r>
    </w:p>
    <w:p>
      <w:pPr>
        <w:spacing w:after="480" w:line="276" w:lineRule="auto"/>
        <w:jc w:val="center"/>
      </w:pPr>
      <w:r>
        <w:rPr>
          <w:rFonts w:ascii="Times New Roman" w:hAnsi="Times New Roman"/>
          <w:b w:val="0"/>
          <w:i w:val="0"/>
          <w:sz w:val="24"/>
        </w:rPr>
        <w:t>Profesor guía: ________________________</w:t>
      </w:r>
    </w:p>
    <w:p>
      <w:pPr>
        <w:spacing w:after="80" w:line="276" w:lineRule="auto"/>
        <w:jc w:val="center"/>
      </w:pPr>
      <w:r>
        <w:rPr>
          <w:rFonts w:ascii="Times New Roman" w:hAnsi="Times New Roman"/>
          <w:b/>
          <w:i w:val="0"/>
          <w:color w:val="1B2A41"/>
          <w:sz w:val="24"/>
        </w:rPr>
        <w:t>Santiago de Chile · 2026</w:t>
      </w:r>
    </w:p>
    <w:p>
      <w:r>
        <w:br w:type="page"/>
      </w:r>
    </w:p>
    <w:p>
      <w:pPr>
        <w:pStyle w:val="Heading1"/>
      </w:pPr>
      <w:r>
        <w:t>Índice</w:t>
      </w:r>
    </w:p>
    <w:p>
      <w:r>
        <w:fldChar w:fldCharType="begin"/>
        <w:instrText xml:space="preserve">TOC \o "1-3" \h \z \u</w:instrText>
        <w:fldChar w:fldCharType="separate"/>
        <w:t>Actualice este campo en Word (F9)</w:t>
        <w:fldChar w:fldCharType="end"/>
      </w:r>
    </w:p>
    <w:p>
      <w:r>
        <w:br w:type="page"/>
      </w:r>
    </w:p>
    <w:p>
      <w:r/>
      <w:r>
        <w:rPr>
          <w:b/>
        </w:rPr>
        <w:t>Un análisis econométrico de series de tiempo y datos de panel, 2004–2026</w:t>
      </w:r>
      <w:r/>
    </w:p>
    <w:p>
      <w:r>
        <w:t>Tesis para optar al grado de Magíster en Data Science · Facultad de Economía y Negocios · Universidad San Sebastián</w:t>
      </w:r>
    </w:p>
    <w:p>
      <w:r>
        <w:t>Nota de reproducibilidad. Los resultados numéricos de este trabajo provienen de</w:t>
      </w:r>
    </w:p>
    <w:p>
      <w:r>
        <w:t>estimaciones propias sobre datos de fuentes públicas (Yahoo Finance y la API del</w:t>
      </w:r>
    </w:p>
    <w:p>
      <w:r>
        <w:t>servicio de indicadores económicos mindicador.cl), recopilados en mayo de 2026. El</w:t>
      </w:r>
    </w:p>
    <w:p>
      <w:r>
        <w:t>código, los datos procesados y las tablas y figuras de salida se encuentran</w:t>
      </w:r>
    </w:p>
    <w:p>
      <w:r>
        <w:t>disponibles en el repositorio del proyecto, conforme a los estándares de</w:t>
      </w:r>
    </w:p>
    <w:p>
      <w:r>
        <w:t>reproducibilidad de la disciplina (véase la Declaración de disponibilidad de datos</w:t>
      </w:r>
    </w:p>
    <w:p>
      <w:r>
        <w:t>en el Capítulo 9).</w:t>
      </w:r>
    </w:p>
    <w:p>
      <w:pPr>
        <w:pStyle w:val="Heading2"/>
      </w:pPr>
      <w:r>
        <w:t>Dedicatoria</w:t>
      </w:r>
    </w:p>
    <w:p>
      <w:r>
        <w:t>A quienes acompañaron este proceso.</w:t>
      </w:r>
    </w:p>
    <w:p>
      <w:pPr>
        <w:pStyle w:val="Heading2"/>
      </w:pPr>
      <w:r>
        <w:t>Agradecimientos</w:t>
      </w:r>
    </w:p>
    <w:p>
      <w:r>
        <w:t>Expreso mi gratitud al profesor guía por su orientación y rigor a lo largo del</w:t>
      </w:r>
    </w:p>
    <w:p>
      <w:r>
        <w:t>desarrollo de esta tesis, y al cuerpo académico del Magíster en Data Science de la</w:t>
      </w:r>
    </w:p>
    <w:p>
      <w:r>
        <w:t>Universidad San Sebastián por la formación recibida. Agradezco asimismo a las</w:t>
      </w:r>
    </w:p>
    <w:p>
      <w:r>
        <w:t>instituciones que ponen a disposición pública los datos que hicieron posible este</w:t>
      </w:r>
    </w:p>
    <w:p>
      <w:r>
        <w:t>trabajo —en particular los proveedores de información de mercado y el servicio de</w:t>
      </w:r>
    </w:p>
    <w:p>
      <w:r>
        <w:t>indicadores económicos nacionales—, cuya apertura es condición de la investigación</w:t>
      </w:r>
    </w:p>
    <w:p>
      <w:r>
        <w:t>reproducible. Finalmente, agradezco a mi familia y a quienes me acompañaron durante</w:t>
      </w:r>
    </w:p>
    <w:p>
      <w:r>
        <w:t>este proceso por su apoyo constante.</w:t>
      </w:r>
    </w:p>
    <w:p>
      <w:pPr>
        <w:pStyle w:val="Heading2"/>
      </w:pPr>
      <w:r>
        <w:t>Resumen</w:t>
      </w:r>
    </w:p>
    <w:p>
      <w:r>
        <w:t>Esta tesis cuantifica el impacto de las variables macroeconómicas globales y</w:t>
      </w:r>
    </w:p>
    <w:p>
      <w:r>
        <w:t>financieras sobre el precio y el retorno de las acciones del sector de minería de</w:t>
      </w:r>
    </w:p>
    <w:p>
      <w:r>
        <w:t>cobre vinculadas a Chile, durante el período 2004–2026 a frecuencia diaria. El</w:t>
      </w:r>
    </w:p>
    <w:p>
      <w:r>
        <w:t>problema empírico parte de una restricción estructural del mercado de capitales</w:t>
      </w:r>
    </w:p>
    <w:p>
      <w:r>
        <w:t>chileno: el universo de mineras de cobre cotizadas es mínimo. Resolviéndolo con</w:t>
      </w:r>
    </w:p>
    <w:p>
      <w:r>
        <w:t>verificación empírica, se identifican dos pure-plays de cobre —Antofagasta plc,</w:t>
      </w:r>
    </w:p>
    <w:p>
      <w:r>
        <w:t>cross-listed en Londres, y Pucobre, único productor de cobre puro listado</w:t>
      </w:r>
    </w:p>
    <w:p>
      <w:r>
        <w:t>directamente en la Bolsa de Santiago— complementados por un panel sectorial de</w:t>
      </w:r>
    </w:p>
    <w:p>
      <w:r>
        <w:t>minería-materiales (CAP, SQM) y por referencias internacionales del cobre (Southern</w:t>
      </w:r>
    </w:p>
    <w:p>
      <w:r>
        <w:t>Copper, Freeport-McMoRan, BHP, Glencore) que aportan validez externa.</w:t>
      </w:r>
    </w:p>
    <w:p>
      <w:r>
        <w:t>Metodológicamente, el diseño se deriva de las propiedades estadísticas de las</w:t>
      </w:r>
    </w:p>
    <w:p>
      <w:r>
        <w:t>series: los log-precios resultan integrados de orden uno, I(1), y los retornos</w:t>
      </w:r>
    </w:p>
    <w:p>
      <w:r>
        <w:t>estacionarios, I(0), lo que habilita una batería complementaria de técnicas —</w:t>
      </w:r>
    </w:p>
    <w:p>
      <w:r>
        <w:t>regresión con errores robustos a heterocedasticidad y autocorrelación (HAC,</w:t>
      </w:r>
    </w:p>
    <w:p>
      <w:r>
        <w:t>Newey-West), modelos vectoriales autorregresivos (VAR) con funciones</w:t>
      </w:r>
    </w:p>
    <w:p>
      <w:r>
        <w:t>impulso-respuesta y descomposición de varianza, cointegración de Johansen y modelos</w:t>
      </w:r>
    </w:p>
    <w:p>
      <w:r>
        <w:t>de corrección de error vectorial (VECM), modelos ARDL/NARDL de retardos</w:t>
      </w:r>
    </w:p>
    <w:p>
      <w:r>
        <w:t>distribuidos con prueba de límites, causalidad de Toda-Yamamoto robusta a la</w:t>
      </w:r>
    </w:p>
    <w:p>
      <w:r>
        <w:t>integración, modelos de volatilidad condicional de la familia GARCH, datos de panel</w:t>
      </w:r>
    </w:p>
    <w:p>
      <w:r>
        <w:t>con efectos fijos/aleatorios, un estudio de eventos sobre los anuncios de política</w:t>
      </w:r>
    </w:p>
    <w:p>
      <w:r>
        <w:t>monetaria y una prueba formal del rol de la iliquidez basada en el ratio de Amihud.</w:t>
      </w:r>
    </w:p>
    <w:p>
      <w:r>
        <w:t>El hallazgo central es una **disociación entre el corto y el largo plazo gobernada</w:t>
      </w:r>
    </w:p>
    <w:p>
      <w:r>
        <w:t>por la liquidez del activo*. El pure-play* líquido (Antofagasta) incorpora el</w:t>
      </w:r>
    </w:p>
    <w:p>
      <w:r>
        <w:t>precio del cobre de forma casi instantánea: su elasticidad-cobre contemporánea es</w:t>
      </w:r>
    </w:p>
    <w:p>
      <w:r>
        <w:t>0.70 y el cobre explica cerca del 28% de la varianza de su retorno. El pure-play</w:t>
      </w:r>
    </w:p>
    <w:p>
      <w:r>
        <w:t>local e ilíquido (Pucobre), que no registra transacciones en el 62% de las</w:t>
      </w:r>
    </w:p>
    <w:p>
      <w:r>
        <w:t>jornadas, exhibe una transmisión contemporánea casi nula (elasticidad de 0.09,</w:t>
      </w:r>
    </w:p>
    <w:p>
      <w:r>
        <w:t>R² de 0.04), pero su sensibilidad al cobre **crece monótonamente con el horizonte</w:t>
      </w:r>
    </w:p>
    <w:p>
      <w:r>
        <w:t>temporal**: 0.09 (diaria) → 0.42 (acumulada a cinco días) → 0.60 (mensual) → 0.75</w:t>
      </w:r>
    </w:p>
    <w:p>
      <w:r>
        <w:t>(largo plazo de cointegración), magnitud esta última estadísticamente comparable a</w:t>
      </w:r>
    </w:p>
    <w:p>
      <w:r>
        <w:t xml:space="preserve">la de Antofagasta (0.86). La iliquidez, por tanto, </w:t>
      </w:r>
      <w:r>
        <w:rPr>
          <w:b/>
        </w:rPr>
        <w:t>retrasa pero no elimina</w:t>
      </w:r>
      <w:r>
        <w:t xml:space="preserve"> la</w:t>
      </w:r>
    </w:p>
    <w:p>
      <w:r>
        <w:t>transmisión del fundamento cobre→valoración: es una manifestación nítida de</w:t>
      </w:r>
    </w:p>
    <w:p>
      <w:r>
        <w:t>descubrimiento de precios lento en un mercado emergente pequeño. Resultados</w:t>
      </w:r>
    </w:p>
    <w:p>
      <w:r>
        <w:t>complementarios documentan asimetría de largo plazo en Antofagasta (responde de</w:t>
      </w:r>
    </w:p>
    <w:p>
      <w:r>
        <w:t>forma distinta a alzas y caídas del cobre), persistencia y efecto apalancamiento en</w:t>
      </w:r>
    </w:p>
    <w:p>
      <w:r>
        <w:t>la volatilidad, predominio de los factores globales (cobre, dólar) por sobre la</w:t>
      </w:r>
    </w:p>
    <w:p>
      <w:r>
        <w:t>política monetaria doméstica, y causalidad unidireccional cobre→acción.</w:t>
      </w:r>
    </w:p>
    <w:p>
      <w:r/>
      <w:r>
        <w:rPr>
          <w:b/>
        </w:rPr>
        <w:t>Palabras clave:</w:t>
      </w:r>
      <w:r>
        <w:t xml:space="preserve"> cobre; valoración bursátil; Chile; cointegración; VECM; NARDL;</w:t>
      </w:r>
    </w:p>
    <w:p>
      <w:r>
        <w:t>GARCH; iliquidez de Amihud; descubrimiento de precios; econometría financiera.</w:t>
      </w:r>
    </w:p>
    <w:p>
      <w:pPr>
        <w:pStyle w:val="Heading2"/>
      </w:pPr>
      <w:r>
        <w:t>Abstract</w:t>
      </w:r>
    </w:p>
    <w:p>
      <w:r>
        <w:t>This thesis quantifies the impact of global macroeconomic and financial variables on</w:t>
      </w:r>
    </w:p>
    <w:p>
      <w:r>
        <w:t>the price and returns of copper-mining equities linked to Chile, over 2004–2026 at</w:t>
      </w:r>
    </w:p>
    <w:p>
      <w:r>
        <w:t>daily frequency. The empirical problem begins from a structural constraint of the</w:t>
      </w:r>
    </w:p>
    <w:p>
      <w:r>
        <w:t>Chilean capital market: the listed copper-mining universe is minimal. Resolving it</w:t>
      </w:r>
    </w:p>
    <w:p>
      <w:r>
        <w:t>empirically, we identify two copper pure-plays —Antofagasta plc (London</w:t>
      </w:r>
    </w:p>
    <w:p>
      <w:r>
        <w:t>cross-listed) and Pucobre, the only pure-copper producer listed directly on the</w:t>
      </w:r>
    </w:p>
    <w:p>
      <w:r>
        <w:t>Santiago Exchange— complemented by a sector panel (CAP, SQM) and by international</w:t>
      </w:r>
    </w:p>
    <w:p>
      <w:r>
        <w:t>copper benchmarks (Southern Copper, Freeport-McMoRan, BHP, Glencore) providing</w:t>
      </w:r>
    </w:p>
    <w:p>
      <w:r>
        <w:t>external validity.</w:t>
      </w:r>
    </w:p>
    <w:p>
      <w:r>
        <w:t>The design follows the data's statistical properties: log-prices are I(1) and</w:t>
      </w:r>
    </w:p>
    <w:p>
      <w:r>
        <w:t>returns I(0), enabling a complementary toolkit —HAC (Newey-West) regression, VAR</w:t>
      </w:r>
    </w:p>
    <w:p>
      <w:r>
        <w:t>with impulse-response functions and variance decomposition, Johansen cointegration</w:t>
      </w:r>
    </w:p>
    <w:p>
      <w:r>
        <w:t>and VECM, ARDL/NARDL bounds testing, Toda-Yamamoto causality robust to integration,</w:t>
      </w:r>
    </w:p>
    <w:p>
      <w:r>
        <w:t>GARCH-family conditional-volatility models, panel fixed/random effects, an event</w:t>
      </w:r>
    </w:p>
    <w:p>
      <w:r>
        <w:t>study around monetary-policy announcements, and a formal test of illiquidity based</w:t>
      </w:r>
    </w:p>
    <w:p>
      <w:r>
        <w:t>on the Amihud ratio.</w:t>
      </w:r>
    </w:p>
    <w:p>
      <w:r>
        <w:t>The central finding is a **liquidity-governed dissociation between short- and</w:t>
      </w:r>
    </w:p>
    <w:p>
      <w:r>
        <w:t>long-run transmission**. The liquid pure-play (Antofagasta) prices copper almost</w:t>
      </w:r>
    </w:p>
    <w:p>
      <w:r>
        <w:t>instantaneously (contemporaneous copper-elasticity 0.70; copper explains ~28% of</w:t>
      </w:r>
    </w:p>
    <w:p>
      <w:r>
        <w:t>return variance). The illiquid local pure-play (Pucobre), which does not trade on</w:t>
      </w:r>
    </w:p>
    <w:p>
      <w:r>
        <w:t>62% of days, shows near-zero contemporaneous transmission (elasticity 0.09, R²</w:t>
      </w:r>
    </w:p>
    <w:p>
      <w:r>
        <w:t xml:space="preserve">0.04), yet its copper-sensitivity </w:t>
      </w:r>
      <w:r>
        <w:rPr>
          <w:b/>
        </w:rPr>
        <w:t>grows monotonically with the horizon</w:t>
      </w:r>
      <w:r>
        <w:t>: 0.09</w:t>
      </w:r>
    </w:p>
    <w:p>
      <w:r>
        <w:t>(daily) → 0.42 (5-day cumulative) → 0.60 (monthly) → 0.75 (long-run cointegration),</w:t>
      </w:r>
    </w:p>
    <w:p>
      <w:r>
        <w:t>the latter statistically comparable to Antofagasta's 0.86. Illiquidity therefore</w:t>
      </w:r>
    </w:p>
    <w:p>
      <w:r/>
      <w:r>
        <w:rPr>
          <w:b/>
        </w:rPr>
        <w:t>delays but does not eliminate</w:t>
      </w:r>
      <w:r>
        <w:t xml:space="preserve"> the copper→valuation transmission — a clear</w:t>
      </w:r>
    </w:p>
    <w:p>
      <w:r>
        <w:t>manifestation of slow price discovery in a small emerging market.</w:t>
      </w:r>
    </w:p>
    <w:p>
      <w:r/>
      <w:r>
        <w:rPr>
          <w:b/>
        </w:rPr>
        <w:t>Keywords:</w:t>
      </w:r>
      <w:r>
        <w:t xml:space="preserve"> copper; equity valuation; Chile; cointegration; VECM; NARDL; GARCH;</w:t>
      </w:r>
    </w:p>
    <w:p>
      <w:r>
        <w:t>Amihud illiquidity; price discovery; financial econometrics.</w:t>
      </w:r>
    </w:p>
    <w:p>
      <w:pPr>
        <w:pStyle w:val="Heading2"/>
      </w:pPr>
      <w:r>
        <w:t>Notación y abreviaturas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1. Notación y abreviaturas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3"/>
        <w:gridCol w:w="4323"/>
      </w:tblGrid>
      <w:tr>
        <w:tc>
          <w:tcPr>
            <w:tcW w:type="dxa" w:w="432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Símbolo / sigla</w:t>
            </w:r>
          </w:p>
        </w:tc>
        <w:tc>
          <w:tcPr>
            <w:tcW w:type="dxa" w:w="4323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Significado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P_t, r_t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Precio y log-retorno del activo en t; r_t = 100·(ln P_t − ln P_{t−1})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I(d)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Serie integrada de orden d (estacionaria tras d diferencias)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HAC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Heteroskedasticity and Autocorrelation Consistent (errores de Newey-West)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ADF, PP, KPSS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Pruebas de raíz unitaria de Dickey-Fuller aumentada, Phillips-Perron y Kwiatkowski et al.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VAR / VECM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Vector autorregresivo / de corrección de error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IRF / FEVD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Función impulso-respuesta / descomposición de la varianza del error de predicción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ARDL / NARDL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Autorregresivo de retardos distribuidos / su versión no lineal (asimétrica)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 / EGARCH / GJR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Modelos de volatilidad condicional (Bollerslev; Nelson; Glosten-Jagannathan-Runkle)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ILLIQ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Ratio de iliquidez de Amihud (2002)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TPM / IMACEC / IPC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Tasa de política monetaria, índice mensual de actividad económica, índice de precios al consumidor (Chile)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DXY / VIX / WTI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Índice dólar, índice de volatilidad implícita del S&amp;P 500, petróleo West Texas Intermediate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CAAR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Cumulative Average Abnormal Return (retorno anormal acumulado promedio)</w:t>
            </w:r>
          </w:p>
        </w:tc>
      </w:tr>
      <w:tr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ANTO, PUCOBRE</w:t>
            </w:r>
          </w:p>
        </w:tc>
        <w:tc>
          <w:tcPr>
            <w:tcW w:type="dxa" w:w="4323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Antofagasta plc (LSE), Pucobre / Sociedad Punta del Cobre (Santiago)</w:t>
            </w:r>
          </w:p>
        </w:tc>
      </w:tr>
    </w:tbl>
    <w:p>
      <w:pPr>
        <w:spacing w:after="80"/>
      </w:pPr>
    </w:p>
    <w:p>
      <w:pPr>
        <w:pStyle w:val="Heading2"/>
      </w:pPr>
      <w:r>
        <w:t>Glosario de términos</w:t>
      </w:r>
    </w:p>
    <w:p>
      <w:pPr>
        <w:pStyle w:val="ListBullet"/>
      </w:pPr>
      <w:r/>
      <w:r>
        <w:rPr>
          <w:b/>
        </w:rPr>
        <w:t>Cointegración.</w:t>
      </w:r>
      <w:r>
        <w:t xml:space="preserve"> Propiedad por la cual dos o más series no estacionarias comparten</w:t>
      </w:r>
    </w:p>
    <w:p>
      <w:r>
        <w:t>una tendencia estocástica común, de modo que existe una combinación lineal de ellas</w:t>
      </w:r>
    </w:p>
    <w:p>
      <w:r>
        <w:t>que sí es estacionaria; representa una relación de equilibrio de largo plazo.</w:t>
      </w:r>
    </w:p>
    <w:p>
      <w:pPr>
        <w:pStyle w:val="ListBullet"/>
      </w:pPr>
      <w:r/>
      <w:r>
        <w:rPr>
          <w:b/>
        </w:rPr>
        <w:t>Commodity currency (moneda-commodity).</w:t>
      </w:r>
      <w:r>
        <w:t xml:space="preserve"> Moneda de una economía exportadora de</w:t>
      </w:r>
    </w:p>
    <w:p>
      <w:r>
        <w:t>materias primas cuyo valor está estrechamente ligado al precio mundial de su canasta</w:t>
      </w:r>
    </w:p>
    <w:p>
      <w:r>
        <w:t>exportadora; el peso chileno es un ejemplo arquetípico por su vínculo con el cobre.</w:t>
      </w:r>
    </w:p>
    <w:p>
      <w:pPr>
        <w:pStyle w:val="ListBullet"/>
      </w:pPr>
      <w:r/>
      <w:r>
        <w:rPr>
          <w:b/>
        </w:rPr>
        <w:t>Cross-listing.</w:t>
      </w:r>
      <w:r>
        <w:t xml:space="preserve"> Cotización de una empresa en una bolsa distinta de la de su país</w:t>
      </w:r>
    </w:p>
    <w:p>
      <w:r>
        <w:t>de operación; Antofagasta opera en Chile pero cotiza en Londres.</w:t>
      </w:r>
    </w:p>
    <w:p>
      <w:pPr>
        <w:pStyle w:val="ListBullet"/>
      </w:pPr>
      <w:r/>
      <w:r>
        <w:rPr>
          <w:b/>
        </w:rPr>
        <w:t>Descubrimiento de precios (price discovery).</w:t>
      </w:r>
      <w:r>
        <w:t xml:space="preserve"> Proceso mediante el cual la</w:t>
      </w:r>
    </w:p>
    <w:p>
      <w:r>
        <w:t>información disponible se incorpora a los precios de mercado; en activos ilíquidos</w:t>
      </w:r>
    </w:p>
    <w:p>
      <w:r>
        <w:t>este proceso es más lento.</w:t>
      </w:r>
    </w:p>
    <w:p>
      <w:pPr>
        <w:pStyle w:val="ListBullet"/>
      </w:pPr>
      <w:r/>
      <w:r>
        <w:rPr>
          <w:b/>
        </w:rPr>
        <w:t>Efecto apalancamiento (leverage effect).</w:t>
      </w:r>
      <w:r>
        <w:t xml:space="preserve"> Tendencia de la volatilidad a aumentar</w:t>
      </w:r>
    </w:p>
    <w:p>
      <w:r>
        <w:t>más tras caídas de precio que tras alzas de igual magnitud.</w:t>
      </w:r>
    </w:p>
    <w:p>
      <w:pPr>
        <w:pStyle w:val="ListBullet"/>
      </w:pPr>
      <w:r/>
      <w:r>
        <w:rPr>
          <w:b/>
        </w:rPr>
        <w:t>Elasticidad-cobre.</w:t>
      </w:r>
      <w:r>
        <w:t xml:space="preserve"> Variación porcentual del precio (o retorno) de una acción ante</w:t>
      </w:r>
    </w:p>
    <w:p>
      <w:r>
        <w:t>una variación de 1% en el precio del cobre.</w:t>
      </w:r>
    </w:p>
    <w:p>
      <w:pPr>
        <w:pStyle w:val="ListBullet"/>
      </w:pPr>
      <w:r/>
      <w:r>
        <w:rPr>
          <w:b/>
        </w:rPr>
        <w:t>Iliquidez.</w:t>
      </w:r>
      <w:r>
        <w:t xml:space="preserve"> Dificultad para transar un activo sin afectar su precio; aquí se mide,</w:t>
      </w:r>
    </w:p>
    <w:p>
      <w:r>
        <w:t>entre otras, con el ratio de Amihud y el porcentaje de días sin transacción.</w:t>
      </w:r>
    </w:p>
    <w:p>
      <w:pPr>
        <w:pStyle w:val="ListBullet"/>
      </w:pPr>
      <w:r/>
      <w:r>
        <w:rPr>
          <w:b/>
        </w:rPr>
        <w:t>Pure-play.</w:t>
      </w:r>
      <w:r>
        <w:t xml:space="preserve"> Empresa cuyo negocio se concentra en una sola actividad; un pure-play</w:t>
      </w:r>
    </w:p>
    <w:p>
      <w:r>
        <w:t>de cobre obtiene la mayor parte de sus ingresos de ese metal.</w:t>
      </w:r>
    </w:p>
    <w:p>
      <w:pPr>
        <w:pStyle w:val="ListBullet"/>
      </w:pPr>
      <w:r/>
      <w:r>
        <w:rPr>
          <w:b/>
        </w:rPr>
        <w:t>Velocidad de ajuste.</w:t>
      </w:r>
      <w:r>
        <w:t xml:space="preserve"> Proporción del desequilibrio respecto de la relación de</w:t>
      </w:r>
    </w:p>
    <w:p>
      <w:r>
        <w:t>largo plazo que se corrige por período en un modelo de corrección de error.</w:t>
      </w:r>
    </w:p>
    <w:p>
      <w:pPr>
        <w:pStyle w:val="Heading2"/>
      </w:pPr>
      <w:r>
        <w:t>1. Introducción</w:t>
      </w:r>
    </w:p>
    <w:p>
      <w:pPr>
        <w:pStyle w:val="Heading3"/>
      </w:pPr>
      <w:r>
        <w:t>1.1 Contextualización</w:t>
      </w:r>
    </w:p>
    <w:p>
      <w:r>
        <w:t>Chile es la mayor economía cuprífera del planeta. El cobre concentra una fracción</w:t>
      </w:r>
    </w:p>
    <w:p>
      <w:r>
        <w:t>dominante de sus exportaciones y constituye un canal de primer orden en la</w:t>
      </w:r>
    </w:p>
    <w:p>
      <w:r>
        <w:t>transmisión de los ciclos globales hacia la actividad, el tipo de cambio y los</w:t>
      </w:r>
    </w:p>
    <w:p>
      <w:r>
        <w:t>mercados financieros nacionales. Esta centralidad del metal vuelve económicamente</w:t>
      </w:r>
    </w:p>
    <w:p>
      <w:r>
        <w:t>relevante una pregunta que, sin embargo, ha recibido escasa atención empírica</w:t>
      </w:r>
    </w:p>
    <w:p>
      <w:r>
        <w:t>directa: ¿en qué medida y con qué dinámica se transmiten el precio del cobre y las</w:t>
      </w:r>
    </w:p>
    <w:p>
      <w:r>
        <w:t xml:space="preserve">condiciones macro-financieras globales a la </w:t>
      </w:r>
      <w:r>
        <w:rPr>
          <w:b/>
        </w:rPr>
        <w:t>valoración bursátil</w:t>
      </w:r>
      <w:r>
        <w:t xml:space="preserve"> de las propias</w:t>
      </w:r>
    </w:p>
    <w:p>
      <w:r>
        <w:t>empresas mineras del país?</w:t>
      </w:r>
    </w:p>
    <w:p>
      <w:r>
        <w:t>Chile aporta una fracción cercana a un cuarto de la producción mundial de cobre de</w:t>
      </w:r>
    </w:p>
    <w:p>
      <w:r>
        <w:t>mina y el metal concentra del orden de la mitad de su canasta exportadora; el cobre</w:t>
      </w:r>
    </w:p>
    <w:p>
      <w:r>
        <w:t>es, además, una fuente fiscal de primer orden vía Codelco y los impuestos a la gran</w:t>
      </w:r>
    </w:p>
    <w:p>
      <w:r>
        <w:t>minería privada. Esta dependencia estructural explica por qué los ciclos del precio</w:t>
      </w:r>
    </w:p>
    <w:p>
      <w:r>
        <w:t>del cobre —el superciclo de 2004–2011, el desplome de 2008, el shock de la pandemia</w:t>
      </w:r>
    </w:p>
    <w:p>
      <w:r>
        <w:t>en 2020 y el repunte pospandemia de 2021— se transmiten con fuerza a la actividad, al</w:t>
      </w:r>
    </w:p>
    <w:p>
      <w:r>
        <w:t>tipo de cambio y a los mercados financieros locales, y vuelve natural preguntarse por</w:t>
      </w:r>
    </w:p>
    <w:p>
      <w:r>
        <w:t>su impacto en la valoración de las propias mineras.</w:t>
      </w:r>
    </w:p>
    <w:p>
      <w:r>
        <w:t>La literatura chilena ha estudiado con profundidad el canal cobre→tipo de</w:t>
      </w:r>
    </w:p>
    <w:p>
      <w:r>
        <w:t>cambio→macroeconomía, estableciendo al peso chileno como una commodity currency.</w:t>
      </w:r>
    </w:p>
    <w:p>
      <w:r>
        <w:t>Es comparativamente escasa, en cambio, la evidencia que cuantifique el eslabón</w:t>
      </w:r>
    </w:p>
    <w:p>
      <w:r>
        <w:t>final de esa cadena —la valoración accionaria de las mineras— y, sobre todo, que lo</w:t>
      </w:r>
    </w:p>
    <w:p>
      <w:r>
        <w:t>haga distinguiendo el horizonte temporal del impacto y el papel de la</w:t>
      </w:r>
    </w:p>
    <w:p>
      <w:r/>
      <w:r>
        <w:rPr>
          <w:b/>
        </w:rPr>
        <w:t>microestructura de mercado</w:t>
      </w:r>
      <w:r>
        <w:t xml:space="preserve"> (liquidez, descubrimiento de precios). Esa es la</w:t>
      </w:r>
    </w:p>
    <w:p>
      <w:r>
        <w:t>brecha que esta tesis aborda.</w:t>
      </w:r>
    </w:p>
    <w:p>
      <w:pPr>
        <w:pStyle w:val="Heading3"/>
      </w:pPr>
      <w:r>
        <w:t>1.2 Planteamiento del problema</w:t>
      </w:r>
    </w:p>
    <w:p>
      <w:r>
        <w:t>El estudio enfrenta de entrada una restricción estructural decisiva: el universo de</w:t>
      </w:r>
    </w:p>
    <w:p>
      <w:r>
        <w:t xml:space="preserve">mineras de cobre cotizadas vinculadas a Chile es </w:t>
      </w:r>
      <w:r>
        <w:rPr>
          <w:b/>
        </w:rPr>
        <w:t>muy reducido</w:t>
      </w:r>
      <w:r>
        <w:t>. La mayor</w:t>
      </w:r>
    </w:p>
    <w:p>
      <w:r>
        <w:t>productora, Codelco, es estatal y no transa en renta variable; los pure-plays de</w:t>
      </w:r>
    </w:p>
    <w:p>
      <w:r>
        <w:t>cobre con operación chilena listados se cuentan con los dedos de una mano. Esta</w:t>
      </w:r>
    </w:p>
    <w:p>
      <w:r>
        <w:t>escasez condiciona todo el diseño metodológico —limita la potencia de los enfoques</w:t>
      </w:r>
    </w:p>
    <w:p>
      <w:r>
        <w:t>de panel y obliga a apoyarse en series de tiempo por activo— y, paradójicamente,</w:t>
      </w:r>
    </w:p>
    <w:p>
      <w:r>
        <w:t>abre la oportunidad analítica central de la tesis: contrastar un pure-play líquido</w:t>
      </w:r>
    </w:p>
    <w:p>
      <w:r>
        <w:t>y cross-listed (Antofagasta) con un pure-play local e ilíquido (Pucobre),</w:t>
      </w:r>
    </w:p>
    <w:p>
      <w:r>
        <w:t>aislando el efecto de la liquidez sobre la transmisión.</w:t>
      </w:r>
    </w:p>
    <w:p>
      <w:pPr>
        <w:pStyle w:val="Heading3"/>
      </w:pPr>
      <w:r>
        <w:t>1.3 Pregunta de investigación</w:t>
      </w:r>
    </w:p>
    <w:p>
      <w:pPr>
        <w:pStyle w:val="IntenseQuote"/>
      </w:pPr>
      <w:r>
        <w:t>¿Cuál es la magnitud, el signo y la dinámica —de corto y de largo plazo— del</w:t>
      </w:r>
    </w:p>
    <w:p>
      <w:pPr>
        <w:pStyle w:val="IntenseQuote"/>
      </w:pPr>
      <w:r>
        <w:t>impacto del precio del cobre y de los factores macro-financieros globales y</w:t>
      </w:r>
    </w:p>
    <w:p>
      <w:pPr>
        <w:pStyle w:val="IntenseQuote"/>
      </w:pPr>
      <w:r>
        <w:t>nacionales (tipo de cambio, dólar global, tasas de interés, riesgo de mercado,</w:t>
      </w:r>
    </w:p>
    <w:p>
      <w:pPr>
        <w:pStyle w:val="IntenseQuote"/>
      </w:pPr>
      <w:r>
        <w:t>política monetaria) sobre el precio y el retorno de las acciones de minería de</w:t>
      </w:r>
    </w:p>
    <w:p>
      <w:pPr>
        <w:pStyle w:val="IntenseQuote"/>
      </w:pPr>
      <w:r>
        <w:t>cobre vinculadas a Chile, y cómo modula la liquidez del activo dicha transmisión?</w:t>
      </w:r>
    </w:p>
    <w:p>
      <w:pPr>
        <w:pStyle w:val="Heading3"/>
      </w:pPr>
      <w:r>
        <w:t>1.4 Objetivos</w:t>
      </w:r>
    </w:p>
    <w:p>
      <w:r/>
      <w:r>
        <w:rPr>
          <w:b/>
        </w:rPr>
        <w:t>Objetivo general.</w:t>
      </w:r>
      <w:r>
        <w:t xml:space="preserve"> Analizar y cuantificar el impacto de las variables</w:t>
      </w:r>
    </w:p>
    <w:p>
      <w:r>
        <w:t>macroeconómicas globales y financieras sobre el precio y el retorno de las acciones</w:t>
      </w:r>
    </w:p>
    <w:p>
      <w:r>
        <w:t>de minería de cobre vinculadas a Chile en 2004–2026, mediante modelos econométricos</w:t>
      </w:r>
    </w:p>
    <w:p>
      <w:r>
        <w:t>de series de tiempo y de panel, con un enfoque explicativo y de medición de impacto</w:t>
      </w:r>
    </w:p>
    <w:p>
      <w:r>
        <w:t>(no predictivo).</w:t>
      </w:r>
    </w:p>
    <w:p>
      <w:r/>
      <w:r>
        <w:rPr>
          <w:b/>
        </w:rPr>
        <w:t>Objetivos específicos.</w:t>
      </w:r>
      <w:r/>
    </w:p>
    <w:p>
      <w:pPr>
        <w:pStyle w:val="ListNumber"/>
      </w:pPr>
      <w:r>
        <w:t>Resolver operacionalmente, con verificación empírica, el universo de empresas.</w:t>
      </w:r>
    </w:p>
    <w:p>
      <w:pPr>
        <w:pStyle w:val="ListNumber"/>
      </w:pPr>
      <w:r>
        <w:t>Caracterizar las propiedades estadísticas de precios y retornos (estacionariedad,</w:t>
      </w:r>
    </w:p>
    <w:p>
      <w:r>
        <w:t>colas, volatilidad, quiebres estructurales).</w:t>
      </w:r>
    </w:p>
    <w:p>
      <w:pPr>
        <w:pStyle w:val="ListNumber"/>
      </w:pPr>
      <w:r>
        <w:t>Estimar el impacto contemporáneo de los factores sobre los retornos (HAC) y su</w:t>
      </w:r>
    </w:p>
    <w:p>
      <w:r>
        <w:t>dinámica (VAR, IRF, FEVD, causalidad).</w:t>
      </w:r>
    </w:p>
    <w:p>
      <w:pPr>
        <w:pStyle w:val="ListNumber"/>
      </w:pPr>
      <w:r>
        <w:t>Estimar y validar la relación de largo plazo cobre→valoración (cointegración de</w:t>
      </w:r>
    </w:p>
    <w:p>
      <w:r>
        <w:t>Johansen, VECM) y su robustez (ARDL/NARDL).</w:t>
      </w:r>
    </w:p>
    <w:p>
      <w:pPr>
        <w:pStyle w:val="ListNumber"/>
      </w:pPr>
      <w:r>
        <w:t>Modelar la volatilidad condicional y el efecto apalancamiento (familia GARCH).</w:t>
      </w:r>
    </w:p>
    <w:p>
      <w:pPr>
        <w:pStyle w:val="ListNumber"/>
      </w:pPr>
      <w:r>
        <w:t>Contrastar resultados mediante un panel sectorial, un estudio de eventos de</w:t>
      </w:r>
    </w:p>
    <w:p>
      <w:r>
        <w:t>política monetaria y referencias internacionales.</w:t>
      </w:r>
    </w:p>
    <w:p>
      <w:pPr>
        <w:pStyle w:val="ListNumber"/>
      </w:pPr>
      <w:r>
        <w:t>Probar formalmente el rol de la iliquidez en la transmisión contemporánea.</w:t>
      </w:r>
    </w:p>
    <w:p>
      <w:pPr>
        <w:pStyle w:val="Heading3"/>
      </w:pPr>
      <w:r>
        <w:t>1.5 Hipótesis</w:t>
      </w:r>
    </w:p>
    <w:p>
      <w:pPr>
        <w:pStyle w:val="ListBullet"/>
      </w:pPr>
      <w:r/>
      <w:r>
        <w:rPr>
          <w:b/>
        </w:rPr>
        <w:t>H1.</w:t>
      </w:r>
      <w:r>
        <w:t xml:space="preserve"> El precio del cobre tiene un impacto positivo y estadísticamente</w:t>
      </w:r>
    </w:p>
    <w:p>
      <w:r>
        <w:t>significativo sobre los retornos de las mineras vinculadas a Chile.</w:t>
      </w:r>
    </w:p>
    <w:p>
      <w:pPr>
        <w:pStyle w:val="ListBullet"/>
      </w:pPr>
      <w:r/>
      <w:r>
        <w:rPr>
          <w:b/>
        </w:rPr>
        <w:t>H2.</w:t>
      </w:r>
      <w:r>
        <w:t xml:space="preserve"> La sensibilidad contemporánea al cobre es </w:t>
      </w:r>
      <w:r>
        <w:rPr>
          <w:b/>
        </w:rPr>
        <w:t>heterogénea</w:t>
      </w:r>
      <w:r>
        <w:t xml:space="preserve"> y depende de la</w:t>
      </w:r>
    </w:p>
    <w:p>
      <w:r>
        <w:t>liquidez del activo: mayor en los pure-plays líquidos, menor en los ilíquidos.</w:t>
      </w:r>
    </w:p>
    <w:p>
      <w:pPr>
        <w:pStyle w:val="ListBullet"/>
      </w:pPr>
      <w:r/>
      <w:r>
        <w:rPr>
          <w:b/>
        </w:rPr>
        <w:t>H3.</w:t>
      </w:r>
      <w:r>
        <w:t xml:space="preserve"> Existe una relación de </w:t>
      </w:r>
      <w:r>
        <w:rPr>
          <w:b/>
        </w:rPr>
        <w:t>equilibrio de largo plazo</w:t>
      </w:r>
      <w:r>
        <w:t xml:space="preserve"> (cointegración) entre</w:t>
      </w:r>
    </w:p>
    <w:p>
      <w:r>
        <w:t>el precio de la acción y el conjunto {cobre, tipo de cambio, dólar}.</w:t>
      </w:r>
    </w:p>
    <w:p>
      <w:pPr>
        <w:pStyle w:val="ListBullet"/>
      </w:pPr>
      <w:r/>
      <w:r>
        <w:rPr>
          <w:b/>
        </w:rPr>
        <w:t>H4.</w:t>
      </w:r>
      <w:r>
        <w:t xml:space="preserve"> La volatilidad de los retornos es </w:t>
      </w:r>
      <w:r>
        <w:rPr>
          <w:b/>
        </w:rPr>
        <w:t>persistente</w:t>
      </w:r>
      <w:r>
        <w:t xml:space="preserve"> y exhibe **efecto</w:t>
      </w:r>
    </w:p>
    <w:p>
      <w:r>
        <w:t>apalancamiento** (las caídas elevan más la volatilidad futura que las alzas).</w:t>
      </w:r>
    </w:p>
    <w:p>
      <w:pPr>
        <w:pStyle w:val="ListBullet"/>
      </w:pPr>
      <w:r/>
      <w:r>
        <w:rPr>
          <w:b/>
        </w:rPr>
        <w:t>H5.</w:t>
      </w:r>
      <w:r>
        <w:t xml:space="preserve"> En el activo ilíquido, la transmisión del cobre es </w:t>
      </w:r>
      <w:r>
        <w:rPr>
          <w:b/>
        </w:rPr>
        <w:t>diferida</w:t>
      </w:r>
      <w:r>
        <w:t>: la</w:t>
      </w:r>
    </w:p>
    <w:p>
      <w:r>
        <w:t>elasticidad contemporánea es baja pero crece con el horizonte hasta converger al</w:t>
      </w:r>
    </w:p>
    <w:p>
      <w:r>
        <w:t>valor de largo plazo.</w:t>
      </w:r>
    </w:p>
    <w:p>
      <w:pPr>
        <w:pStyle w:val="Heading3"/>
      </w:pPr>
      <w:r>
        <w:t>1.6 Aportes</w:t>
      </w:r>
    </w:p>
    <w:p>
      <w:r>
        <w:t>(i) Resuelve empíricamente un problema de definición de universo recurrentemente</w:t>
      </w:r>
    </w:p>
    <w:p>
      <w:r>
        <w:t>soslayado; (ii) cuantifica por primera vez, con esta batería de métodos, el canal</w:t>
      </w:r>
    </w:p>
    <w:p>
      <w:r>
        <w:t>cobre→valoración para los pure-plays chilenos; (iii) documenta y **prueba</w:t>
      </w:r>
    </w:p>
    <w:p>
      <w:r>
        <w:t>formalmente** un mecanismo de descubrimiento de precios diferido por iliquidez,</w:t>
      </w:r>
    </w:p>
    <w:p>
      <w:r>
        <w:t>triangulado por seis técnicas; (iv) entrega un pipeline totalmente reproducible.</w:t>
      </w:r>
    </w:p>
    <w:p>
      <w:pPr>
        <w:pStyle w:val="Heading3"/>
      </w:pPr>
      <w:r>
        <w:t>1.7 Relevancia y alcance</w:t>
      </w:r>
    </w:p>
    <w:p>
      <w:r>
        <w:t xml:space="preserve">La relevancia del estudio opera en tres planos. En el </w:t>
      </w:r>
      <w:r>
        <w:rPr>
          <w:b/>
        </w:rPr>
        <w:t>académico</w:t>
      </w:r>
      <w:r>
        <w:t>, contribuye a una</w:t>
      </w:r>
    </w:p>
    <w:p>
      <w:r>
        <w:t>literatura escasa sobre la transmisión del precio del cobre a la valoración de las</w:t>
      </w:r>
    </w:p>
    <w:p>
      <w:r>
        <w:t>mineras chilenas y, más ampliamente, al estudio del descubrimiento de precios en</w:t>
      </w:r>
    </w:p>
    <w:p>
      <w:r>
        <w:t>mercados emergentes pequeños; el contraste entre un activo líquido y otro ilíquido con</w:t>
      </w:r>
    </w:p>
    <w:p>
      <w:r>
        <w:t>idéntica exposición fundamental constituye un cuasi-experimento poco frecuente. En el</w:t>
      </w:r>
    </w:p>
    <w:p>
      <w:r/>
      <w:r>
        <w:rPr>
          <w:b/>
        </w:rPr>
        <w:t>práctico</w:t>
      </w:r>
      <w:r>
        <w:t>, las elasticidades por horizonte y la evidencia sobre el rezago de</w:t>
      </w:r>
    </w:p>
    <w:p>
      <w:r>
        <w:t>incorporación son directamente útiles para la valoración, la gestión de riesgo y el</w:t>
      </w:r>
    </w:p>
    <w:p>
      <w:r>
        <w:t xml:space="preserve">diseño de coberturas de quienes invierten en el sector. En el de </w:t>
      </w:r>
      <w:r>
        <w:rPr>
          <w:b/>
        </w:rPr>
        <w:t>política pública</w:t>
      </w:r>
      <w:r>
        <w:t>,</w:t>
      </w:r>
    </w:p>
    <w:p>
      <w:r>
        <w:t>los resultados informan el debate sobre la profundidad y liquidez del mercado de</w:t>
      </w:r>
    </w:p>
    <w:p>
      <w:r>
        <w:t>capitales chileno, al cuantificar un costo concreto de la baja liquidez del segmento</w:t>
      </w:r>
    </w:p>
    <w:p>
      <w:r>
        <w:t>local.</w:t>
      </w:r>
    </w:p>
    <w:p>
      <w:r>
        <w:t xml:space="preserve">El </w:t>
      </w:r>
      <w:r>
        <w:rPr>
          <w:b/>
        </w:rPr>
        <w:t>alcance</w:t>
      </w:r>
      <w:r>
        <w:t xml:space="preserve"> se delimita con claridad para no prometer más de lo que el diseño</w:t>
      </w:r>
    </w:p>
    <w:p>
      <w:r>
        <w:t>permite. El trabajo es de naturaleza explicativa y de medición de impacto: busca</w:t>
      </w:r>
    </w:p>
    <w:p>
      <w:r>
        <w:t>cuantificar relaciones, signos, magnitudes y dinámicas, no producir pronósticos de</w:t>
      </w:r>
    </w:p>
    <w:p>
      <w:r>
        <w:t>mercado; el ejercicio predictivo que se incluye cumple un rol de validación</w:t>
      </w:r>
    </w:p>
    <w:p>
      <w:r>
        <w:t>complementaria y de aplicación, no de objetivo central. El universo se restringe a las</w:t>
      </w:r>
    </w:p>
    <w:p>
      <w:r>
        <w:t>mineras de cobre cotizadas vinculadas a Chile, con referencias internacionales sólo a</w:t>
      </w:r>
    </w:p>
    <w:p>
      <w:r>
        <w:t>efectos de validez externa; no se abordan otros metales ni otros mercados salvo como</w:t>
      </w:r>
    </w:p>
    <w:p>
      <w:r>
        <w:t>comparación. La frecuencia primaria es diaria, complementada con análisis mensual para</w:t>
      </w:r>
    </w:p>
    <w:p>
      <w:r>
        <w:t>la macro nacional. Por último, las conclusiones sobre el papel de la liquidez se</w:t>
      </w:r>
    </w:p>
    <w:p>
      <w:r>
        <w:t>sostienen sobre el contraste de dos pure-plays; su generalización a otros contextos,</w:t>
      </w:r>
    </w:p>
    <w:p>
      <w:r>
        <w:t>aunque plausible a la luz de la teoría, queda planteada como pregunta empírica abierta.</w:t>
      </w:r>
    </w:p>
    <w:p>
      <w:pPr>
        <w:pStyle w:val="Heading3"/>
      </w:pPr>
      <w:r>
        <w:t>1.8 Estructura</w:t>
      </w:r>
    </w:p>
    <w:p>
      <w:r>
        <w:t>El Capítulo 2 desarrolla el marco teórico; el 3 revisa la literatura; el 4 describe</w:t>
      </w:r>
    </w:p>
    <w:p>
      <w:r>
        <w:t>los datos; el 5 detalla la metodología y las especificaciones; el 6 presenta los</w:t>
      </w:r>
    </w:p>
    <w:p>
      <w:r>
        <w:t>resultados; el 7 los discute; el 8 concluye. Cierran las referencias y los anexos.</w:t>
      </w:r>
    </w:p>
    <w:p>
      <w:pPr>
        <w:pStyle w:val="Heading2"/>
      </w:pPr>
      <w:r>
        <w:t>2. Marco teórico</w:t>
      </w:r>
    </w:p>
    <w:p>
      <w:pPr>
        <w:pStyle w:val="Heading3"/>
      </w:pPr>
      <w:r>
        <w:t>2.1 Valoración de activos y factores macroeconómicos</w:t>
      </w:r>
    </w:p>
    <w:p>
      <w:r>
        <w:t>El valor fundamental de una acción es el valor presente de sus flujos de caja</w:t>
      </w:r>
    </w:p>
    <w:p>
      <w:r>
        <w:t>esperados descontados a una tasa ajustada por riesgo. En su forma canónica, el modelo</w:t>
      </w:r>
    </w:p>
    <w:p>
      <w:r>
        <w:t>de descuento de dividendos expresa el precio como P_0 = Σ_{t≥1} E[D_t]/(1+k)^t, donde</w:t>
      </w:r>
    </w:p>
    <w:p>
      <w:r>
        <w:t>D_t es el flujo distribuible en t y k la tasa de descuento. Para una empresa cuyos</w:t>
      </w:r>
    </w:p>
    <w:p>
      <w:r>
        <w:t>ingresos dependen del precio de una materia prima, conviene descomponer el flujo</w:t>
      </w:r>
    </w:p>
    <w:p>
      <w:r>
        <w:t>operativo como una función del precio del commodity y de la estructura de costos:</w:t>
      </w:r>
    </w:p>
    <w:p>
      <w:r>
        <w:t>si q denota la producción, P el precio del cobre y c el costo de caja unitario, el</w:t>
      </w:r>
    </w:p>
    <w:p>
      <w:r>
        <w:t>margen operativo es proporcional a q·(P − c). Una variación del precio del cobre se</w:t>
      </w:r>
    </w:p>
    <w:p>
      <w:r>
        <w:t>propaga entonces al valor por dos vías: directamente, a través del numerador (flujos),</w:t>
      </w:r>
    </w:p>
    <w:p>
      <w:r>
        <w:t>e indirectamente, a través del denominador, en la medida en que las condiciones</w:t>
      </w:r>
    </w:p>
    <w:p>
      <w:r>
        <w:t>financieras globales que mueven al cobre (dólar, tasas, apetito por riesgo) también</w:t>
      </w:r>
    </w:p>
    <w:p>
      <w:r>
        <w:t>desplazan la tasa de descuento. Esta doble vía justifica un modelo multifactorial en</w:t>
      </w:r>
    </w:p>
    <w:p>
      <w:r>
        <w:t>el que el cobre comparte protagonismo con un conjunto acotado de factores macro-</w:t>
      </w:r>
    </w:p>
    <w:p>
      <w:r>
        <w:t>financieros.</w:t>
      </w:r>
    </w:p>
    <w:p>
      <w:r>
        <w:t xml:space="preserve">Para una empresa minera de cobre, los </w:t>
      </w:r>
      <w:r>
        <w:rPr>
          <w:b/>
        </w:rPr>
        <w:t>flujos</w:t>
      </w:r>
      <w:r>
        <w:t xml:space="preserve"> dependen directamente del precio del</w:t>
      </w:r>
    </w:p>
    <w:p>
      <w:r>
        <w:t>metal (ingreso) y de sus costos (energía, insumos, salarios, tipo de cambio), mientras</w:t>
      </w:r>
    </w:p>
    <w:p>
      <w:r>
        <w:t xml:space="preserve">que la </w:t>
      </w:r>
      <w:r>
        <w:rPr>
          <w:b/>
        </w:rPr>
        <w:t>tasa de descuento</w:t>
      </w:r>
      <w:r>
        <w:t xml:space="preserve"> depende de la tasa libre de riesgo global y de las primas</w:t>
      </w:r>
    </w:p>
    <w:p>
      <w:r>
        <w:t>de riesgo. De esta estructura se desprenden cinco canales económicos que organizan la</w:t>
      </w:r>
    </w:p>
    <w:p>
      <w:r>
        <w:t>selección de variables independientes:</w:t>
      </w:r>
    </w:p>
    <w:p>
      <w:pPr>
        <w:pStyle w:val="ListNumber"/>
      </w:pPr>
      <w:r/>
      <w:r>
        <w:rPr>
          <w:b/>
        </w:rPr>
        <w:t>Canal de demanda/ingreso.</w:t>
      </w:r>
      <w:r>
        <w:t xml:space="preserve"> El precio del cobre (LME/COMEX) y la demanda global</w:t>
      </w:r>
    </w:p>
    <w:p>
      <w:r>
        <w:t>—actividad industrial, China— determinan los ingresos esperados. Es el canal</w:t>
      </w:r>
    </w:p>
    <w:p>
      <w:r>
        <w:t>directo y, a priori, dominante para un pure-play.</w:t>
      </w:r>
    </w:p>
    <w:p>
      <w:pPr>
        <w:pStyle w:val="ListNumber"/>
      </w:pPr>
      <w:r/>
      <w:r>
        <w:rPr>
          <w:b/>
        </w:rPr>
        <w:t>Canal de costos.</w:t>
      </w:r>
      <w:r>
        <w:t xml:space="preserve"> Energía (WTI) y tipo de cambio (CLP/USD): una depreciación</w:t>
      </w:r>
    </w:p>
    <w:p>
      <w:r>
        <w:t>real del peso abarata los costos locales medidos en dólares y puede ampliar el</w:t>
      </w:r>
    </w:p>
    <w:p>
      <w:r>
        <w:t>margen operativo de un exportador de cobre.</w:t>
      </w:r>
    </w:p>
    <w:p>
      <w:pPr>
        <w:pStyle w:val="ListNumber"/>
      </w:pPr>
      <w:r/>
      <w:r>
        <w:rPr>
          <w:b/>
        </w:rPr>
        <w:t>Canal de descuento.</w:t>
      </w:r>
      <w:r>
        <w:t xml:space="preserve"> Las tasas de interés (rendimientos del Tesoro de EE. UU.</w:t>
      </w:r>
    </w:p>
    <w:p>
      <w:r>
        <w:t>a distintos plazos, TPM local) afectan el factor de descuento de los flujos.</w:t>
      </w:r>
    </w:p>
    <w:p>
      <w:pPr>
        <w:pStyle w:val="ListNumber"/>
      </w:pPr>
      <w:r/>
      <w:r>
        <w:rPr>
          <w:b/>
        </w:rPr>
        <w:t>Canal de moneda global.</w:t>
      </w:r>
      <w:r>
        <w:t xml:space="preserve"> El índice dólar (DXY): los commodities cotizados en</w:t>
      </w:r>
    </w:p>
    <w:p>
      <w:r>
        <w:t>dólares tienden a moverse inversamente al valor del dólar.</w:t>
      </w:r>
    </w:p>
    <w:p>
      <w:pPr>
        <w:pStyle w:val="ListNumber"/>
      </w:pPr>
      <w:r/>
      <w:r>
        <w:rPr>
          <w:b/>
        </w:rPr>
        <w:t>Canal de riesgo/sentimiento.</w:t>
      </w:r>
      <w:r>
        <w:t xml:space="preserve"> El VIX y los índices de mercado (S&amp;P 500,</w:t>
      </w:r>
    </w:p>
    <w:p>
      <w:r>
        <w:t>mercado local) capturan el apetito por riesgo y el componente sistemático (beta).</w:t>
      </w:r>
    </w:p>
    <w:p>
      <w:pPr>
        <w:pStyle w:val="Heading3"/>
      </w:pPr>
      <w:r>
        <w:t>2.2 Arbitrage Pricing Theory (APT)</w:t>
      </w:r>
    </w:p>
    <w:p>
      <w:r>
        <w:t>El APT (Ross, 1976) postula que el retorno esperado de un activo es una función</w:t>
      </w:r>
    </w:p>
    <w:p>
      <w:r>
        <w:t>lineal de su exposición a un conjunto de factores de riesgo sistemáticos:</w:t>
      </w:r>
    </w:p>
    <w:p>
      <w:r>
        <w:t>E[r_i] = r_f + Σ_k β_{i,k} λ_k, donde λ_k es la prima del factor k y β_{i,k} la</w:t>
      </w:r>
    </w:p>
    <w:p>
      <w:r>
        <w:t>sensibilidad del activo i a ese factor. Chen, Roll y Ross (1986) operacionalizan el</w:t>
      </w:r>
    </w:p>
    <w:p>
      <w:r>
        <w:t>APT con factores macroeconómicos —producción industrial, inflación, prima por</w:t>
      </w:r>
    </w:p>
    <w:p>
      <w:r>
        <w:t>riesgo, pendiente de la curva— y muestran que están sistemáticamente valorados. La</w:t>
      </w:r>
    </w:p>
    <w:p>
      <w:r>
        <w:t>especificación multifactorial de los retornos empleada en el Capítulo 6 es, en</w:t>
      </w:r>
    </w:p>
    <w:p>
      <w:r>
        <w:t>esencia, una contrastación de tipo APT con factores específicos al sector cuprífero.</w:t>
      </w:r>
    </w:p>
    <w:p>
      <w:pPr>
        <w:pStyle w:val="Heading3"/>
      </w:pPr>
      <w:r>
        <w:t>2.3 Niveles versus cambios: equilibrio de largo plazo y dinámica de corto plazo</w:t>
      </w:r>
    </w:p>
    <w:p>
      <w:r>
        <w:t xml:space="preserve">Una distinción metodológica esencial separa el análisis en </w:t>
      </w:r>
      <w:r>
        <w:rPr>
          <w:b/>
        </w:rPr>
        <w:t>niveles</w:t>
      </w:r>
      <w:r>
        <w:t xml:space="preserve"> (precios) del</w:t>
      </w:r>
    </w:p>
    <w:p>
      <w:r>
        <w:t xml:space="preserve">análisis en </w:t>
      </w:r>
      <w:r>
        <w:rPr>
          <w:b/>
        </w:rPr>
        <w:t>cambios</w:t>
      </w:r>
      <w:r>
        <w:t xml:space="preserve"> (retornos). Los precios de activos suelen comportarse como</w:t>
      </w:r>
    </w:p>
    <w:p>
      <w:r>
        <w:t>procesos integrados I(1) —caminatas aleatorias con tendencia estocástica—, mientras</w:t>
      </w:r>
    </w:p>
    <w:p>
      <w:r>
        <w:t>que los retornos son estacionarios I(0). Si dos o más series I(1) comparten una</w:t>
      </w:r>
    </w:p>
    <w:p>
      <w:r>
        <w:t xml:space="preserve">tendencia estocástica común, están </w:t>
      </w:r>
      <w:r>
        <w:rPr>
          <w:b/>
        </w:rPr>
        <w:t>cointegradas</w:t>
      </w:r>
      <w:r>
        <w:t>: existe una combinación lineal</w:t>
      </w:r>
    </w:p>
    <w:p>
      <w:r>
        <w:t>estacionaria que representa su relación de equilibrio de largo plazo (Engle y</w:t>
      </w:r>
    </w:p>
    <w:p>
      <w:r>
        <w:t>Granger, 1987). El teorema de representación de Granger garantiza que toda relación</w:t>
      </w:r>
    </w:p>
    <w:p>
      <w:r>
        <w:t>de cointegración admite una representación de corrección de error (VECM), que separa</w:t>
      </w:r>
    </w:p>
    <w:p>
      <w:r>
        <w:t>limpiamente la dinámica de largo plazo (el vector cointegrante β) de los ajustes de</w:t>
      </w:r>
    </w:p>
    <w:p>
      <w:r>
        <w:t>corto plazo (la velocidad de ajuste α). Esta dualidad es la columna vertebral de la</w:t>
      </w:r>
    </w:p>
    <w:p>
      <w:r>
        <w:t xml:space="preserve">tesis: el impacto </w:t>
      </w:r>
      <w:r>
        <w:rPr>
          <w:b/>
        </w:rPr>
        <w:t>contemporáneo</w:t>
      </w:r>
      <w:r>
        <w:t xml:space="preserve"> sobre los retornos y el equilibrio de **largo</w:t>
      </w:r>
    </w:p>
    <w:p>
      <w:r>
        <w:t>plazo** sobre los niveles responden preguntas distintas y se estiman con</w:t>
      </w:r>
    </w:p>
    <w:p>
      <w:r>
        <w:t>herramientas distintas.</w:t>
      </w:r>
    </w:p>
    <w:p>
      <w:pPr>
        <w:pStyle w:val="Heading3"/>
      </w:pPr>
      <w:r>
        <w:t>2.4 Microestructura, iliquidez y descubrimiento de precios</w:t>
      </w:r>
    </w:p>
    <w:p>
      <w:r>
        <w:t>La hipótesis de mercados eficientes sostiene que los precios incorporan la</w:t>
      </w:r>
    </w:p>
    <w:p>
      <w:r>
        <w:t>información disponible de forma inmediata. La teoría de la microestructura matiza esa</w:t>
      </w:r>
    </w:p>
    <w:p>
      <w:r>
        <w:t xml:space="preserve">inmediatez: en presencia de </w:t>
      </w:r>
      <w:r>
        <w:rPr>
          <w:b/>
        </w:rPr>
        <w:t>fricciones de liquidez</w:t>
      </w:r>
      <w:r>
        <w:t xml:space="preserve"> —baja profundidad, costos de</w:t>
      </w:r>
    </w:p>
    <w:p>
      <w:r>
        <w:t>transacción, transacción esporádica— la información se incorpora a los precios de</w:t>
      </w:r>
    </w:p>
    <w:p>
      <w:r>
        <w:t xml:space="preserve">forma </w:t>
      </w:r>
      <w:r>
        <w:rPr>
          <w:b/>
        </w:rPr>
        <w:t>gradual</w:t>
      </w:r>
      <w:r>
        <w:t>, generando autocorrelación en los retornos y un proceso de</w:t>
      </w:r>
    </w:p>
    <w:p>
      <w:r>
        <w:t>price discovery lento. Amihud (2002) propone una medida operativa de iliquidez —el</w:t>
      </w:r>
    </w:p>
    <w:p>
      <w:r>
        <w:t>cociente entre el valor absoluto del retorno y el volumen transado— y documenta que</w:t>
      </w:r>
    </w:p>
    <w:p>
      <w:r>
        <w:t>la iliquidez (i) se asocia a una prima de retorno esperado y (ii) afecta con mayor</w:t>
      </w:r>
    </w:p>
    <w:p>
      <w:r>
        <w:t>fuerza a las empresas pequeñas. Para esta tesis, la teoría de microestructura provee</w:t>
      </w:r>
    </w:p>
    <w:p>
      <w:r>
        <w:t>el marco para interpretar la disociación corto/largo plazo del pure-play ilíquido:</w:t>
      </w:r>
    </w:p>
    <w:p>
      <w:r>
        <w:t>el fundamento (cobre) está presente, pero su incorporación al precio es diferida.</w:t>
      </w:r>
    </w:p>
    <w:p>
      <w:pPr>
        <w:pStyle w:val="Heading3"/>
      </w:pPr>
      <w:r>
        <w:t>2.5 Apalancamiento operativo y opcionalidad en la valoración minera</w:t>
      </w:r>
    </w:p>
    <w:p>
      <w:r>
        <w:t>¿Por qué un pure-play de cobre debería tener una elasticidad-cobre cercana o</w:t>
      </w:r>
    </w:p>
    <w:p>
      <w:r>
        <w:t>incluso superior a la unidad en el largo plazo? La respuesta está en el</w:t>
      </w:r>
    </w:p>
    <w:p>
      <w:r/>
      <w:r>
        <w:rPr>
          <w:b/>
        </w:rPr>
        <w:t>apalancamiento operativo</w:t>
      </w:r>
      <w:r>
        <w:t>. El margen de una minera es, aproximadamente, precio</w:t>
      </w:r>
    </w:p>
    <w:p>
      <w:r>
        <w:t>del cobre menos costo de caja unitario (C1). Como el costo es relativamente rígido a</w:t>
      </w:r>
    </w:p>
    <w:p>
      <w:r>
        <w:t>corto y mediano plazo, una variación porcentual del precio del cobre se traduce en</w:t>
      </w:r>
    </w:p>
    <w:p>
      <w:r>
        <w:t xml:space="preserve">una variación porcentual </w:t>
      </w:r>
      <w:r>
        <w:rPr>
          <w:b/>
        </w:rPr>
        <w:t>amplificada</w:t>
      </w:r>
      <w:r>
        <w:t xml:space="preserve"> del margen y, por ende, del valor presente</w:t>
      </w:r>
    </w:p>
    <w:p>
      <w:r>
        <w:t>de los flujos. Formalmente, si el valor V ≈ q·(P − c)/k (con q producción, c costo</w:t>
      </w:r>
    </w:p>
    <w:p>
      <w:r>
        <w:t>unitario, k tasa de descuento), entonces ∂lnV/∂lnP = P/(P − c) &gt; 1 cuando c &gt; 0: la</w:t>
      </w:r>
    </w:p>
    <w:p>
      <w:r>
        <w:t>elasticidad-precio del valor excede a la unidad en la medida en que el costo</w:t>
      </w:r>
    </w:p>
    <w:p>
      <w:r>
        <w:t>representa una fracción significativa del precio. Las elasticidades de largo plazo</w:t>
      </w:r>
    </w:p>
    <w:p>
      <w:r>
        <w:t>estimadas (0.75–0.86) son consistentes con este mecanismo, atenuadas por</w:t>
      </w:r>
    </w:p>
    <w:p>
      <w:r>
        <w:t>diversificación de activos, coberturas y el componente de moneda.</w:t>
      </w:r>
    </w:p>
    <w:p>
      <w:r>
        <w:t xml:space="preserve">La literatura de </w:t>
      </w:r>
      <w:r>
        <w:rPr>
          <w:b/>
        </w:rPr>
        <w:t>opciones reales</w:t>
      </w:r>
      <w:r>
        <w:t xml:space="preserve"> añade un matiz: una mina contiene la opción de</w:t>
      </w:r>
    </w:p>
    <w:p>
      <w:r>
        <w:t>suspender producción cuando el precio cae bajo el costo de caja, lo que introduce</w:t>
      </w:r>
    </w:p>
    <w:p>
      <w:r/>
      <w:r>
        <w:rPr>
          <w:b/>
        </w:rPr>
        <w:t>no linealidad</w:t>
      </w:r>
      <w:r>
        <w:t xml:space="preserve"> —la sensibilidad del valor al precio es mayor en alzas que en</w:t>
      </w:r>
    </w:p>
    <w:p>
      <w:r>
        <w:t>caídas extremas, o viceversa según la estructura de costos—. Esta opcionalidad</w:t>
      </w:r>
    </w:p>
    <w:p>
      <w:r>
        <w:t xml:space="preserve">motiva contrastar </w:t>
      </w:r>
      <w:r>
        <w:rPr>
          <w:b/>
        </w:rPr>
        <w:t>asimetría</w:t>
      </w:r>
      <w:r>
        <w:t xml:space="preserve"> (NARDL): es plausible que la respuesta a alzas y</w:t>
      </w:r>
    </w:p>
    <w:p>
      <w:r>
        <w:t>caídas del cobre difiera, como en efecto se documenta para Antofagasta (§6.8).</w:t>
      </w:r>
    </w:p>
    <w:p>
      <w:pPr>
        <w:pStyle w:val="Heading3"/>
      </w:pPr>
      <w:r>
        <w:t>2.6 Riesgo sistemático y beta</w:t>
      </w:r>
    </w:p>
    <w:p>
      <w:r>
        <w:t>El componente sistemático del retorno se captura mediante la exposición al mercado</w:t>
      </w:r>
    </w:p>
    <w:p>
      <w:r>
        <w:t>(beta). En este estudio se incluyen tanto un índice global (S&amp;P 500) como un proxy</w:t>
      </w:r>
    </w:p>
    <w:p>
      <w:r>
        <w:t>del mercado local (ETF MSCI Chile), de modo que la elasticidad-cobre estimada se</w:t>
      </w:r>
    </w:p>
    <w:p>
      <w:r>
        <w:t xml:space="preserve">interpreta como el efecto </w:t>
      </w:r>
      <w:r>
        <w:rPr>
          <w:b/>
        </w:rPr>
        <w:t>incremental</w:t>
      </w:r>
      <w:r>
        <w:t xml:space="preserve"> del cobre por sobre el comovimiento de</w:t>
      </w:r>
    </w:p>
    <w:p>
      <w:r>
        <w:t>mercado. La distinción es relevante para el activo local: si Pucobre cargara</w:t>
      </w:r>
    </w:p>
    <w:p>
      <w:r>
        <w:t>fuertemente sobre el mercado local pero poco sobre el cobre en el corto plazo (como</w:t>
      </w:r>
    </w:p>
    <w:p>
      <w:r>
        <w:t>se halla), ello indica que su comovimiento diario está dominado por factores locales</w:t>
      </w:r>
    </w:p>
    <w:p>
      <w:r>
        <w:t>de mercado y liquidez, no por el fundamento cuprífero —que opera con rezago—.</w:t>
      </w:r>
    </w:p>
    <w:p>
      <w:pPr>
        <w:pStyle w:val="Heading2"/>
      </w:pPr>
      <w:r>
        <w:t>3. Revisión de literatura</w:t>
      </w:r>
    </w:p>
    <w:p>
      <w:pPr>
        <w:pStyle w:val="IntenseQuote"/>
      </w:pPr>
      <w:r>
        <w:t>Las referencias de esta sección fueron verificadas en fuentes primarias (editor /</w:t>
      </w:r>
    </w:p>
    <w:p>
      <w:pPr>
        <w:pStyle w:val="IntenseQuote"/>
      </w:pPr>
      <w:r>
        <w:t>repositorios académicos). El listado completo, con DOIs, está en el Capítulo 9.</w:t>
      </w:r>
    </w:p>
    <w:p>
      <w:pPr>
        <w:pStyle w:val="Heading3"/>
      </w:pPr>
      <w:r>
        <w:t>3.1 Factores macroeconómicos y retornos accionarios (APT)</w:t>
      </w:r>
    </w:p>
    <w:p>
      <w:r>
        <w:t>El marco moderno de valoración nace con la teoría de selección de cartera</w:t>
      </w:r>
    </w:p>
    <w:p>
      <w:r>
        <w:t>(Markowitz, 1952) y el CAPM (Sharpe, 1964; Lintner, 1965), que reducen el riesgo</w:t>
      </w:r>
    </w:p>
    <w:p>
      <w:r>
        <w:t>relevante a la covarianza con el mercado (beta). El APT (Ross, 1976) generaliza a un</w:t>
      </w:r>
    </w:p>
    <w:p>
      <w:r>
        <w:t xml:space="preserve">modelo </w:t>
      </w:r>
      <w:r>
        <w:rPr>
          <w:b/>
        </w:rPr>
        <w:t>multifactorial</w:t>
      </w:r>
      <w:r>
        <w:t xml:space="preserve"> sin requerir la cartera de mercado, y su contrastación</w:t>
      </w:r>
    </w:p>
    <w:p>
      <w:r>
        <w:t>seminal en Chen, Roll y Ross (1986) muestra que innovaciones en la producción</w:t>
      </w:r>
    </w:p>
    <w:p>
      <w:r>
        <w:t>industrial, la inflación esperada y no esperada, la prima por riesgo (spread de</w:t>
      </w:r>
    </w:p>
    <w:p>
      <w:r>
        <w:t>bonos) y la pendiente de la estructura temporal son factores sistemáticamente</w:t>
      </w:r>
    </w:p>
    <w:p>
      <w:r>
        <w:t>valorados. Esta línea —junto con la hipótesis de mercados eficientes (Fama, 1970),</w:t>
      </w:r>
    </w:p>
    <w:p>
      <w:r>
        <w:t>que enmarca la velocidad con que los precios incorporan la información— justifica</w:t>
      </w:r>
    </w:p>
    <w:p>
      <w:r>
        <w:t>incluir como regresores las tasas (Tesoro de EE. UU., TPM), el dólar (DXY) y el</w:t>
      </w:r>
    </w:p>
    <w:p>
      <w:r>
        <w:t>riesgo (VIX), además del cobre como factor sectorial específico. La elección entre</w:t>
      </w:r>
    </w:p>
    <w:p>
      <w:r>
        <w:t>modelar niveles o cambios y el uso de sistemas dinámicos se apoya en la tradición</w:t>
      </w:r>
    </w:p>
    <w:p>
      <w:r>
        <w:t>abierta por Granger (1969) sobre causalidad y por Sims (1980) sobre la modelación VAR</w:t>
      </w:r>
    </w:p>
    <w:p>
      <w:r>
        <w:t>sin restricciones teóricas a priori.</w:t>
      </w:r>
    </w:p>
    <w:p>
      <w:pPr>
        <w:pStyle w:val="Heading3"/>
      </w:pPr>
      <w:r>
        <w:t>3.2 Commodities, "monedas-commodity" y economías cupríferas</w:t>
      </w:r>
    </w:p>
    <w:p>
      <w:r>
        <w:t>Chen y Rogoff (2003) introducen el concepto de commodity currency: para economías</w:t>
      </w:r>
    </w:p>
    <w:p>
      <w:r>
        <w:t>exportadoras de materias primas, el precio mundial de su canasta exportadora es un</w:t>
      </w:r>
    </w:p>
    <w:p>
      <w:r>
        <w:t>determinante robusto del tipo de cambio real. El caso chileno es arquetípico —el</w:t>
      </w:r>
    </w:p>
    <w:p>
      <w:r>
        <w:t>cobre representa cerca de la mitad de las exportaciones— y existe evidencia</w:t>
      </w:r>
    </w:p>
    <w:p>
      <w:r>
        <w:t>específica: el Working Paper N°640 del Banco Central de Chile (*Copper, the Real</w:t>
      </w:r>
    </w:p>
    <w:p>
      <w:r>
        <w:t>Exchange Rate and Macroeconomic Fluctuations in Chile*) analiza el rol del cobre y</w:t>
      </w:r>
    </w:p>
    <w:p>
      <w:r>
        <w:t>del tipo de cambio real como amortiguadores de shocks, y trabajos publicados en</w:t>
      </w:r>
    </w:p>
    <w:p>
      <w:r>
        <w:t>Resources Policy documentan que el tipo de cambio chileno posee poder predictivo</w:t>
      </w:r>
    </w:p>
    <w:p>
      <w:r>
        <w:t>sobre los precios de los metales base, evidenciando una relación cobre↔CLP de doble</w:t>
      </w:r>
    </w:p>
    <w:p>
      <w:r>
        <w:t>vía. Esta literatura fundamenta el canal moneda y motiva tratar el cobre como</w:t>
      </w:r>
    </w:p>
    <w:p>
      <w:r>
        <w:t>variable forzante frente a las acciones locales, hipótesis que el test de</w:t>
      </w:r>
    </w:p>
    <w:p>
      <w:r>
        <w:t>Toda-Yamamoto contrasta directamente. El antecedente más directo es Mendiola,</w:t>
      </w:r>
    </w:p>
    <w:p>
      <w:r>
        <w:t>Chávez-Bedoya y Wallenstein (2022), que documentan una relación **positiva pero</w:t>
      </w:r>
    </w:p>
    <w:p>
      <w:r>
        <w:t>inelástica** entre los cambios del precio del cobre y los retornos de acciones</w:t>
      </w:r>
    </w:p>
    <w:p>
      <w:r>
        <w:t>mineras de cobre —precisamente la magnitud que esta tesis estima y descompone por</w:t>
      </w:r>
    </w:p>
    <w:p>
      <w:r>
        <w:t>horizonte—. Kilian y Park (2009) advierten que el efecto de un shock de commodity</w:t>
      </w:r>
    </w:p>
    <w:p>
      <w:r>
        <w:t>sobre las acciones depende de si es de oferta o de demanda, y Díaz, Hansen y Cabrera</w:t>
      </w:r>
    </w:p>
    <w:p>
      <w:r>
        <w:t>(2021) —autores chilenos— muestran que variables macro-financieras (VIX, incertidumbre,</w:t>
      </w:r>
    </w:p>
    <w:p>
      <w:r>
        <w:t>ciclo) gobiernan la volatilidad del cobre, respaldando el conjunto de regresores</w:t>
      </w:r>
    </w:p>
    <w:p>
      <w:r>
        <w:t>empleado. Gorton y Rouwenhorst (2006) y Cashin et al. (2002) enmarcan, además, el</w:t>
      </w:r>
    </w:p>
    <w:p>
      <w:r>
        <w:t>comportamiento cíclico y asimétrico de los precios de commodities que motiva la</w:t>
      </w:r>
    </w:p>
    <w:p>
      <w:r>
        <w:t>especificación NARDL.</w:t>
      </w:r>
    </w:p>
    <w:p>
      <w:pPr>
        <w:pStyle w:val="Heading3"/>
      </w:pPr>
      <w:r>
        <w:t>3.3 Iliquidez y descubrimiento de precios</w:t>
      </w:r>
    </w:p>
    <w:p>
      <w:r>
        <w:t>El hallazgo central dialoga con Amihud (2002), cuyo ratio de iliquidez (valor</w:t>
      </w:r>
    </w:p>
    <w:p>
      <w:r>
        <w:t>absoluto del retorno sobre el volumen) se asocia positivamente a los retornos</w:t>
      </w:r>
    </w:p>
    <w:p>
      <w:r>
        <w:t>esperados (prima de liquidez) y afecta con mayor fuerza a las empresas pequeñas. La</w:t>
      </w:r>
    </w:p>
    <w:p>
      <w:r>
        <w:t>teoría de la microestructura —desde el modelo de información asimétrica de Kyle</w:t>
      </w:r>
    </w:p>
    <w:p>
      <w:r>
        <w:t>(1985), que formaliza cómo el creador de mercado actualiza precios ante el flujo de</w:t>
      </w:r>
    </w:p>
    <w:p>
      <w:r>
        <w:t>órdenes, hasta la medición de costos implícitos de transacción de Roll (1984)—</w:t>
      </w:r>
    </w:p>
    <w:p>
      <w:r>
        <w:t>explica por qué la baja liquidez ralentiza el descubrimiento de precios: la</w:t>
      </w:r>
    </w:p>
    <w:p>
      <w:r>
        <w:t>información se incorpora sólo cuando hay transacción, induciendo autocorrelación en</w:t>
      </w:r>
    </w:p>
    <w:p>
      <w:r>
        <w:t>los retornos. El caso Pucobre —pure-play con 62% de días sin transacción y</w:t>
      </w:r>
    </w:p>
    <w:p>
      <w:r>
        <w:t>transmisión del cobre diferida— es una manifestación nítida de este mecanismo en un</w:t>
      </w:r>
    </w:p>
    <w:p>
      <w:r>
        <w:t>mercado emergente pequeño, y conecta con la evidencia de que los retornos de</w:t>
      </w:r>
    </w:p>
    <w:p>
      <w:r>
        <w:t>small-caps incorporan los factores comunes con rezago respecto de los de gran</w:t>
      </w:r>
    </w:p>
    <w:p>
      <w:r>
        <w:t>capitalización. Bekaert, Harvey y Lundblad (2007) muestran que la liquidez local es</w:t>
      </w:r>
    </w:p>
    <w:p>
      <w:r>
        <w:t>un determinante de primer orden de los retornos esperados en mercados emergentes, y</w:t>
      </w:r>
    </w:p>
    <w:p>
      <w:r>
        <w:t>Amihud, Hameed, Kang y Zhang (2015) documentan que el premio por iliquidez se</w:t>
      </w:r>
    </w:p>
    <w:p>
      <w:r>
        <w:t>concentra en las firmas más pequeñas a nivel internacional —justo el perfil de</w:t>
      </w:r>
    </w:p>
    <w:p>
      <w:r>
        <w:t>Pucobre—; para mercados ilíquidos, la proporción de días con retorno cero suele</w:t>
      </w:r>
    </w:p>
    <w:p>
      <w:r>
        <w:t>superar a Amihud como proxy, lo que motiva el uso de múltiples medidas en §6.14.</w:t>
      </w:r>
    </w:p>
    <w:p>
      <w:pPr>
        <w:pStyle w:val="Heading3"/>
      </w:pPr>
      <w:r>
        <w:t>3.4 Fundamentos econométricos</w:t>
      </w:r>
    </w:p>
    <w:p>
      <w:pPr>
        <w:pStyle w:val="ListBullet"/>
      </w:pPr>
      <w:r/>
      <w:r>
        <w:rPr>
          <w:b/>
        </w:rPr>
        <w:t>Cointegración y corrección de error.</w:t>
      </w:r>
      <w:r>
        <w:t xml:space="preserve"> Engle y Granger (1987) introducen la</w:t>
      </w:r>
    </w:p>
    <w:p>
      <w:r>
        <w:t>cointegración y el ECM; Johansen (1991) generaliza al enfoque de máxima</w:t>
      </w:r>
    </w:p>
    <w:p>
      <w:r>
        <w:t>verosimilitud multivariante (estadísticos de la traza y del máximo autovalor).</w:t>
      </w:r>
    </w:p>
    <w:p>
      <w:pPr>
        <w:pStyle w:val="ListBullet"/>
      </w:pPr>
      <w:r/>
      <w:r>
        <w:rPr>
          <w:b/>
        </w:rPr>
        <w:t>Bounds testing y asimetría.</w:t>
      </w:r>
      <w:r>
        <w:t xml:space="preserve"> Pesaran, Shin y Smith (2001) proponen el ARDL</w:t>
      </w:r>
    </w:p>
    <w:p>
      <w:r>
        <w:t>bounds test, válido con regresores I(0)/I(1) sin pre-test de orden;</w:t>
      </w:r>
    </w:p>
    <w:p>
      <w:r>
        <w:t>Shin, Yu y Greenwood-Nimmo (2014) lo extienden al NARDL para asimetrías de corto y</w:t>
      </w:r>
    </w:p>
    <w:p>
      <w:r>
        <w:t>largo plazo mediante sumas parciales positivas y negativas.</w:t>
      </w:r>
    </w:p>
    <w:p>
      <w:pPr>
        <w:pStyle w:val="ListBullet"/>
      </w:pPr>
      <w:r/>
      <w:r>
        <w:rPr>
          <w:b/>
        </w:rPr>
        <w:t>Causalidad robusta a integración.</w:t>
      </w:r>
      <w:r>
        <w:t xml:space="preserve"> Toda y Yamamoto (1995) proponen un VAR</w:t>
      </w:r>
    </w:p>
    <w:p>
      <w:r>
        <w:t>aumentado en niveles que permite inferir causalidad sin sesgo por raíces unitarias.</w:t>
      </w:r>
    </w:p>
    <w:p>
      <w:pPr>
        <w:pStyle w:val="ListBullet"/>
      </w:pPr>
      <w:r/>
      <w:r>
        <w:rPr>
          <w:b/>
        </w:rPr>
        <w:t>Volatilidad condicional.</w:t>
      </w:r>
      <w:r>
        <w:t xml:space="preserve"> Bollerslev (1986) (GARCH), Nelson (1991) (EGARCH) y</w:t>
      </w:r>
    </w:p>
    <w:p>
      <w:r>
        <w:t>Glosten, Jagannathan y Runkle (1993) (GJR-GARCH) modelan persistencia y efecto</w:t>
      </w:r>
    </w:p>
    <w:p>
      <w:r>
        <w:t>apalancamiento.</w:t>
      </w:r>
    </w:p>
    <w:p>
      <w:pPr>
        <w:pStyle w:val="ListBullet"/>
      </w:pPr>
      <w:r/>
      <w:r>
        <w:rPr>
          <w:b/>
        </w:rPr>
        <w:t>Inferencia robusta.</w:t>
      </w:r>
      <w:r>
        <w:t xml:space="preserve"> Newey y West (1987) para errores HAC; Dickey-Fuller (1979),</w:t>
      </w:r>
    </w:p>
    <w:p>
      <w:r>
        <w:t>Phillips-Perron (1988), KPSS (1992) y Zivot-Andrews (1992) para raíces unitarias y</w:t>
      </w:r>
    </w:p>
    <w:p>
      <w:r>
        <w:t>quiebres endógenos.</w:t>
      </w:r>
    </w:p>
    <w:p>
      <w:pPr>
        <w:pStyle w:val="Heading3"/>
      </w:pPr>
      <w:r>
        <w:t>3.5 Síntesis comparada y vacío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2. Síntesis comparada y vacío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Eje</w:t>
            </w:r>
          </w:p>
        </w:tc>
        <w:tc>
          <w:tcPr>
            <w:tcW w:type="dxa" w:w="288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Evidencia previa</w:t>
            </w:r>
          </w:p>
        </w:tc>
        <w:tc>
          <w:tcPr>
            <w:tcW w:type="dxa" w:w="288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Tratamiento en esta tesis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Macro→retornos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APT internacional (Chen-Roll-Ross)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Especificación multifactorial sobre mineras chilenas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Cobre↔CLP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Robusta (Chen-Rogoff; BCCh)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asume cobre forzante; se contrasta con Toda-Yamamoto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Cobre→valoración minera Chile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Escasa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Aporte central: TS por activo + panel + referencias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Rol de la liquidez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Teórico (Amihud)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Prueba formal: % días cero, rezagos distribuidos, multi-horizonte</w:t>
            </w:r>
          </w:p>
        </w:tc>
      </w:tr>
    </w:tbl>
    <w:p>
      <w:pPr>
        <w:spacing w:after="80"/>
      </w:pPr>
    </w:p>
    <w:p>
      <w:r>
        <w:t>La literatura chilena se concentró en el canal cobre→tipo de cambio→macro. Es escasa</w:t>
      </w:r>
    </w:p>
    <w:p>
      <w:r>
        <w:t>la evidencia que cuantifique el canal cobre→valoración bursátil de las mineras</w:t>
      </w:r>
    </w:p>
    <w:p>
      <w:r>
        <w:t>chilenas distinguiendo horizonte temporal y liquidez del activo. Esta tesis aporta</w:t>
      </w:r>
    </w:p>
    <w:p>
      <w:r>
        <w:t>en ese punto, integrando APT, cointegración, volatilidad y microestructura sobre el</w:t>
      </w:r>
    </w:p>
    <w:p>
      <w:r>
        <w:t>reducido universo de pure-plays cupríferos.</w:t>
      </w:r>
    </w:p>
    <w:p>
      <w:r>
        <w:t>Conviene situar con precisión la contribución frente a los trabajos reseñados. La</w:t>
      </w:r>
    </w:p>
    <w:p>
      <w:r>
        <w:t>literatura de factores macro (Chen, Roll y Ross, 1986) establece qué variables</w:t>
      </w:r>
    </w:p>
    <w:p>
      <w:r>
        <w:t>valora el mercado, pero no aborda la velocidad de incorporación ni el papel de la</w:t>
      </w:r>
    </w:p>
    <w:p>
      <w:r>
        <w:t>liquidez; la de monedas-commodity (Chen y Rogoff, 2003) y la chilena del Banco</w:t>
      </w:r>
    </w:p>
    <w:p>
      <w:r>
        <w:t>Central documentan el eslabón cobre→tipo de cambio, deteniéndose un paso antes de la</w:t>
      </w:r>
    </w:p>
    <w:p>
      <w:r>
        <w:t>valoración accionaria; y los estudios sectoriales internacionales (Mendiola et al.,</w:t>
      </w:r>
    </w:p>
    <w:p>
      <w:r>
        <w:t>2022; Kilian y Park, 2009) cuantifican la reacción de las mineras al commodity pero</w:t>
      </w:r>
    </w:p>
    <w:p>
      <w:r>
        <w:t>sin el contraste de microestructura que aquí se explota. Por su parte, la literatura</w:t>
      </w:r>
    </w:p>
    <w:p>
      <w:r>
        <w:t>de iliquidez (Amihud, 2002; Bekaert et al., 2007) provee el marco conceptual y la</w:t>
      </w:r>
    </w:p>
    <w:p>
      <w:r>
        <w:t>métrica, pero rara vez se aplica a un experimento natural tan nítido como el que ofrece</w:t>
      </w:r>
    </w:p>
    <w:p>
      <w:r>
        <w:t>el par Antofagasta–Pucobre: dos pure-plays con idéntica exposición fundamental al</w:t>
      </w:r>
    </w:p>
    <w:p>
      <w:r>
        <w:t>cobre y liquidez radicalmente distinta. La originalidad de esta tesis reside,</w:t>
      </w:r>
    </w:p>
    <w:p>
      <w:r>
        <w:t>precisamente, en cruzar esas tradiciones —factores macro, cointegración, volatilidad y</w:t>
      </w:r>
    </w:p>
    <w:p>
      <w:r>
        <w:t>microestructura— para descomponer la transmisión cobre→valoración por horizonte y</w:t>
      </w:r>
    </w:p>
    <w:p>
      <w:r>
        <w:t>atribuir la pendiente de esa curva a la liquidez, en un mercado emergente y sobre un</w:t>
      </w:r>
    </w:p>
    <w:p>
      <w:r>
        <w:t>sector de importancia sistémica para el país.</w:t>
      </w:r>
    </w:p>
    <w:p>
      <w:pPr>
        <w:pStyle w:val="Heading2"/>
      </w:pPr>
      <w:r>
        <w:t>4. Datos</w:t>
      </w:r>
    </w:p>
    <w:p>
      <w:pPr>
        <w:pStyle w:val="Heading3"/>
      </w:pPr>
      <w:r>
        <w:t>4.0 El sector del cobre en Chile: contexto institucional</w:t>
      </w:r>
    </w:p>
    <w:p>
      <w:r>
        <w:t>Chile es el primer productor mundial de cobre de mina, con una participación cercana</w:t>
      </w:r>
    </w:p>
    <w:p>
      <w:r>
        <w:t>a un cuarto de la oferta global, y el metal concentra del orden de la mitad de su</w:t>
      </w:r>
    </w:p>
    <w:p>
      <w:r>
        <w:t>canasta exportadora. Esta especialización confiere al cobre un papel macroeconómico</w:t>
      </w:r>
    </w:p>
    <w:p>
      <w:r>
        <w:t>de primer orden: influye en la balanza comercial, en los ingresos fiscales —por la</w:t>
      </w:r>
    </w:p>
    <w:p>
      <w:r>
        <w:t>vía de Codelco y de los tributos a la gran minería privada— y en la trayectoria del</w:t>
      </w:r>
    </w:p>
    <w:p>
      <w:r>
        <w:t>tipo de cambio real. La institucionalidad del sector combina una empresa estatal de</w:t>
      </w:r>
    </w:p>
    <w:p>
      <w:r>
        <w:t>gran escala (Codelco), que no cotiza en renta variable y sólo accede a los mercados</w:t>
      </w:r>
    </w:p>
    <w:p>
      <w:r>
        <w:t>mediante emisión de deuda, con un conjunto de productores privados de tamaño y</w:t>
      </w:r>
    </w:p>
    <w:p>
      <w:r>
        <w:t>estructura de propiedad heterogéneos. Esta configuración explica por qué el universo</w:t>
      </w:r>
    </w:p>
    <w:p>
      <w:r>
        <w:t>de mineras de cobre accesibles para un inversionista bursátil es reducido y por qué</w:t>
      </w:r>
    </w:p>
    <w:p>
      <w:r>
        <w:t>su estudio exige resolver primero, de forma empírica, qué emisores existen y con qué</w:t>
      </w:r>
    </w:p>
    <w:p>
      <w:r>
        <w:t>profundidad de mercado.</w:t>
      </w:r>
    </w:p>
    <w:p>
      <w:r>
        <w:t xml:space="preserve">La </w:t>
      </w:r>
      <w:r>
        <w:rPr>
          <w:b/>
        </w:rPr>
        <w:t>Bolsa de Santiago</w:t>
      </w:r>
      <w:r>
        <w:t>, principal plaza accionaria del país, se caracteriza por una</w:t>
      </w:r>
    </w:p>
    <w:p>
      <w:r>
        <w:t>capitalización moderada en términos internacionales y por una **liquidez muy</w:t>
      </w:r>
    </w:p>
    <w:p>
      <w:r>
        <w:t>heterogénea** entre emisores: unos pocos títulos de gran capitalización concentran el</w:t>
      </w:r>
    </w:p>
    <w:p>
      <w:r>
        <w:t>grueso del volumen, mientras que numerosas acciones de menor tamaño transan de forma</w:t>
      </w:r>
    </w:p>
    <w:p>
      <w:r>
        <w:t>intermitente. Esta dualidad de liquidez es central para esta tesis, pues el contraste</w:t>
      </w:r>
    </w:p>
    <w:p>
      <w:r>
        <w:t>entre un pure-play de cobre cotizado en una plaza profunda (Antofagasta, en Londres)</w:t>
      </w:r>
    </w:p>
    <w:p>
      <w:r>
        <w:t>y otro cotizado localmente con baja profundidad (Pucobre) provee la variación que</w:t>
      </w:r>
    </w:p>
    <w:p>
      <w:r>
        <w:t>permite identificar el efecto de la microestructura sobre la transmisión de precios.</w:t>
      </w:r>
    </w:p>
    <w:p>
      <w:r>
        <w:t>El período 2004–2026 cubre, además, un conjunto excepcionalmente rico de regímenes</w:t>
      </w:r>
    </w:p>
    <w:p>
      <w:r>
        <w:t>para el precio del cobre: el superciclo de las materias primas (2004–2011),</w:t>
      </w:r>
    </w:p>
    <w:p>
      <w:r>
        <w:t>impulsado por la urbanización e industrialización de China; el colapso abrupto de la</w:t>
      </w:r>
    </w:p>
    <w:p>
      <w:r>
        <w:t>crisis financiera global (2008–2009); la corrección de mediados de la década pasada;</w:t>
      </w:r>
    </w:p>
    <w:p>
      <w:r>
        <w:t>el desplome y la recuperación en torno a la pandemia (2020); y el repunte vinculado a</w:t>
      </w:r>
    </w:p>
    <w:p>
      <w:r>
        <w:t>la transición energética y la electromovilidad (2021 en adelante). Esta sucesión de</w:t>
      </w:r>
    </w:p>
    <w:p>
      <w:r>
        <w:t>auges y caídas ofrece un laboratorio natural para examinar la estabilidad de la</w:t>
      </w:r>
    </w:p>
    <w:p>
      <w:r>
        <w:t>relación cobre–valoración y para justificar el análisis de quiebres estructurales y</w:t>
      </w:r>
    </w:p>
    <w:p>
      <w:r>
        <w:t>de submuestras.</w:t>
      </w:r>
    </w:p>
    <w:p>
      <w:pPr>
        <w:pStyle w:val="Heading3"/>
      </w:pPr>
      <w:r>
        <w:t>4.1 Universo de empresas (resuelto empíricamente)</w:t>
      </w:r>
    </w:p>
    <w:p>
      <w:r>
        <w:t>El universo de mineras de cobre cotizadas vinculadas a Chile es muy reducido. Se</w:t>
      </w:r>
    </w:p>
    <w:p>
      <w:r>
        <w:t>verificó la disponibilidad real de cada candidato mediante descarga efectiva (no se</w:t>
      </w:r>
    </w:p>
    <w:p>
      <w:r>
        <w:t>asumió su existencia). El resultado se organiza en tres anillos concéntricos: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3. Universo de empresas (resuelto empíricamente)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Anillo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Ticker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Mercado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Moneda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Obs.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 (núcleo cobre)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Antofagasta plc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LSE (cross-listed)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GBp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6.720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 (núcleo cobre)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 (Punta del Cobre)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Bolsa de Santiago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6.673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 (materiales)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 S.A.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Santiago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6.673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 (materiales)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Santiago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6.673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 (ref. int'l)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SCCO, FCX, BHP, GLEN.L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Southern, Freeport, BHP, Glencore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NYSE/LSE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USD/GBp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3.793–6.641</w:t>
            </w:r>
          </w:p>
        </w:tc>
      </w:tr>
    </w:tbl>
    <w:p>
      <w:pPr>
        <w:spacing w:after="80"/>
      </w:pPr>
    </w:p>
    <w:p>
      <w:r>
        <w:t>Codelco se excluye del análisis accionario (estatal, no cotiza en renta variable;</w:t>
      </w:r>
    </w:p>
    <w:p>
      <w:r>
        <w:t>sólo emite deuda). Hallazgo relevante: *Pucobre es el único pure-play* de cobre</w:t>
      </w:r>
    </w:p>
    <w:p>
      <w:r>
        <w:t>listado directamente en la Bolsa de Santiago y en pesos**, lo que habilita el</w:t>
      </w:r>
    </w:p>
    <w:p>
      <w:r>
        <w:t>contraste con Antofagasta (cross-listed, GBp, alta liquidez) que vertebra la tesis.</w:t>
      </w:r>
    </w:p>
    <w:p>
      <w:r>
        <w:t>La Tabla siguiente documenta la verificación empírica de disponibilidad de cada</w:t>
      </w:r>
    </w:p>
    <w:p>
      <w:r>
        <w:t>candidato (número de observaciones, rango de fechas y moneda).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4. Verificación empírica de disponibilidad de los candidatos del universo en Yahoo Finance: ticker, descripción, disponibilidad, observaciones, rango de fechas y moneda.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ticker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desc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ok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inicio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fin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moneda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nota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Antofagasta plc (LSE) - cobre pure-play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6720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GBp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PUCV.SN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 / Punta del Cobre (Santiago) - cobre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False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sin datos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 alt ticker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6673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 S.A. (Santiago) - hierro/acero/mineria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6673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 serie B (Santiago) - litio/potasio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6673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SQM-A.SN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 serie A (Santiago)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6673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SCCO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Southern Copper (NYSE) - cobre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6641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FCX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Freeport-McMoRan (NYSE) - cobre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6641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GLEN.L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Glencore (LSE) - diversificada/cobre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3793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2011-05-19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GBp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BHP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BHP (NYSE) - diversificada/cobre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6641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^IPSA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Indice IPSA (Bolsa de Santiago)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4347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2002-01-02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HG=F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Futuro cobre COMEX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6465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2000-08-30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CLP=X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USD/CLP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5830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2003-12-01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CLP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DX-Y.NYB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Indice dolar DXY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True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6670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2000-01-03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2026-05-29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</w:tbl>
    <w:p>
      <w:pPr>
        <w:spacing w:after="80"/>
      </w:pPr>
    </w:p>
    <w:p>
      <w:r>
        <w:t>#### 4.1.1 Perfiles institucionales</w:t>
      </w:r>
    </w:p>
    <w:p>
      <w:r/>
      <w:r>
        <w:rPr>
          <w:b/>
        </w:rPr>
        <w:t>Antofagasta plc.</w:t>
      </w:r>
      <w:r>
        <w:t xml:space="preserve"> Pure-play de cobre del grupo Luksic (familia chilena), con</w:t>
      </w:r>
    </w:p>
    <w:p>
      <w:r>
        <w:t xml:space="preserve">operación íntegramente en Chile pero </w:t>
      </w:r>
      <w:r>
        <w:rPr>
          <w:b/>
        </w:rPr>
        <w:t>cotización primaria en la Bolsa de Londres</w:t>
      </w:r>
      <w:r>
        <w:t xml:space="preserve"> e</w:t>
      </w:r>
    </w:p>
    <w:p>
      <w:r>
        <w:t>integración al índice FTSE-100. Produjo del orden de 0,65 millones de toneladas de</w:t>
      </w:r>
    </w:p>
    <w:p>
      <w:r>
        <w:t>cobre en 2025, a través de minas como Los Pelambres, Centinela y otras en el norte de</w:t>
      </w:r>
    </w:p>
    <w:p>
      <w:r>
        <w:t>Chile. Su tamaño, su condición de blue chip británico y su elevada liquidez la</w:t>
      </w:r>
    </w:p>
    <w:p>
      <w:r>
        <w:t>convierten en el referente del pure-play líquido del estudio.</w:t>
      </w:r>
    </w:p>
    <w:p>
      <w:r/>
      <w:r>
        <w:rPr>
          <w:b/>
        </w:rPr>
        <w:t>Pucobre (Sociedad Punta del Cobre S.A.).</w:t>
      </w:r>
      <w:r>
        <w:t xml:space="preserve"> Productor de cobre de tamaño medio-bajo</w:t>
      </w:r>
    </w:p>
    <w:p>
      <w:r>
        <w:t>con operaciones concentradas en la Región de Atacama, **listado directamente en la</w:t>
      </w:r>
    </w:p>
    <w:p>
      <w:r>
        <w:t>Bolsa de Santiago y denominado en pesos**. Su capitalización y, sobre todo, su</w:t>
      </w:r>
    </w:p>
    <w:p>
      <w:r/>
      <w:r>
        <w:rPr>
          <w:b/>
        </w:rPr>
        <w:t>liquidez bursátil</w:t>
      </w:r>
      <w:r>
        <w:t xml:space="preserve"> son órdenes de magnitud menores que las de Antofagasta: no</w:t>
      </w:r>
    </w:p>
    <w:p>
      <w:r>
        <w:t>registra transacciones en cerca del 62% de las jornadas (§6.12). Es, por</w:t>
      </w:r>
    </w:p>
    <w:p>
      <w:r>
        <w:t>construcción, el caso ideal de pure-play local e ilíquido y el centro del contraste</w:t>
      </w:r>
    </w:p>
    <w:p>
      <w:r>
        <w:t>de la tesis.</w:t>
      </w:r>
    </w:p>
    <w:p>
      <w:r/>
      <w:r>
        <w:rPr>
          <w:b/>
        </w:rPr>
        <w:t>CAP S.A.</w:t>
      </w:r>
      <w:r>
        <w:t xml:space="preserve"> Conglomerado chileno de minería del hierro y acero (no cobre puro),</w:t>
      </w:r>
    </w:p>
    <w:p>
      <w:r>
        <w:t>listado en Santiago; entra en el anillo de minería-materiales como control sectorial.</w:t>
      </w:r>
    </w:p>
    <w:p>
      <w:r/>
      <w:r>
        <w:rPr>
          <w:b/>
        </w:rPr>
        <w:t>SQM (Sociedad Química y Minera de Chile).</w:t>
      </w:r>
      <w:r>
        <w:t xml:space="preserve"> Productor de litio, yodo y potasio (no</w:t>
      </w:r>
    </w:p>
    <w:p>
      <w:r>
        <w:t>cobre); su inclusión permite distinguir la sensibilidad específica al cobre de la</w:t>
      </w:r>
    </w:p>
    <w:p>
      <w:r>
        <w:t>sensibilidad genérica a commodities mineros chilenos.</w:t>
      </w:r>
    </w:p>
    <w:p>
      <w:r/>
      <w:r>
        <w:rPr>
          <w:b/>
        </w:rPr>
        <w:t>Referencias internacionales.</w:t>
      </w:r>
      <w:r>
        <w:t xml:space="preserve"> Southern Copper (SCCO) y Freeport-McMoRan (FCX),</w:t>
      </w:r>
    </w:p>
    <w:p>
      <w:r>
        <w:t>grandes mineras de cobre de las Américas; BHP, diversificada con fuerte exposición a</w:t>
      </w:r>
    </w:p>
    <w:p>
      <w:r>
        <w:t>cobre (incluida la mina Escondida en Chile); y Glencore, trader/minera diversificada.</w:t>
      </w:r>
    </w:p>
    <w:p>
      <w:r>
        <w:t>Aportan un benchmark externo de la elasticidad-cobre y validez de las magnitudes.</w:t>
      </w:r>
    </w:p>
    <w:p>
      <w:pPr>
        <w:pStyle w:val="Heading3"/>
      </w:pPr>
      <w:r>
        <w:t>4.2 Variables y fuentes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5. Variables y fuentes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Bloque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Variables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Fuente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Frecuencia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Canal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Dependiente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Precios de 8 activos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 (ajustados)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Futuro COMEX (HG=F)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Demanda/ingreso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Moneda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USD/CLP (CLP=X), DXY (DX-Y.NYB)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Moneda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Tasas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UST 13s/5A/10A (^IRX/^FVX/^TNX)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Descuento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Riesgo/mercado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VIX, S&amp;P 500, ETF MSCI Chile (ECH)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Riesgo/beta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Energía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WTI (CL=F)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Yahoo Finance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Costos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Macro Chile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TPM, IMACEC, IPC, dólar observado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mindicador.cl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Diaria/Mensual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Doméstico</w:t>
            </w:r>
          </w:p>
        </w:tc>
      </w:tr>
    </w:tbl>
    <w:p>
      <w:pPr>
        <w:spacing w:after="80"/>
      </w:pPr>
    </w:p>
    <w:p>
      <w:pPr>
        <w:pStyle w:val="Heading3"/>
      </w:pPr>
      <w:r>
        <w:t>4.3 Construcción de variables y tratamiento</w:t>
      </w:r>
    </w:p>
    <w:p>
      <w:r>
        <w:t>Se construyen log-precios ln(P_t) (niveles, para análisis de cointegración),</w:t>
      </w:r>
    </w:p>
    <w:p>
      <w:r>
        <w:t>log-retornos diarios r_t = 100·Δln(P_t) (variable principal, I(0)), variaciones log</w:t>
      </w:r>
    </w:p>
    <w:p>
      <w:r>
        <w:t>de los factores de precio y primeras diferencias de las tasas en nivel. El manejo de</w:t>
      </w:r>
    </w:p>
    <w:p>
      <w:r>
        <w:t>datos faltantes emplea forward-fill acotado (máximo 3–5 días) sólo para series de</w:t>
      </w:r>
    </w:p>
    <w:p>
      <w:r>
        <w:t>nivel; los retornos no se rellenan, para no introducir autocorrelación espuria. La</w:t>
      </w:r>
    </w:p>
    <w:p>
      <w:r>
        <w:t>alineación de calendarios entre las plazas de Londres, Santiago y Nueva York reduce la</w:t>
      </w:r>
    </w:p>
    <w:p>
      <w:r>
        <w:t>muestra efectiva común en las regresiones multifactor a n ≈ 4.475 observaciones</w:t>
      </w:r>
    </w:p>
    <w:p>
      <w:r>
        <w:t>diarias.</w:t>
      </w:r>
    </w:p>
    <w:p>
      <w:r>
        <w:t>Tres decisiones de tratamiento merecen explicitarse por su efecto sobre los</w:t>
      </w:r>
    </w:p>
    <w:p>
      <w:r>
        <w:t xml:space="preserve">resultados. Primero, la elección de </w:t>
      </w:r>
      <w:r>
        <w:rPr>
          <w:b/>
        </w:rPr>
        <w:t>log-retornos</w:t>
      </w:r>
      <w:r>
        <w:t xml:space="preserve"> (en lugar de retornos simples)</w:t>
      </w:r>
    </w:p>
    <w:p>
      <w:r>
        <w:t>garantiza aditividad temporal y mejora las propiedades distribucionales, además de ser</w:t>
      </w:r>
    </w:p>
    <w:p>
      <w:r>
        <w:t>el estándar en la literatura de series financieras. Segundo, se optó por **no</w:t>
      </w:r>
    </w:p>
    <w:p>
      <w:r>
        <w:t>winsorizar** la variable dependiente en la especificación principal: los valores</w:t>
      </w:r>
    </w:p>
    <w:p>
      <w:r>
        <w:t>extremos de Pucobre no son errores de medición sino la manifestación genuina de su</w:t>
      </w:r>
    </w:p>
    <w:p>
      <w:r>
        <w:t>thin trading, de modo que recortarlos eliminaría precisamente el fenómeno de</w:t>
      </w:r>
    </w:p>
    <w:p>
      <w:r>
        <w:t>interés; su efecto sobre la inferencia se controla mediante errores robustos (HAC) y</w:t>
      </w:r>
    </w:p>
    <w:p>
      <w:r>
        <w:t>distribuciones de colas pesadas (t-Student) en los modelos de volatilidad. Tercero, la</w:t>
      </w:r>
    </w:p>
    <w:p>
      <w:r>
        <w:t>sustitución del índice IPSA —cuya serie pública resultó incompleta— por el ETF iShares</w:t>
      </w:r>
    </w:p>
    <w:p>
      <w:r>
        <w:t>MSCI Chile (ECH) como aproximación del mercado local introduce un componente</w:t>
      </w:r>
    </w:p>
    <w:p>
      <w:r>
        <w:t>cambiario, dado que ECH se denomina en dólares; este solapamiento parcial con el factor</w:t>
      </w:r>
    </w:p>
    <w:p>
      <w:r>
        <w:t>USD/CLP se monitorea mediante el factor de inflación de varianza, que se mantiene en</w:t>
      </w:r>
    </w:p>
    <w:p>
      <w:r>
        <w:t>niveles moderados (máximo ≈3.5), descartando colinealidad severa. Cada una de estas</w:t>
      </w:r>
    </w:p>
    <w:p>
      <w:r>
        <w:t>decisiones se documenta en el diccionario de datos del repositorio.</w:t>
      </w:r>
    </w:p>
    <w:p>
      <w:pPr>
        <w:pStyle w:val="Heading3"/>
      </w:pPr>
      <w:r>
        <w:t>4.4 Período de estudio</w:t>
      </w:r>
    </w:p>
    <w:p>
      <w:r>
        <w:t>El período base es 2004-01 a 2026-05 a frecuencia diaria, acotado por el inicio de</w:t>
      </w:r>
    </w:p>
    <w:p>
      <w:r>
        <w:t>la serie USD/CLP de calidad. Se construye además una versión mensual para integrar la</w:t>
      </w:r>
    </w:p>
    <w:p>
      <w:r>
        <w:t>macro de baja frecuencia (IMACEC, IPC). Para análisis de robustez se definen</w:t>
      </w:r>
    </w:p>
    <w:p>
      <w:r>
        <w:t>submuestras en torno a regímenes candidatos —crisis financiera de 2008, superciclo</w:t>
      </w:r>
    </w:p>
    <w:p>
      <w:r>
        <w:t>del cobre 2010–2014, período 2015–2019 y COVID/pospandemia 2020–2026.</w:t>
      </w:r>
    </w:p>
    <w:p>
      <w:pPr>
        <w:pStyle w:val="Heading3"/>
      </w:pPr>
      <w:r>
        <w:t>4.5 Limitaciones de datos (declaradas)</w:t>
      </w:r>
    </w:p>
    <w:p>
      <w:pPr>
        <w:pStyle w:val="ListBullet"/>
      </w:pPr>
      <w:r/>
      <w:r>
        <w:rPr>
          <w:b/>
        </w:rPr>
        <w:t>^IPSA (Yahoo) es inconsistente</w:t>
      </w:r>
      <w:r>
        <w:t xml:space="preserve"> post-2019; se sustituyó el factor de mercado</w:t>
      </w:r>
    </w:p>
    <w:p>
      <w:r>
        <w:t>local por el ETF iShares MSCI Chile (ECH, NYSE, USD), con cobertura limpia</w:t>
      </w:r>
    </w:p>
    <w:p>
      <w:r>
        <w:t>2007–2026. Costo: ECH incorpora el componente cambiario, parcialmente solapado</w:t>
      </w:r>
    </w:p>
    <w:p>
      <w:r>
        <w:t>con USD/CLP (monitoreado vía VIF; máximo ≈ 3.5, sin colinealidad severa).</w:t>
      </w:r>
    </w:p>
    <w:p>
      <w:pPr>
        <w:pStyle w:val="ListBullet"/>
      </w:pPr>
      <w:r/>
      <w:r>
        <w:rPr>
          <w:b/>
        </w:rPr>
        <w:t>Macro nacional</w:t>
      </w:r>
      <w:r>
        <w:t xml:space="preserve"> incorporada sin credenciales vía la API pública mindicador.cl</w:t>
      </w:r>
    </w:p>
    <w:p>
      <w:r>
        <w:t>(TPM diaria, IMACEC e IPC mensuales, dólar observado). El EMBI Chile y las tasas</w:t>
      </w:r>
    </w:p>
    <w:p>
      <w:r>
        <w:t>largas locales (BCU/BTU) siguen requiriendo credenciales del Banco Central.</w:t>
      </w:r>
    </w:p>
    <w:p>
      <w:pPr>
        <w:pStyle w:val="ListBullet"/>
      </w:pPr>
      <w:r/>
      <w:r>
        <w:rPr>
          <w:b/>
        </w:rPr>
        <w:t>Calendarios heterogéneos</w:t>
      </w:r>
      <w:r>
        <w:t xml:space="preserve"> (LSE/Santiago/NYSE) reducen la muestra por intersección.</w:t>
      </w:r>
    </w:p>
    <w:p>
      <w:pPr>
        <w:pStyle w:val="Heading2"/>
      </w:pPr>
      <w:r>
        <w:t>5. Metodología</w:t>
      </w:r>
    </w:p>
    <w:p>
      <w:r>
        <w:t>El diseño nace de las propiedades de los datos (sección 6.2). Dado que los</w:t>
      </w:r>
    </w:p>
    <w:p>
      <w:r>
        <w:t>log-precios son I(1) y los retornos I(0) —mezcla I(0)/I(1) sin presencia de I(2)— se</w:t>
      </w:r>
    </w:p>
    <w:p>
      <w:r>
        <w:t>articula el siguiente árbol de modelos, cada uno respondiendo una pregunta precisa.</w:t>
      </w:r>
    </w:p>
    <w:p>
      <w:pPr>
        <w:pStyle w:val="Heading3"/>
      </w:pPr>
      <w:r>
        <w:t>5.0 Estrategia de identificación</w:t>
      </w:r>
    </w:p>
    <w:p>
      <w:r>
        <w:t>La pregunta causal —¿cómo afecta el precio del cobre a la valoración de una minera</w:t>
      </w:r>
    </w:p>
    <w:p>
      <w:r>
        <w:t>chilena?— enfrenta el riesgo habitual de endogeneidad. Aquí, sin embargo, la</w:t>
      </w:r>
    </w:p>
    <w:p>
      <w:r>
        <w:t>identificación se apoya en dos pilares razonables:</w:t>
      </w:r>
    </w:p>
    <w:p>
      <w:pPr>
        <w:pStyle w:val="ListNumber"/>
      </w:pPr>
      <w:r/>
      <w:r>
        <w:rPr>
          <w:b/>
        </w:rPr>
        <w:t>El cobre como shock externo (cuasi-exógeno).</w:t>
      </w:r>
      <w:r>
        <w:t xml:space="preserve"> El precio del cobre se determina</w:t>
      </w:r>
    </w:p>
    <w:p>
      <w:r>
        <w:t>en mercados globales (LME/COMEX) por la oferta y demanda mundiales —dominadas por</w:t>
      </w:r>
    </w:p>
    <w:p>
      <w:r>
        <w:t>China—; dos empresas chilenas, una de ellas pequeña, **no mueven el precio</w:t>
      </w:r>
    </w:p>
    <w:p>
      <w:r>
        <w:t>mundial**. Esta exogeneidad se contrasta empíricamente: el test de Toda-Yamamoto</w:t>
      </w:r>
    </w:p>
    <w:p>
      <w:r>
        <w:t xml:space="preserve">arroja causalidad </w:t>
      </w:r>
      <w:r>
        <w:rPr>
          <w:b/>
        </w:rPr>
        <w:t>unidireccional</w:t>
      </w:r>
      <w:r>
        <w:t xml:space="preserve"> cobre→Antofagasta (§6.11), descartando</w:t>
      </w:r>
    </w:p>
    <w:p>
      <w:r>
        <w:t>retroalimentación. El cobre opera, así, como una fuente de variación plausiblemente</w:t>
      </w:r>
    </w:p>
    <w:p>
      <w:r>
        <w:t>exógena para la valoración local.</w:t>
      </w:r>
    </w:p>
    <w:p>
      <w:pPr>
        <w:pStyle w:val="ListNumber"/>
      </w:pPr>
      <w:r/>
      <w:r>
        <w:rPr>
          <w:b/>
        </w:rPr>
        <w:t>Diseño cuasi-experimental por liquidez.</w:t>
      </w:r>
      <w:r>
        <w:t xml:space="preserve"> Antofagasta y Pucobre comparten la</w:t>
      </w:r>
    </w:p>
    <w:p>
      <w:r/>
      <w:r>
        <w:rPr>
          <w:b/>
        </w:rPr>
        <w:t>misma exposición fundamental</w:t>
      </w:r>
      <w:r>
        <w:t xml:space="preserve"> al cobre (ambos son pure-plays) pero difieren</w:t>
      </w:r>
    </w:p>
    <w:p>
      <w:r>
        <w:t xml:space="preserve">radicalmente en </w:t>
      </w:r>
      <w:r>
        <w:rPr>
          <w:b/>
        </w:rPr>
        <w:t>microestructura</w:t>
      </w:r>
      <w:r>
        <w:t xml:space="preserve"> (liquidez). Comparar la velocidad de</w:t>
      </w:r>
    </w:p>
    <w:p>
      <w:r>
        <w:t xml:space="preserve">transmisión entre ambos </w:t>
      </w:r>
      <w:r>
        <w:rPr>
          <w:b/>
        </w:rPr>
        <w:t>aísla el efecto de la liquidez</w:t>
      </w:r>
      <w:r>
        <w:t>, manteniendo</w:t>
      </w:r>
    </w:p>
    <w:p>
      <w:r>
        <w:t>aproximadamente constante el fundamento: las referencias internacionales</w:t>
      </w:r>
    </w:p>
    <w:p>
      <w:r>
        <w:t>(SCCO/FCX/BHP/GLEN) y los materiales chilenos (CAP/SQM) sirven como benchmarks de</w:t>
      </w:r>
    </w:p>
    <w:p>
      <w:r>
        <w:t>exposición. La diferencia sistemática en el horizonte de transmisión —no en el</w:t>
      </w:r>
    </w:p>
    <w:p>
      <w:r>
        <w:t>nivel de largo plazo— es, por tanto, atribuible a la fricción de liquidez, no a una</w:t>
      </w:r>
    </w:p>
    <w:p>
      <w:r>
        <w:t>desconexión fundamental.</w:t>
      </w:r>
    </w:p>
    <w:p>
      <w:r/>
      <w:r>
        <w:rPr>
          <w:b/>
        </w:rPr>
        <w:t>Variables omitidas.</w:t>
      </w:r>
      <w:r>
        <w:t xml:space="preserve"> El diseño controla por los factores globales que podrían</w:t>
      </w:r>
    </w:p>
    <w:p>
      <w:r>
        <w:t>confundir el canal del cobre —dólar (DXY), tasas (UST), riesgo (VIX), mercado (S&amp;P y</w:t>
      </w:r>
    </w:p>
    <w:p>
      <w:r>
        <w:t>proxy local) y energía (WTI)—, de modo que la elasticidad-cobre estimada es</w:t>
      </w:r>
    </w:p>
    <w:p>
      <w:r>
        <w:t>incremental respecto de ese comovimiento. Residualmente, factores idiosincrásicos de</w:t>
      </w:r>
    </w:p>
    <w:p>
      <w:r>
        <w:t>empresa (anuncios, guidance, gobierno corporativo) quedan en el error; su efecto se</w:t>
      </w:r>
    </w:p>
    <w:p>
      <w:r>
        <w:t>mitiga al trabajar con retornos y se discute como limitación.</w:t>
      </w:r>
    </w:p>
    <w:p>
      <w:pPr>
        <w:pStyle w:val="Heading3"/>
      </w:pPr>
      <w:r>
        <w:t>5.1 Pruebas previas</w:t>
      </w:r>
    </w:p>
    <w:p>
      <w:r/>
      <w:r>
        <w:rPr>
          <w:b/>
        </w:rPr>
        <w:t>Orden de integración.</w:t>
      </w:r>
      <w:r>
        <w:t xml:space="preserve"> Decisión cruzada con tres pruebas: ADF y Phillips-Perron</w:t>
      </w:r>
    </w:p>
    <w:p>
      <w:r>
        <w:t>(H0: raíz unitaria) y KPSS (H0: estacionariedad). Una serie se clasifica I(0) si al</w:t>
      </w:r>
    </w:p>
    <w:p>
      <w:r>
        <w:t xml:space="preserve">menos dos de las tres convergen en estacionariedad. </w:t>
      </w:r>
      <w:r>
        <w:rPr>
          <w:b/>
        </w:rPr>
        <w:t>Quiebres estructurales.</w:t>
      </w:r>
      <w:r/>
    </w:p>
    <w:p>
      <w:r>
        <w:t>Zivot-Andrews con quiebre endógeno, para descartar que el comportamiento I(1)</w:t>
      </w:r>
    </w:p>
    <w:p>
      <w:r>
        <w:t xml:space="preserve">provenga de un quiebre de nivel/tendencia. </w:t>
      </w:r>
      <w:r>
        <w:rPr>
          <w:b/>
        </w:rPr>
        <w:t>Selección de rezagos.</w:t>
      </w:r>
      <w:r>
        <w:t xml:space="preserve"> Criterios AIC,</w:t>
      </w:r>
    </w:p>
    <w:p>
      <w:r>
        <w:t>BIC y HQ sobre el VAR en niveles.</w:t>
      </w:r>
    </w:p>
    <w:p>
      <w:pPr>
        <w:pStyle w:val="Heading3"/>
      </w:pPr>
      <w:r>
        <w:t>5.2 Impacto contemporáneo: regresión con errores HAC</w:t>
      </w:r>
    </w:p>
    <w:p>
      <w:r>
        <w:t>r_{i,t} = α + β₁ Δln(cobre)_t + β₂ Δln(USDCLP)_t + β₃ Δln(DXY)_t + β₄ Δln(SP500)_t +</w:t>
      </w:r>
    </w:p>
    <w:p>
      <w:r>
        <w:t>β₅ Δln(ECH)_t + β₆ ΔUST10Y_t + β₇ ΔVIX_t + ε_t.</w:t>
      </w:r>
    </w:p>
    <w:p>
      <w:r>
        <w:t xml:space="preserve">La estimación es por MCO con matriz de covarianzas </w:t>
      </w:r>
      <w:r>
        <w:rPr>
          <w:b/>
        </w:rPr>
        <w:t>HAC de Newey-West</w:t>
      </w:r>
      <w:r>
        <w:t>, robusta a</w:t>
      </w:r>
    </w:p>
    <w:p>
      <w:r>
        <w:t>heterocedasticidad y autocorrelación (justificada por los diagnósticos). El</w:t>
      </w:r>
    </w:p>
    <w:p>
      <w:r>
        <w:t xml:space="preserve">coeficiente β₁ es la </w:t>
      </w:r>
      <w:r>
        <w:rPr>
          <w:b/>
        </w:rPr>
        <w:t>elasticidad-cobre contemporánea</w:t>
      </w:r>
      <w:r>
        <w:t xml:space="preserve"> y constituye la prueba</w:t>
      </w:r>
    </w:p>
    <w:p>
      <w:r>
        <w:t>directa de H1 y H2. El rezago de truncamiento se fija según la regla</w:t>
      </w:r>
    </w:p>
    <w:p>
      <w:r>
        <w:t>L = ⌊4·(n/100)^{2/9}⌋.</w:t>
      </w:r>
    </w:p>
    <w:p>
      <w:pPr>
        <w:pStyle w:val="Heading3"/>
      </w:pPr>
      <w:r>
        <w:t>5.3 Dinámica conjunta: VAR, IRF, FEVD y causalidad</w:t>
      </w:r>
    </w:p>
    <w:p>
      <w:r>
        <w:t>Sobre el sistema estacionario {r_i, Δcobre, ΔUSDCLP, ΔDXY, ΔSP500} se estima un VAR.</w:t>
      </w:r>
    </w:p>
    <w:p>
      <w:r>
        <w:t>Con identificación de Cholesky (factores globales ordenados primero, activo al</w:t>
      </w:r>
    </w:p>
    <w:p>
      <w:r>
        <w:t xml:space="preserve">final, por ser el más endógeno) se computan: la </w:t>
      </w:r>
      <w:r>
        <w:rPr>
          <w:b/>
        </w:rPr>
        <w:t>IRF</w:t>
      </w:r>
      <w:r>
        <w:t>, que traza la respuesta</w:t>
      </w:r>
    </w:p>
    <w:p>
      <w:r>
        <w:t xml:space="preserve">dinámica del retorno del activo ante un shock unitario del cobre; la </w:t>
      </w:r>
      <w:r>
        <w:rPr>
          <w:b/>
        </w:rPr>
        <w:t>FEVD</w:t>
      </w:r>
      <w:r>
        <w:t>, que</w:t>
      </w:r>
    </w:p>
    <w:p>
      <w:r>
        <w:t>mide la fracción de la varianza del error de predicción del retorno atribuible al</w:t>
      </w:r>
    </w:p>
    <w:p>
      <w:r>
        <w:t xml:space="preserve">cobre a distintos horizontes; y la </w:t>
      </w:r>
      <w:r>
        <w:rPr>
          <w:b/>
        </w:rPr>
        <w:t>causalidad de Granger</w:t>
      </w:r>
      <w:r>
        <w:t xml:space="preserve"> cobre→activo.</w:t>
      </w:r>
    </w:p>
    <w:p>
      <w:pPr>
        <w:pStyle w:val="Heading3"/>
      </w:pPr>
      <w:r>
        <w:t>5.4 Largo plazo: cointegración de Johansen y VECM</w:t>
      </w:r>
    </w:p>
    <w:p>
      <w:r>
        <w:t>Sobre el vector de niveles y_t = [ln P_i, ln cobre, ln USDCLP, ln DXY] se aplica el</w:t>
      </w:r>
    </w:p>
    <w:p>
      <w:r>
        <w:t>procedimiento de Johansen para determinar el rango de cointegración r. Si r ≥ 1, se</w:t>
      </w:r>
    </w:p>
    <w:p>
      <w:r>
        <w:t>estima el VECM Δy_t = α (β' y_{t−1}) + Σ Γ_j Δy_{t−j} + u_t, donde β es el vector</w:t>
      </w:r>
    </w:p>
    <w:p>
      <w:r>
        <w:t>cointegrante (relación de equilibrio de largo plazo, normalizado al precio de la</w:t>
      </w:r>
    </w:p>
    <w:p>
      <w:r>
        <w:t>acción) y α la velocidad de ajuste (corrección diaria del desequilibrio). Esto</w:t>
      </w:r>
    </w:p>
    <w:p>
      <w:r>
        <w:t>contrasta H3. Como verificación cruzada uniecuacional se aplica el ARDL bounds test</w:t>
      </w:r>
    </w:p>
    <w:p>
      <w:r>
        <w:t>de Pesaran-Shin-Smith.</w:t>
      </w:r>
    </w:p>
    <w:p>
      <w:pPr>
        <w:pStyle w:val="Heading3"/>
      </w:pPr>
      <w:r>
        <w:t>5.5 Asimetría: NARDL</w:t>
      </w:r>
    </w:p>
    <w:p>
      <w:r>
        <w:t>Para contrastar si la acción responde de forma distinta a alzas y caídas del cobre,</w:t>
      </w:r>
    </w:p>
    <w:p>
      <w:r>
        <w:t>se descompone el log-precio del cobre en sumas parciales: cobre⁺_t = Σ máx(Δcobre,0)</w:t>
      </w:r>
    </w:p>
    <w:p>
      <w:r>
        <w:t>y cobre⁻_t = Σ mín(Δcobre,0), y se estima un ARDL con ambas como regresores. La</w:t>
      </w:r>
    </w:p>
    <w:p>
      <w:r>
        <w:t>prueba de Wald sobre la igualdad de los coeficientes de largo plazo (H0: θ⁺ = θ⁻)</w:t>
      </w:r>
    </w:p>
    <w:p>
      <w:r>
        <w:t>detecta asimetría.</w:t>
      </w:r>
    </w:p>
    <w:p>
      <w:pPr>
        <w:pStyle w:val="Heading3"/>
      </w:pPr>
      <w:r>
        <w:t>5.6 Volatilidad: familia GARCH</w:t>
      </w:r>
    </w:p>
    <w:p>
      <w:r>
        <w:t>Sobre los retornos se ajustan GARCH(1,1), EGARCH(1,1) y GJR-GARCH(1,1) con</w:t>
      </w:r>
    </w:p>
    <w:p>
      <w:r>
        <w:t>distribución t-Student (para capturar las colas pesadas). En el GJR la varianza</w:t>
      </w:r>
    </w:p>
    <w:p>
      <w:r>
        <w:t>condicional es σ²_t = ω + α ε²_{t−1} + γ ε²_{t−1}·1[ε_{t−1}&lt;0] + β σ²_{t−1}; el</w:t>
      </w:r>
    </w:p>
    <w:p>
      <w:r>
        <w:t xml:space="preserve">término γ captura el </w:t>
      </w:r>
      <w:r>
        <w:rPr>
          <w:b/>
        </w:rPr>
        <w:t>efecto apalancamiento</w:t>
      </w:r>
      <w:r>
        <w:t>. La persistencia se mide por α+β.</w:t>
      </w:r>
    </w:p>
    <w:p>
      <w:r>
        <w:t>Contrasta H4.</w:t>
      </w:r>
    </w:p>
    <w:p>
      <w:pPr>
        <w:pStyle w:val="Heading3"/>
      </w:pPr>
      <w:r>
        <w:t>5.7 Datos de panel</w:t>
      </w:r>
    </w:p>
    <w:p>
      <w:r>
        <w:t>Sobre el panel de los cuatro activos chilenos (anillos A+B) se estiman Pooled OLS,</w:t>
      </w:r>
    </w:p>
    <w:p>
      <w:r>
        <w:t>efectos fijos (FE) y efectos aleatorios (RE), con prueba de Hausman y errores</w:t>
      </w:r>
    </w:p>
    <w:p>
      <w:r>
        <w:t>agrupados por empresa. Se advierte explícitamente que con N = 4 el panel es robustez</w:t>
      </w:r>
    </w:p>
    <w:p>
      <w:r>
        <w:t>sectorial, no inferencia primaria, y que el GMM dinámico (Arellano-Bond) no es</w:t>
      </w:r>
    </w:p>
    <w:p>
      <w:r>
        <w:t>viable.</w:t>
      </w:r>
    </w:p>
    <w:p>
      <w:pPr>
        <w:pStyle w:val="Heading3"/>
      </w:pPr>
      <w:r>
        <w:t>5.8 Estudio de eventos</w:t>
      </w:r>
    </w:p>
    <w:p>
      <w:r>
        <w:t>Se identifican los anuncios de cambio de TPM y, con un modelo de mercado estimado en</w:t>
      </w:r>
    </w:p>
    <w:p>
      <w:r>
        <w:t>una ventana [−130, −11], se calculan los retornos anormales y el CAAR en la ventana</w:t>
      </w:r>
    </w:p>
    <w:p>
      <w:r>
        <w:t>[−5, +5], distinguiendo alzas y bajas de tasa.</w:t>
      </w:r>
    </w:p>
    <w:p>
      <w:pPr>
        <w:pStyle w:val="Heading3"/>
      </w:pPr>
      <w:r>
        <w:t>5.9 Prueba formal de la hipótesis de iliquidez (H5)</w:t>
      </w:r>
    </w:p>
    <w:p>
      <w:r>
        <w:t xml:space="preserve">Tres pruebas complementarias: (a) </w:t>
      </w:r>
      <w:r>
        <w:rPr>
          <w:b/>
        </w:rPr>
        <w:t>magnitud</w:t>
      </w:r>
      <w:r>
        <w:t xml:space="preserve"> —ratio de Amihud y porcentaje de días</w:t>
      </w:r>
    </w:p>
    <w:p>
      <w:r>
        <w:t xml:space="preserve">con retorno cero por activo; (b) </w:t>
      </w:r>
      <w:r>
        <w:rPr>
          <w:b/>
        </w:rPr>
        <w:t>transversal</w:t>
      </w:r>
      <w:r>
        <w:t xml:space="preserve"> —correlación de Spearman entre</w:t>
      </w:r>
    </w:p>
    <w:p>
      <w:r>
        <w:t>iliquidez y elasticidad-cobre contemporánea sobre los 8 activos; (c) **rezagos</w:t>
      </w:r>
    </w:p>
    <w:p>
      <w:r>
        <w:t>distribuidos** —regresión del retorno sobre el cobre contemporáneo y sus rezagos</w:t>
      </w:r>
    </w:p>
    <w:p>
      <w:r>
        <w:t>0–5, comparando la fracción del impacto que llega el día 0 frente al acumulado.</w:t>
      </w:r>
    </w:p>
    <w:p>
      <w:pPr>
        <w:pStyle w:val="Heading3"/>
      </w:pPr>
      <w:r>
        <w:t>5.10 Estimación, inferencia y reglas de decisión</w:t>
      </w:r>
    </w:p>
    <w:p>
      <w:r>
        <w:t>Toda la inferencia se conduce con errores estándar robustos. En las regresiones de</w:t>
      </w:r>
    </w:p>
    <w:p>
      <w:r>
        <w:t>retornos se emplea la matriz HAC de Newey-West con rezago de truncamiento</w:t>
      </w:r>
    </w:p>
    <w:p>
      <w:r>
        <w:t>L = ⌊4·(n/100)^{2/9}⌋; en el panel, errores agrupados (cluster) por empresa. Las</w:t>
      </w:r>
    </w:p>
    <w:p>
      <w:r>
        <w:t>reglas de decisión son explícitas: (i) raíz unitaria —se concluye I(0) si ≥2 de las</w:t>
      </w:r>
    </w:p>
    <w:p>
      <w:r>
        <w:t>3 pruebas (ADF, PP, KPSS) convergen en estacionariedad al 5%; (ii) cointegración de</w:t>
      </w:r>
    </w:p>
    <w:p>
      <w:r>
        <w:t>Johansen —se acepta el rango r donde el estadístico de la traza deja de superar su</w:t>
      </w:r>
    </w:p>
    <w:p>
      <w:r>
        <w:t>valor crítico al 95%; (iii) bounds test —cointegración si el estadístico F supera el</w:t>
      </w:r>
    </w:p>
    <w:p>
      <w:r>
        <w:t>límite superior I(1) de Pesaran-Shin-Smith al 5%, no concluyente si cae en la banda;</w:t>
      </w:r>
    </w:p>
    <w:p>
      <w:r>
        <w:t>(iv) selección de rezagos —mínimo AIC, contrastado con BIC/HQ; (v) significancia —</w:t>
      </w:r>
    </w:p>
    <w:p>
      <w:r>
        <w:t>umbral del 5% como referencia, reportando el p-valor exacto. Se prefiere reportar</w:t>
      </w:r>
    </w:p>
    <w:p>
      <w:r>
        <w:t>intervalos y estadísticos de prueba antes que estrellas, y se declara explícitamente</w:t>
      </w:r>
    </w:p>
    <w:p>
      <w:r>
        <w:t>cuando un resultado es marginal o no concluyente.</w:t>
      </w:r>
    </w:p>
    <w:p>
      <w:pPr>
        <w:pStyle w:val="Heading3"/>
      </w:pPr>
      <w:r>
        <w:t>5.11 Validación de supuestos</w:t>
      </w:r>
    </w:p>
    <w:p>
      <w:r>
        <w:t>Se aplica una batería completa: Breusch-Godfrey y Ljung-Box (autocorrelación);</w:t>
      </w:r>
    </w:p>
    <w:p>
      <w:r>
        <w:t>Breusch-Pagan, White y ARCH-LM (heterocedasticidad y efectos ARCH); VIF</w:t>
      </w:r>
    </w:p>
    <w:p>
      <w:r>
        <w:t>(multicolinealidad); Jarque-Bera (normalidad); CUSUM y submuestras (estabilidad);</w:t>
      </w:r>
    </w:p>
    <w:p>
      <w:r>
        <w:t>Hausman (FE vs RE). Cada problema detectado motiva la corrección correspondiente</w:t>
      </w:r>
    </w:p>
    <w:p>
      <w:r>
        <w:t>(HAC para autocorrelación, GARCH para ARCH, t-Student para colas).</w:t>
      </w:r>
    </w:p>
    <w:p>
      <w:pPr>
        <w:pStyle w:val="Heading3"/>
      </w:pPr>
      <w:r>
        <w:t>5.12 Consideraciones de potencia y tamaño muestral</w:t>
      </w:r>
    </w:p>
    <w:p>
      <w:r>
        <w:t>El diseño reconoce dos restricciones de potencia y las gestiona de forma explícita.</w:t>
      </w:r>
    </w:p>
    <w:p>
      <w:r>
        <w:t>En la dimensión transversal, el universo de mineras de cobre vinculadas a Chile es</w:t>
      </w:r>
    </w:p>
    <w:p>
      <w:r>
        <w:t>muy pequeño (dos pure-plays y dos comparables sectoriales), por lo que los enfoques</w:t>
      </w:r>
    </w:p>
    <w:p>
      <w:r>
        <w:t>de panel —con N=4 entidades— ofrecen baja potencia y una inferencia cluster poco</w:t>
      </w:r>
    </w:p>
    <w:p>
      <w:r>
        <w:t>fiable; en consecuencia, el panel se reporta únicamente como verificación sectorial y</w:t>
      </w:r>
    </w:p>
    <w:p>
      <w:r>
        <w:t>la inferencia primaria descansa en las series de tiempo por activo, donde el número de</w:t>
      </w:r>
    </w:p>
    <w:p>
      <w:r>
        <w:t>observaciones diarias es holgado (del orden de varios miles). En la dimensión de</w:t>
      </w:r>
    </w:p>
    <w:p>
      <w:r>
        <w:t>series de tiempo, en cambio, el tamaño muestral es amplio, lo que confiere potencia a</w:t>
      </w:r>
    </w:p>
    <w:p>
      <w:r>
        <w:t>las pruebas de raíz unitaria, cointegración y causalidad, pero también las hace</w:t>
      </w:r>
    </w:p>
    <w:p>
      <w:r>
        <w:t>sensibles a la detección de relaciones de magnitud económica modesta; por ello se</w:t>
      </w:r>
    </w:p>
    <w:p>
      <w:r>
        <w:t xml:space="preserve">privilegia la interpretación de las </w:t>
      </w:r>
      <w:r>
        <w:rPr>
          <w:b/>
        </w:rPr>
        <w:t>magnitudes</w:t>
      </w:r>
      <w:r>
        <w:t xml:space="preserve"> y de los </w:t>
      </w:r>
      <w:r>
        <w:rPr>
          <w:b/>
        </w:rPr>
        <w:t>intervalos</w:t>
      </w:r>
      <w:r>
        <w:t xml:space="preserve"> por sobre</w:t>
      </w:r>
    </w:p>
    <w:p>
      <w:r>
        <w:t>la mera significancia estadística. Finalmente, allí donde la potencia es intrínseca-</w:t>
      </w:r>
    </w:p>
    <w:p>
      <w:r>
        <w:t>mente limitada —subperíodos cortos posteriores a un quiebre, o el escaso número de</w:t>
      </w:r>
    </w:p>
    <w:p>
      <w:r>
        <w:t>eventos de política monetaria— se evita sobreinterpretar coeficientes individuales y</w:t>
      </w:r>
    </w:p>
    <w:p>
      <w:r>
        <w:t>se prefiere la lectura conjunta de la evidencia.</w:t>
      </w:r>
    </w:p>
    <w:p>
      <w:pPr>
        <w:pStyle w:val="Heading2"/>
      </w:pPr>
      <w:r>
        <w:t>6. Resultados</w:t>
      </w:r>
    </w:p>
    <w:p>
      <w:pPr>
        <w:pStyle w:val="Heading3"/>
      </w:pPr>
      <w:r>
        <w:t>6.1 Estadística descriptiva</w:t>
      </w:r>
    </w:p>
    <w:p>
      <w:r>
        <w:t>La Tabla siguiente reporta los momentos de los log-retornos diarios (en %) de los</w:t>
      </w:r>
    </w:p>
    <w:p>
      <w:r>
        <w:t>ocho activos del universo durante 2004–2026, junto con el estadístico de Jarque-Bera</w:t>
      </w:r>
    </w:p>
    <w:p>
      <w:r>
        <w:t>de normalidad.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6. Estadística descriptiva de los log-retornos diarios (%) de los ocho activos, 2004–2026. JB: estadístico de Jarque-Bera; JB_p: su p-valor.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  <w:gridCol w:w="865"/>
      </w:tblGrid>
      <w:tr>
        <w:tc>
          <w:tcPr>
            <w:tcW w:type="dxa" w:w="86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serie</w:t>
            </w:r>
          </w:p>
        </w:tc>
        <w:tc>
          <w:tcPr>
            <w:tcW w:type="dxa" w:w="86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86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media</w:t>
            </w:r>
          </w:p>
        </w:tc>
        <w:tc>
          <w:tcPr>
            <w:tcW w:type="dxa" w:w="86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sd</w:t>
            </w:r>
          </w:p>
        </w:tc>
        <w:tc>
          <w:tcPr>
            <w:tcW w:type="dxa" w:w="86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min</w:t>
            </w:r>
          </w:p>
        </w:tc>
        <w:tc>
          <w:tcPr>
            <w:tcW w:type="dxa" w:w="86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max</w:t>
            </w:r>
          </w:p>
        </w:tc>
        <w:tc>
          <w:tcPr>
            <w:tcW w:type="dxa" w:w="86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asimetria</w:t>
            </w:r>
          </w:p>
        </w:tc>
        <w:tc>
          <w:tcPr>
            <w:tcW w:type="dxa" w:w="86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curtosis</w:t>
            </w:r>
          </w:p>
        </w:tc>
        <w:tc>
          <w:tcPr>
            <w:tcW w:type="dxa" w:w="86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JarqueBera</w:t>
            </w:r>
          </w:p>
        </w:tc>
        <w:tc>
          <w:tcPr>
            <w:tcW w:type="dxa" w:w="86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JB_pvalor</w:t>
            </w:r>
          </w:p>
        </w:tc>
      </w:tr>
      <w:tr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0.0509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2.6517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-19.2233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20.0724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0.0913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4.1493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4199.5866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0.0533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1.4426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-18.0137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23.6921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1.5049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35.5028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309072.165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0.0439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2.4651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-32.1731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19.5902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-0.1299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10.6503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27631.6874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0.0674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2.3245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-18.6962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19.9127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-0.191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6.6716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10871.9737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SCCO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0.0745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2.6273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-22.5575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25.5706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0.0318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6.8263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11345.7817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FCX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0.0287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3.2047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-22.7311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25.9935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-0.2519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6.1493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9268.0387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BHP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5843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0.0459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2.2726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-18.8133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16.821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-0.2865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6.4152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10099.5128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GLEN.L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3917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0.0019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2.5405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-34.8393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19.1055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-0.7371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14.6108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35195.643</w:t>
            </w:r>
          </w:p>
        </w:tc>
        <w:tc>
          <w:tcPr>
            <w:tcW w:type="dxa" w:w="86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</w:tbl>
    <w:p>
      <w:pPr>
        <w:spacing w:after="80"/>
      </w:pPr>
    </w:p>
    <w:p>
      <w:r>
        <w:t>Todas las series presentan exceso de curtosis (colas pesadas) y no-normalidad</w:t>
      </w:r>
    </w:p>
    <w:p>
      <w:r>
        <w:t>(Jarque-Bera, p&lt;0.001), justificando la distribución t-Student en los GARCH. Pucobre</w:t>
      </w:r>
    </w:p>
    <w:p>
      <w:r>
        <w:t>destaca por curtosis extrema (35.5) y asimetría positiva (1.5): saltos esporádicos</w:t>
      </w:r>
    </w:p>
    <w:p>
      <w:r>
        <w:t>sobre días de baja transacción, firma estadística de la iliquidez.</w:t>
      </w:r>
    </w:p>
    <w:p>
      <w:r>
        <w:t xml:space="preserve">La </w:t>
      </w:r>
      <w:r>
        <w:rPr>
          <w:b/>
        </w:rPr>
        <w:t>estructura de correlaciones</w:t>
      </w:r>
      <w:r>
        <w:t xml:space="preserve"> de los retornos diarios (matriz reportada en el</w:t>
      </w:r>
    </w:p>
    <w:p>
      <w:r>
        <w:t>Anexo A) confirma el patrón esperado: la correlación contemporánea con el retorno del</w:t>
      </w:r>
    </w:p>
    <w:p>
      <w:r>
        <w:t>cobre es alta para Antofagasta (≈0.54) y para las referencias internacionales</w:t>
      </w:r>
    </w:p>
    <w:p>
      <w:r>
        <w:t>(SCCO ≈0.52, FCX ≈0.52, BHP ≈0.48, Glencore ≈0.45), intermedia para los materiales</w:t>
      </w:r>
    </w:p>
    <w:p>
      <w:r>
        <w:t>chilenos (CAP ≈0.25, SQM ≈0.24) y notablemente baja para Pucobre (≈0.14). Este</w:t>
      </w:r>
    </w:p>
    <w:p>
      <w:r>
        <w:t>gradiente —que ordena los activos por su comovimiento contemporáneo con el cobre—</w:t>
      </w:r>
    </w:p>
    <w:p>
      <w:r>
        <w:t>anticipa el resultado central: la posición de Pucobre como atípico de baja</w:t>
      </w:r>
    </w:p>
    <w:p>
      <w:r>
        <w:t>correlación contemporánea pese a ser un pure-play, lo que sólo se explica por la</w:t>
      </w:r>
    </w:p>
    <w:p>
      <w:r>
        <w:t>fricción de liquidez y se resuelve al ampliar el horizonte.</w:t>
      </w:r>
    </w:p>
    <w:p>
      <w:r>
        <w:t>El examen activo por activo refuerza esta lectura. Antofagasta exhibe la volatilidad</w:t>
      </w:r>
    </w:p>
    <w:p>
      <w:r>
        <w:t>diaria más alta del núcleo (desviación estándar ≈2.65%), con colas moderadas</w:t>
      </w:r>
    </w:p>
    <w:p>
      <w:r>
        <w:t>(curtosis ≈4.1), propias de un blue chip líquido y muy seguido por el mercado. Las</w:t>
      </w:r>
    </w:p>
    <w:p>
      <w:r>
        <w:t>referencias internacionales (Freeport, Southern, BHP, Glencore) presentan perfiles</w:t>
      </w:r>
    </w:p>
    <w:p>
      <w:r>
        <w:t>comparables, con desviaciones estándar entre 2.3% y 3.2% y curtosis entre 6 y 15.</w:t>
      </w:r>
    </w:p>
    <w:p>
      <w:r>
        <w:t>Pucobre, por el contrario, combina una volatilidad diaria menor en apariencia (≈1.44%)</w:t>
      </w:r>
    </w:p>
    <w:p>
      <w:r>
        <w:t>con una curtosis extraordinariamente elevada (≈35) y asimetría positiva pronunciada;</w:t>
      </w:r>
    </w:p>
    <w:p>
      <w:r>
        <w:t>esta combinación es la firma estadística de un activo que permanece inmóvil la mayor</w:t>
      </w:r>
    </w:p>
    <w:p>
      <w:r>
        <w:t>parte del tiempo y reacciona con saltos abruptos cuando finalmente transa, en lugar de</w:t>
      </w:r>
    </w:p>
    <w:p>
      <w:r>
        <w:t>incorporar la información de manera continua. CAP y SQM ocupan posiciones intermedias,</w:t>
      </w:r>
    </w:p>
    <w:p>
      <w:r>
        <w:t>coherentes con su condición de empresas de materiales de mayor tamaño y liquidez que</w:t>
      </w:r>
    </w:p>
    <w:p>
      <w:r>
        <w:t>Pucobre pero ajenas al cobre puro. Esta heterogeneidad de momentos anticipa por qué un</w:t>
      </w:r>
    </w:p>
    <w:p>
      <w:r>
        <w:t>mismo factor —el precio del cobre— se transmite de forma tan distinta entre activos.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412363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correl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1236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1. Matriz de correlaciones de los retornos diarios de los activos y los factores. La columna del cobre (ΔHG=F) ordena a los activos por su comovimiento contemporáneo con el metal.</w:t>
      </w:r>
    </w:p>
    <w:p>
      <w:pPr>
        <w:pStyle w:val="Heading3"/>
      </w:pPr>
      <w:r>
        <w:t>6.2 Estacionariedad y cointegración</w:t>
      </w:r>
    </w:p>
    <w:p>
      <w:r>
        <w:t>Las propiedades de integración se evaluaron con tres pruebas complementarias —Dickey-</w:t>
      </w:r>
    </w:p>
    <w:p>
      <w:r>
        <w:t>Fuller aumentada (ADF) y Phillips-Perron (H0: raíz unitaria) y KPSS (H0:</w:t>
      </w:r>
    </w:p>
    <w:p>
      <w:r>
        <w:t>estacionariedad)—, con una regla de decisión por mayoría. La Tabla siguiente resume</w:t>
      </w:r>
    </w:p>
    <w:p>
      <w:r>
        <w:t>los resultados sobre los log-precios (niveles) y los log-retornos (diferencias) de los</w:t>
      </w:r>
    </w:p>
    <w:p>
      <w:r>
        <w:t>activos del núcleo y de los principales factores.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7. Pruebas de raíz unitaria (ADF, Phillips-Perron, KPSS) y conclusión sobre el orden de integración de niveles y retornos.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serie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tipo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ADF_stat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ADF_p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PP_stat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PP_p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KPSS_stat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KPSS_p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conclusion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lprice_ANTO.L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-0.933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0.7769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-1.1642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0.6888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7.6678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lprice_PUCOBRE.SN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0.5071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0.9851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0.5671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0.9868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7.557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lprice_CAP.SN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-3.2574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0.0169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-3.2844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0.0156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1.3211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I(0)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lprice_SQM-B.SN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-1.8809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0.3411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-1.8207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0.3703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9.7917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lprice_SCCO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-0.8938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-0.854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0.8027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10.3301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lprice_FCX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-1.8442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0.3588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-1.9244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0.3207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1.8786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lprice_BHP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-1.7537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0.4037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-1.6897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0.4364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7.6423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lprice_GLEN.L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-1.9897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0.2911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-2.0842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0.2509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1.4721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l_cobre_comex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-2.5472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0.1044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-2.6432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0.0844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4.3453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l_usdclp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-1.1052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-28.6206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10.3927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l_dxy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-1.5235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0.5218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-1.5926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0.4873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8.5799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l_sp500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0.7397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0.9906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0.6956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0.9897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11.9006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l_ipsa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-2.4143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0.1377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-2.155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0.223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7.6193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I(1)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l_wti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nivel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-3.7506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0.0035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-3.5439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0.0069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0.6928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0.0135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I(0)</w:t>
            </w:r>
          </w:p>
        </w:tc>
      </w:tr>
    </w:tbl>
    <w:p>
      <w:pPr>
        <w:spacing w:after="80"/>
      </w:pPr>
    </w:p>
    <w:p>
      <w:r>
        <w:t xml:space="preserve">La evidencia es nítida: los log-precios son </w:t>
      </w:r>
      <w:r>
        <w:rPr>
          <w:b/>
        </w:rPr>
        <w:t>I(1)</w:t>
      </w:r>
      <w:r>
        <w:t xml:space="preserve"> y los retornos </w:t>
      </w:r>
      <w:r>
        <w:rPr>
          <w:b/>
        </w:rPr>
        <w:t>I(0)</w:t>
      </w:r>
      <w:r>
        <w:t>, sin</w:t>
      </w:r>
    </w:p>
    <w:p>
      <w:r>
        <w:t>presencia de procesos I(2). El resultado se confirma con la prueba de Zivot-Andrews,</w:t>
      </w:r>
    </w:p>
    <w:p>
      <w:r>
        <w:t>que no rechaza la raíz unitaria ni siquiera permitiendo un quiebre endógeno de</w:t>
      </w:r>
    </w:p>
    <w:p>
      <w:r>
        <w:t>nivel/tendencia (ANTO p≈0.62; Pucobre p≈0.99), descartando que el comportamiento I(1)</w:t>
      </w:r>
    </w:p>
    <w:p>
      <w:r>
        <w:t>sea un artefacto de un quiebre estructural. El test bivariado de Engle-Granger</w:t>
      </w:r>
    </w:p>
    <w:p>
      <w:r>
        <w:t>(activo~cobre) no detecta cointegración robusta —el cobre por sí solo no basta—, pero</w:t>
      </w:r>
    </w:p>
    <w:p>
      <w:r>
        <w:t xml:space="preserve">el procedimiento multivariante de </w:t>
      </w:r>
      <w:r>
        <w:rPr>
          <w:b/>
        </w:rPr>
        <w:t>Johansen</w:t>
      </w:r>
      <w:r>
        <w:t xml:space="preserve"> sobre el vector [ln P, ln cobre,</w:t>
      </w:r>
    </w:p>
    <w:p>
      <w:r>
        <w:t xml:space="preserve">ln USDCLP, ln DXY] arroja un </w:t>
      </w:r>
      <w:r>
        <w:rPr>
          <w:b/>
        </w:rPr>
        <w:t>rango de cointegración r = 1</w:t>
      </w:r>
      <w:r>
        <w:t xml:space="preserve"> tanto para Antofagasta</w:t>
      </w:r>
    </w:p>
    <w:p>
      <w:r>
        <w:t>como para Pucobre: existe exactamente una relación de equilibrio de largo plazo que</w:t>
      </w:r>
    </w:p>
    <w:p>
      <w:r>
        <w:t>vincula el precio de la acción con el cobre y la moneda.</w:t>
      </w:r>
    </w:p>
    <w:p>
      <w:pPr>
        <w:pStyle w:val="Heading3"/>
      </w:pPr>
      <w:r>
        <w:t>6.3 Impacto contemporáneo (HAC)</w:t>
      </w:r>
    </w:p>
    <w:p>
      <w:r>
        <w:t>El primer bloque de evidencia mide el impacto contemporáneo de los factores sobre el</w:t>
      </w:r>
    </w:p>
    <w:p>
      <w:r>
        <w:t>retorno diario mediante regresión por mínimos cuadrados con errores estándar HAC de</w:t>
      </w:r>
    </w:p>
    <w:p>
      <w:r>
        <w:t>Newey-West. El coeficiente del cobre es la elasticidad-cobre contemporánea, que mide</w:t>
      </w:r>
    </w:p>
    <w:p>
      <w:r>
        <w:t>el efecto de un alza de 1% en el precio del cobre sobre el retorno diario del activo.</w:t>
      </w:r>
    </w:p>
    <w:p>
      <w:r>
        <w:t>La Tabla siguiente reporta los coeficientes completos (cobre, tipo de cambio, dólar,</w:t>
      </w:r>
    </w:p>
    <w:p>
      <w:r>
        <w:t>mercado, tasas y volatilidad) para los ocho activos.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8. Coeficientes de la regresión de retornos con errores HAC (Newey-West): variable dependiente = retorno diario; se reportan coeficiente, error estándar HAC, t y p-valor por activo y factor.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var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coef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se_HAC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const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0.0281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0.1416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0.8874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dl_cobre_comex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0.702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0.0461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15.2355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dl_usdclp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0.0015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4.5428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dl_dxy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-0.1875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0.1011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-1.855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0.0636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dl_sp500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0.3013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3.6319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dl_ech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0.3149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0.0406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7.7467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d_ust10y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4.4141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0.8457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5.2197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d_vix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0.0017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0.0437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0.0385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0.9693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d_tpm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-0.6415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0.4691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-1.3676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0.1714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const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0.0351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0.0239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1.469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0.1418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dl_cobre_comex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0.0843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0.0194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4.3456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dl_usdclp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0.3077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dl_dxy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0.0604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0.0588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1.027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0.3044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dl_sp500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-0.0639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0.0437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-1.46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0.1443</w:t>
            </w:r>
          </w:p>
        </w:tc>
      </w:tr>
    </w:tbl>
    <w:p>
      <w:pPr>
        <w:spacing w:after="80"/>
      </w:pPr>
    </w:p>
    <w:p>
      <w:r>
        <w:t>La elasticidad-cobre presenta un gradiente claro: 0.70 en Antofagasta (t=15.4) y</w:t>
      </w:r>
    </w:p>
    <w:p>
      <w:r>
        <w:t>0.49–0.63 en las referencias internacionales del cobre, frente a apenas 0.09 en</w:t>
      </w:r>
    </w:p>
    <w:p>
      <w:r>
        <w:t>Pucobre (t=4.4). Para Antofagasta resultan además significativos el dólar (DXY, signo</w:t>
      </w:r>
    </w:p>
    <w:p>
      <w:r>
        <w:t>negativo: una apreciación del dólar deprime al activo), el mercado —global y local— y</w:t>
      </w:r>
    </w:p>
    <w:p>
      <w:r>
        <w:t>el cambio en la tasa larga estadounidense. Para Pucobre, en cambio, sólo el mercado</w:t>
      </w:r>
    </w:p>
    <w:p>
      <w:r>
        <w:t>local y, débilmente, el cobre son significativos, con un coeficiente de determinación</w:t>
      </w:r>
    </w:p>
    <w:p>
      <w:r>
        <w:t>de apenas 0.04: su retorno diario es mayoritariamente idiosincrásico, dominado por su</w:t>
      </w:r>
    </w:p>
    <w:p>
      <w:r>
        <w:t>microestructura. La Figura siguiente ilustra cómo, en niveles, los precios de los</w:t>
      </w:r>
    </w:p>
    <w:p>
      <w:r>
        <w:t>pure-plays siguen y amplifican el ciclo del cobre.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os_normaliz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2. Evolución de los precios normalizados (base 100) de Antofagasta y Pucobre frente al precio del cobre, 2004–2026. Los pure-plays amplifican el ciclo del metal por apalancamiento operativo.</w:t>
      </w:r>
    </w:p>
    <w:p>
      <w:r>
        <w:t>La batería de diagnósticos sobre los residuos justifica las decisiones de</w:t>
      </w:r>
    </w:p>
    <w:p>
      <w:r>
        <w:t>especificación: hay efectos ARCH significativos en todos los activos (que motivan el</w:t>
      </w:r>
    </w:p>
    <w:p>
      <w:r>
        <w:t>modelado GARCH de la varianza), autocorrelación residual (que motiva los errores HAC)</w:t>
      </w:r>
    </w:p>
    <w:p>
      <w:r>
        <w:t>y no-normalidad de colas pesadas; el factor de inflación de varianza máximo es ≈3.5,</w:t>
      </w:r>
    </w:p>
    <w:p>
      <w:r>
        <w:t>descartando multicolinealidad severa. La Tabla siguiente reporta el detalle.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9. Diagnósticos de los residuos de la regresión HAC por activo: R², rezagos HAC, Breusch-Godfrey, Breusch-Pagan, ARCH-LM, Jarque-Bera, Ljung-Box y VIF máximo.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  <w:gridCol w:w="786"/>
      </w:tblGrid>
      <w:tr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R2</w:t>
            </w:r>
          </w:p>
        </w:tc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R2_adj</w:t>
            </w:r>
          </w:p>
        </w:tc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HAC_lags</w:t>
            </w:r>
          </w:p>
        </w:tc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BG_p</w:t>
            </w:r>
          </w:p>
        </w:tc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BP_p</w:t>
            </w:r>
          </w:p>
        </w:tc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ARCH_p</w:t>
            </w:r>
          </w:p>
        </w:tc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JB_p</w:t>
            </w:r>
          </w:p>
        </w:tc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LjungBox10_p</w:t>
            </w:r>
          </w:p>
        </w:tc>
        <w:tc>
          <w:tcPr>
            <w:tcW w:type="dxa" w:w="786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VIF_max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0.4226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0.4216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0.0435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0.0418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0.0559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0.2477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0.2464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0.2512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0.2498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0.0681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0.852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0.381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SCCO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0.5789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0.5781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0.1427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0.0139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FCX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0.523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0.5221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0.0011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BHP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4419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0.6046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0.6038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0.075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0.0659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3.51</w:t>
            </w:r>
          </w:p>
        </w:tc>
      </w:tr>
      <w:tr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GLEN.L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3596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0.2918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0.2902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0.0111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786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3.34</w:t>
            </w:r>
          </w:p>
        </w:tc>
      </w:tr>
    </w:tbl>
    <w:p>
      <w:pPr>
        <w:spacing w:after="80"/>
      </w:pPr>
    </w:p>
    <w:p>
      <w:r>
        <w:t>En conjunto, H1 se sostiene —el cobre es positivo y significativo en los ocho</w:t>
      </w:r>
    </w:p>
    <w:p>
      <w:r>
        <w:t>activos— y H2 se sostiene con fuerza: la sensibilidad contemporánea es de 0.70 en el</w:t>
      </w:r>
    </w:p>
    <w:p>
      <w:r>
        <w:t>pure-play líquido frente a 0.09 en el ilíquido.</w:t>
      </w:r>
    </w:p>
    <w:p>
      <w:pPr>
        <w:pStyle w:val="Heading3"/>
      </w:pPr>
      <w:r>
        <w:t>6.4 Dinámica (VAR, IRF, FEVD, Granger)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10. Dinámica (VAR, IRF, FEVD, Granger)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FEVD cobre (1d)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FEVD cobre (20d)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IRF acum. 5d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Granger cobre→activo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28.7%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27.8%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0.091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p=0.008 (sí)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4.3%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0.196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p&lt;0.001 (sí)</w:t>
            </w:r>
          </w:p>
        </w:tc>
      </w:tr>
    </w:tbl>
    <w:p>
      <w:pPr>
        <w:spacing w:after="80"/>
      </w:pPr>
    </w:p>
    <w:p>
      <w:r>
        <w:t>Clave: en Pucobre la respuesta acumulada a 5 días (0.196) es ~4× la del primer día</w:t>
      </w:r>
    </w:p>
    <w:p>
      <w:r>
        <w:t xml:space="preserve">(0.043), y la FEVD del cobre crece de 2% a 4.3% entre 1 y 20 días. El cobre </w:t>
      </w:r>
      <w:r>
        <w:rPr>
          <w:b/>
        </w:rPr>
        <w:t>causa</w:t>
      </w:r>
      <w:r/>
    </w:p>
    <w:p>
      <w:r>
        <w:t xml:space="preserve">los retornos de Pucobre (Granger p&lt;0.001), pero el efecto se </w:t>
      </w:r>
      <w:r>
        <w:rPr>
          <w:b/>
        </w:rPr>
        <w:t>difiere</w:t>
      </w:r>
      <w:r>
        <w:t xml:space="preserve"> en lugar de</w:t>
      </w:r>
    </w:p>
    <w:p>
      <w:r>
        <w:t>impactar contemporáneamente — consistente con descubrimiento de precios lento. Las</w:t>
      </w:r>
    </w:p>
    <w:p>
      <w:r>
        <w:t>funciones impulso-respuesta de ambos activos ilustran el contraste: la de Antofagasta</w:t>
      </w:r>
    </w:p>
    <w:p>
      <w:r>
        <w:t>se concentra en el primer día, mientras que la de Pucobre se acumula durante las</w:t>
      </w:r>
    </w:p>
    <w:p>
      <w:r>
        <w:t>jornadas siguientes.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f_ANTO_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3. Función impulso-respuesta del retorno de Antofagasta ante un shock de una desviación estándar en el cobre (identificación de Cholesky). Respuesta concentrada en el impacto contemporáneo.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f_PUCOBRE_S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4. Función impulso-respuesta del retorno de Pucobre ante el mismo shock. La respuesta se acumula en los días posteriores, evidencia de transmisión diferida.</w:t>
      </w:r>
    </w:p>
    <w:p>
      <w:pPr>
        <w:pStyle w:val="Heading3"/>
      </w:pPr>
      <w:r>
        <w:t>6.5 Largo plazo (VECM)</w:t>
      </w:r>
    </w:p>
    <w:p>
      <w:r>
        <w:t>Vector de cointegración (r=1), elasticidades del log-precio: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11. Largo plazo (VECM)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elast. cobre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elast. USDCLP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elast. DXY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velocidad de ajuste α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0.860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−11.80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−0.0008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0.753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4.82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−7.96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−0.0004</w:t>
            </w:r>
          </w:p>
        </w:tc>
      </w:tr>
    </w:tbl>
    <w:p>
      <w:pPr>
        <w:spacing w:after="80"/>
      </w:pPr>
    </w:p>
    <w:p>
      <w:r>
        <w:t>En el largo plazo, una subida de 1% en el cobre se asocia a ~0.75–0.86% más en el</w:t>
      </w:r>
    </w:p>
    <w:p>
      <w:r>
        <w:t xml:space="preserve">precio de la acción —y </w:t>
      </w:r>
      <w:r>
        <w:rPr>
          <w:b/>
        </w:rPr>
        <w:t>Pucobre (0.75) es comparable a Antofagasta (0.86)</w:t>
      </w:r>
      <w:r>
        <w:t>—, en</w:t>
      </w:r>
    </w:p>
    <w:p>
      <w:r>
        <w:t>marcado contraste con su nula reacción contemporánea. La velocidad de ajuste α es</w:t>
      </w:r>
    </w:p>
    <w:p>
      <w:r>
        <w:t>negativa (corrige desequilibrios) pero muy pequeña, indicando ajuste lento. Cautela:</w:t>
      </w:r>
    </w:p>
    <w:p>
      <w:r>
        <w:t>los coeficientes grandes de USDCLP/DXY reflejan colinealidad entre ambas medidas del</w:t>
      </w:r>
    </w:p>
    <w:p>
      <w:r>
        <w:t xml:space="preserve">dólar y se interpretan con reserva. </w:t>
      </w:r>
      <w:r>
        <w:rPr>
          <w:b/>
        </w:rPr>
        <w:t>H3 se sostiene</w:t>
      </w:r>
      <w:r>
        <w:t>, con la matización de §6.7.</w:t>
      </w:r>
    </w:p>
    <w:p>
      <w:r>
        <w:t>La magnitud de la velocidad de ajuste merece una lectura cuantitativa. Un coeficiente</w:t>
      </w:r>
    </w:p>
    <w:p>
      <w:r>
        <w:t>α del orden de −0.0008 diario implica que sólo una fracción ínfima del desequilibrio</w:t>
      </w:r>
    </w:p>
    <w:p>
      <w:r>
        <w:t>respecto del valor de equilibrio se corrige cada jornada; en términos de vida media</w:t>
      </w:r>
    </w:p>
    <w:p>
      <w:r>
        <w:t>—el tiempo que tarda en disiparse la mitad de una desviación— ello equivale a varios</w:t>
      </w:r>
    </w:p>
    <w:p>
      <w:r>
        <w:t>cientos de días hábiles. Esta lentitud del ajuste es, en sí misma, coherente con el</w:t>
      </w:r>
    </w:p>
    <w:p>
      <w:r>
        <w:t>relato central: la relación de equilibrio existe y es económicamente significativa,</w:t>
      </w:r>
    </w:p>
    <w:p>
      <w:r>
        <w:t>pero el regreso al equilibrio tras una perturbación es gradual, especialmente en el</w:t>
      </w:r>
    </w:p>
    <w:p>
      <w:r>
        <w:t>activo ilíquido, donde la corrección sólo puede operar en las jornadas en que hay</w:t>
      </w:r>
    </w:p>
    <w:p>
      <w:r>
        <w:t>transacción. El contraste entre una elasticidad de largo plazo robusta y una velocidad</w:t>
      </w:r>
    </w:p>
    <w:p>
      <w:r>
        <w:t>de ajuste pequeña es, por tanto, la contrapartida —en el dominio de los niveles— del</w:t>
      </w:r>
    </w:p>
    <w:p>
      <w:r>
        <w:t>fenómeno que las regresiones de retornos capturan en el dominio de los cambios: el</w:t>
      </w:r>
    </w:p>
    <w:p>
      <w:r>
        <w:t>vínculo fundamental es fuerte, pero su materialización en el precio es lenta.</w:t>
      </w:r>
    </w:p>
    <w:p>
      <w:pPr>
        <w:pStyle w:val="Heading3"/>
      </w:pPr>
      <w:r>
        <w:t>6.6 Volatilidad (GARCH)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12. Volatilidad (GARCH)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mejor modelo (AIC)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persistencia (α+β)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efecto apalancamiento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(γ&gt;0)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(γ&gt;0)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0.999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(γ&lt;0 en EGARCH)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inestable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—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confiable</w:t>
            </w:r>
          </w:p>
        </w:tc>
      </w:tr>
    </w:tbl>
    <w:p>
      <w:pPr>
        <w:spacing w:after="80"/>
      </w:pPr>
    </w:p>
    <w:p>
      <w:r>
        <w:t>Persistencia ≈ 0.99 (shocks de volatilidad muy duraderos) y efecto apalancamiento</w:t>
      </w:r>
    </w:p>
    <w:p>
      <w:r>
        <w:t>confirmado. En Pucobre, en cambio, los modelos GARCH resultan inestables (soluciones de</w:t>
      </w:r>
    </w:p>
    <w:p>
      <w:r>
        <w:t>borde) por la iliquidez y los saltos extremos (curtosis 35.5); se recomienda filtrar</w:t>
      </w:r>
    </w:p>
    <w:p>
      <w:r>
        <w:t xml:space="preserve">días de retorno nulo o usar modelos con saltos. </w:t>
      </w:r>
      <w:r>
        <w:rPr>
          <w:b/>
        </w:rPr>
        <w:t>H4 se sostiene</w:t>
      </w:r>
      <w:r>
        <w:t xml:space="preserve"> salvo en el activo</w:t>
      </w:r>
    </w:p>
    <w:p>
      <w:r>
        <w:t>ilíquido. La Tabla y la Figura siguientes resumen la comparación entre</w:t>
      </w:r>
    </w:p>
    <w:p>
      <w:r>
        <w:t>especificaciones y la trayectoria de la volatilidad condicional de Antofagasta.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13. Comparación de modelos GARCH(1,1), GJR-GARCH(1,1) y EGARCH(1,1) por activo: AIC, BIC, log-verosimilitud, parámetros α, β, asimetría γ y persistencia.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AIC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BIC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loglik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alpha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beta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gamma_asimetria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persistencia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26675.4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26708.8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-13332.7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0.9392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0.9912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26661.1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26701.2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-13324.6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0.0316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26665.7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26705.7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-13326.8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0.9892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-0.0308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11785.5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11818.9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-5887.8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0.3092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0.2955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0.6047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6641.6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6681.7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-3314.8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14621.0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14661.1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-7304.5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71.8553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-50.8645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25006.3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25039.6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-12498.1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0.138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0.8565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0.9945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24987.9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25028.0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-12488.0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0.1094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0.8503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25003.0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25043.0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-12495.5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0.2777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0.9638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-0.0448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24440.7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24474.0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-12215.3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0.0537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0.9455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0.9992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24438.6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24478.7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-12213.3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0.9408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0.0197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24411.0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24451.0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-12199.5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0.1213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0.9931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-0.0171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</w:tbl>
    <w:p>
      <w:pPr>
        <w:spacing w:after="80"/>
      </w:pP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16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condicional_ANTO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5. Volatilidad condicional diaria estimada (GJR-GARCH) de Antofagasta, 2004–2026. Se aprecian conglomerados de volatilidad en 2008 y 2020.</w:t>
      </w:r>
    </w:p>
    <w:p>
      <w:pPr>
        <w:pStyle w:val="Heading3"/>
      </w:pPr>
      <w:r>
        <w:t>6.7 Robustez</w:t>
      </w:r>
    </w:p>
    <w:p>
      <w:pPr>
        <w:pStyle w:val="ListBullet"/>
      </w:pPr>
      <w:r/>
      <w:r>
        <w:rPr>
          <w:b/>
        </w:rPr>
        <w:t>ARDL bounds (diario, k=3):</w:t>
      </w:r>
      <w:r>
        <w:t xml:space="preserve"> F = 2.89 (ANTO) y 1.55 (PUCOBRE), por debajo del</w:t>
      </w:r>
    </w:p>
    <w:p>
      <w:r>
        <w:t>crítico I(1) (4.35) → no confirma cointegración, en aparente contraste con</w:t>
      </w:r>
    </w:p>
    <w:p>
      <w:r>
        <w:t>Johansen. La explicación es la **baja potencia del test uniecuacional cuando la</w:t>
      </w:r>
    </w:p>
    <w:p>
      <w:r>
        <w:t>velocidad de ajuste es minúscula** (α ≈ −0.0008): Johansen, basado en el sistema,</w:t>
      </w:r>
    </w:p>
    <w:p>
      <w:r>
        <w:t>sí la detecta. Conclusión prudente: la evidencia de largo plazo es sugerente pero</w:t>
      </w:r>
    </w:p>
    <w:p>
      <w:r>
        <w:t>no unánime; se prioriza el VECM.</w:t>
      </w:r>
    </w:p>
    <w:p>
      <w:pPr>
        <w:pStyle w:val="ListBullet"/>
      </w:pPr>
      <w:r/>
      <w:r>
        <w:rPr>
          <w:b/>
        </w:rPr>
        <w:t>Estabilidad de β-cobre por submuestras:</w:t>
      </w:r>
      <w:r/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14. Robustez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2"/>
        <w:gridCol w:w="2882"/>
        <w:gridCol w:w="2882"/>
      </w:tblGrid>
      <w:tr>
        <w:tc>
          <w:tcPr>
            <w:tcW w:type="dxa" w:w="288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Submuestra</w:t>
            </w:r>
          </w:p>
        </w:tc>
        <w:tc>
          <w:tcPr>
            <w:tcW w:type="dxa" w:w="288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ANTO β-cobre</w:t>
            </w:r>
          </w:p>
        </w:tc>
        <w:tc>
          <w:tcPr>
            <w:tcW w:type="dxa" w:w="2882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PUCOBRE β-cobre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crisis 2008-09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0.60 (t=6.7)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 (t=2.1)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superciclo 2010-14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0.69 (t=16.9)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 (t=1.3)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2015-19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0.90 (t=13.9)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 (t=0.3)</w:t>
            </w:r>
          </w:p>
        </w:tc>
      </w:tr>
      <w:tr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COVID+ 2020-26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0.65 (t=8.1)</w:t>
            </w:r>
          </w:p>
        </w:tc>
        <w:tc>
          <w:tcPr>
            <w:tcW w:type="dxa" w:w="2882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0.15 (t=4.2)</w:t>
            </w:r>
          </w:p>
        </w:tc>
      </w:tr>
    </w:tbl>
    <w:p>
      <w:pPr>
        <w:spacing w:after="80"/>
      </w:pPr>
    </w:p>
    <w:p>
      <w:r>
        <w:t>Antofagasta es estable y siempre significativa (pico en 2015-19); Pucobre es</w:t>
      </w:r>
    </w:p>
    <w:p>
      <w:r>
        <w:t>débil/no significativa salvo en COVID+ (0.15, t=4.2): leve mejora de transmisión en</w:t>
      </w:r>
    </w:p>
    <w:p>
      <w:r>
        <w:t>el boom reciente del cobre.</w:t>
      </w:r>
    </w:p>
    <w:p>
      <w:pPr>
        <w:pStyle w:val="Heading3"/>
      </w:pPr>
      <w:r>
        <w:t>6.8 Asimetría (NARDL)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15. Asimetría (NARDL)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Bounds F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cointegra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asimetría LP (Wald, p)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4.50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(5%)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sí: Wald=8.45, p=0.004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1.83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(p=0.29)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3.10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(p=0.15)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(p=0.23)</w:t>
            </w:r>
          </w:p>
        </w:tc>
      </w:tr>
    </w:tbl>
    <w:p>
      <w:pPr>
        <w:spacing w:after="80"/>
      </w:pPr>
    </w:p>
    <w:p>
      <w:r>
        <w:t>Antofagasta presenta cointegración no lineal y asimetría de largo plazo</w:t>
      </w:r>
    </w:p>
    <w:p>
      <w:r>
        <w:t>significativa: responde de forma estadísticamente distinta a alzas vs caídas del</w:t>
      </w:r>
    </w:p>
    <w:p>
      <w:r>
        <w:t>cobre. Los demás no rechazan simetría, coherente con su vínculo más débil.</w:t>
      </w:r>
    </w:p>
    <w:p>
      <w:pPr>
        <w:pStyle w:val="Heading3"/>
      </w:pPr>
      <w:r>
        <w:t>6.9 Panel sectorial (N=4)</w:t>
      </w:r>
    </w:p>
    <w:p>
      <w:r>
        <w:t>Impacto promedio del sector (FE≈RE≈Pooled; Hausman no rechaza RE): β-cobre ≈ 0.205</w:t>
      </w:r>
    </w:p>
    <w:p>
      <w:r>
        <w:t>(p=0.073, marginal con cluster en 4 entidades); el mercado local domina</w:t>
      </w:r>
    </w:p>
    <w:p>
      <w:r>
        <w:t>(β≈0.79, p&lt;0.001); DXY ≈ −0.19 (p&lt;0.001); UST10Y +1.9 (p&lt;0.01). R² within ≈ 0.23.</w:t>
      </w:r>
    </w:p>
    <w:p>
      <w:r>
        <w:t>La práctica coincidencia entre los estimadores Pooled, de efectos fijos y de efectos</w:t>
      </w:r>
    </w:p>
    <w:p>
      <w:r>
        <w:t>aleatorios indica que los efectos específicos de empresa aportan poco en una</w:t>
      </w:r>
    </w:p>
    <w:p>
      <w:r>
        <w:t>especificación con factores comunes que varían en el tiempo, lo que es esperable al</w:t>
      </w:r>
    </w:p>
    <w:p>
      <w:r>
        <w:t>trabajar con retornos diarios de media casi nula. El predominio del factor de mercado</w:t>
      </w:r>
    </w:p>
    <w:p>
      <w:r>
        <w:t>local sobre el cobre en el promedio sectorial refleja la composición del panel —dos de</w:t>
      </w:r>
    </w:p>
    <w:p>
      <w:r>
        <w:t>sus cuatro integrantes (CAP, SQM) no son cobre puro— y, sobre todo, el peso de Pucobre,</w:t>
      </w:r>
    </w:p>
    <w:p>
      <w:r>
        <w:t>cuyo comovimiento diario está dominado por el mercado local más que por el metal. En</w:t>
      </w:r>
    </w:p>
    <w:p>
      <w:r>
        <w:t>suma, el panel confirma cualitativamente el canal del cobre, pero su baja potencia</w:t>
      </w:r>
    </w:p>
    <w:p>
      <w:r>
        <w:t>(N=4) aconseja tratarlo como evidencia de apoyo, no como inferencia primaria.</w:t>
      </w:r>
    </w:p>
    <w:p>
      <w:pPr>
        <w:pStyle w:val="Heading3"/>
      </w:pPr>
      <w:r>
        <w:t>6.10 Canal de política monetaria (TPM) y estudio de eventos</w:t>
      </w:r>
    </w:p>
    <w:p>
      <w:r>
        <w:t>El cambio diario de la TPM entra con signo negativo en todos los activos</w:t>
      </w:r>
    </w:p>
    <w:p>
      <w:r>
        <w:t xml:space="preserve">(endurecimiento → menor retorno) pero </w:t>
      </w:r>
      <w:r>
        <w:rPr>
          <w:b/>
        </w:rPr>
        <w:t>no significativo</w:t>
      </w:r>
      <w:r>
        <w:t xml:space="preserve"> (p&gt;0.12). El estudio de</w:t>
      </w:r>
    </w:p>
    <w:p>
      <w:r>
        <w:t>eventos sobre 51 alzas y 41 bajas de TPM arroja CAAR con el signo económico correcto</w:t>
      </w:r>
    </w:p>
    <w:p>
      <w:r>
        <w:t>(alza → anormal negativo: ANTO −1.04%, CAP −1.90%; baja → positivo) pero **ninguno</w:t>
      </w:r>
    </w:p>
    <w:p>
      <w:r>
        <w:t>significativo** (p&gt;0.37): los cambios de TPM están anticipados y la valoración minera</w:t>
      </w:r>
    </w:p>
    <w:p>
      <w:r>
        <w:t>responde a factores globales más que a la política monetaria doméstica. Este resultado</w:t>
      </w:r>
    </w:p>
    <w:p>
      <w:r>
        <w:t>admite una interpretación coherente con la eficiencia de mercado: las decisiones de</w:t>
      </w:r>
    </w:p>
    <w:p>
      <w:r>
        <w:t>política monetaria del Banco Central de Chile son, en su mayoría, anticipadas por los</w:t>
      </w:r>
    </w:p>
    <w:p>
      <w:r>
        <w:t>participantes —la senda de la tasa se comunica y se proyecta—, de modo que el anuncio</w:t>
      </w:r>
    </w:p>
    <w:p>
      <w:r>
        <w:t>en sí aporta poca sorpresa y, por tanto, escaso retorno anormal. A ello se suma que</w:t>
      </w:r>
    </w:p>
    <w:p>
      <w:r>
        <w:t>los ingresos de las mineras de cobre se denominan en dólares y dependen del precio</w:t>
      </w:r>
    </w:p>
    <w:p>
      <w:r>
        <w:t>mundial del metal, por lo que su valoración es relativamente insensible al costo del</w:t>
      </w:r>
    </w:p>
    <w:p>
      <w:r>
        <w:t>financiamiento local. La consecuencia metodológica es clara: para capturar el efecto</w:t>
      </w:r>
    </w:p>
    <w:p>
      <w:r>
        <w:t>de la política monetaria sobre estos activos sería necesario aislar el componente de</w:t>
      </w:r>
    </w:p>
    <w:p>
      <w:r/>
      <w:r>
        <w:rPr>
          <w:b/>
        </w:rPr>
        <w:t>sorpresa</w:t>
      </w:r>
      <w:r>
        <w:t xml:space="preserve"> (la diferencia entre la tasa efectiva y la esperada por el mercado), lo</w:t>
      </w:r>
    </w:p>
    <w:p>
      <w:r>
        <w:t>que requiere datos de expectativas no disponibles en este estudio y queda planteado</w:t>
      </w:r>
    </w:p>
    <w:p>
      <w:r>
        <w:t>como extensión futura.</w:t>
      </w:r>
    </w:p>
    <w:p>
      <w:pPr>
        <w:pStyle w:val="Heading3"/>
      </w:pPr>
      <w:r>
        <w:t>6.11 Causalidad de Toda-Yamamoto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16. Causalidad de Toda-Yamamoto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cobre→activo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activo→cobre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USDCLP→activo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 (p=0.04)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(p=0.11)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 (p&lt;0.001)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 (p&lt;0.001)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marginal (p=0.02)*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(p=0.29)</w:t>
            </w:r>
          </w:p>
        </w:tc>
      </w:tr>
    </w:tbl>
    <w:p>
      <w:pPr>
        <w:spacing w:after="80"/>
      </w:pPr>
    </w:p>
    <w:p>
      <w:r>
        <w:t xml:space="preserve">El cobre causa (robusto a cointegración) a ambos activos, de forma </w:t>
      </w:r>
      <w:r>
        <w:rPr>
          <w:b/>
        </w:rPr>
        <w:t>unidireccional</w:t>
      </w:r>
      <w:r/>
    </w:p>
    <w:p>
      <w:r>
        <w:t>para Antofagasta (es tomadora de precios). El sentido inverso en Pucobre (p=0.02) es</w:t>
      </w:r>
    </w:p>
    <w:p>
      <w:r>
        <w:t>económicamente implausible (una minera pequeña no mueve el COMEX) → probable</w:t>
      </w:r>
    </w:p>
    <w:p>
      <w:r>
        <w:t>artefacto del modelo aumentado de 13 rezagos.</w:t>
      </w:r>
    </w:p>
    <w:p>
      <w:pPr>
        <w:pStyle w:val="Heading3"/>
      </w:pPr>
      <w:r>
        <w:t>6.12 Prueba formal de la iliquidez y multi-horizonte (H5)</w:t>
      </w:r>
    </w:p>
    <w:p>
      <w:r/>
      <w:r>
        <w:rPr>
          <w:b/>
        </w:rPr>
        <w:t>(a) Magnitud.</w:t>
      </w:r>
      <w:r>
        <w:t xml:space="preserve"> Pucobre presenta </w:t>
      </w:r>
      <w:r>
        <w:rPr>
          <w:b/>
        </w:rPr>
        <w:t>62% de días con retorno cero</w:t>
      </w:r>
      <w:r>
        <w:t xml:space="preserve"> (no transa en la</w:t>
      </w:r>
    </w:p>
    <w:p>
      <w:r>
        <w:t>mayoría de las jornadas), frente a 5.5% (ANTO), 1.3% (SCCO) o 0.18% (Glencore); su</w:t>
      </w:r>
    </w:p>
    <w:p>
      <w:r>
        <w:t>volumen medio (~US$24 M equiv.) es dos órdenes de magnitud menor que el de</w:t>
      </w:r>
    </w:p>
    <w:p>
      <w:r>
        <w:t>Antofagasta (~US$2.000 M). La Tabla siguiente reporta las medidas de iliquidez por</w:t>
      </w:r>
    </w:p>
    <w:p>
      <w:r>
        <w:t>activo.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17. Medidas de iliquidez por activo: ratio de Amihud (medio y mediano), porcentaje de días con retorno cero y volumen medio en USD equivalente.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ILLIQ_medio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ILLIQ_mediano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pct_dias_retorno_cero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vol_medio_USD_equiv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5.48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2048639369.0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0.0075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62.11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23990838.0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0.0016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7.78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835410527.0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5.44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4197696871.0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SCCO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0.0332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1.29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49155668.0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FCX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388956776.0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BHP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0.0098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84203669.0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GLEN.L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12765858230.0</w:t>
            </w:r>
          </w:p>
        </w:tc>
      </w:tr>
    </w:tbl>
    <w:p>
      <w:pPr>
        <w:spacing w:after="80"/>
      </w:pPr>
    </w:p>
    <w:p>
      <w:r/>
      <w:r>
        <w:rPr>
          <w:b/>
        </w:rPr>
        <w:t>(b) Transversal.</w:t>
      </w:r>
      <w:r>
        <w:t xml:space="preserve"> La correlación de Spearman entre iliquidez (% días cero) y</w:t>
      </w:r>
    </w:p>
    <w:p>
      <w:r>
        <w:t>β-cobre contemporánea es negativa (ρ≈−0.55), en la dirección predicha (no</w:t>
      </w:r>
    </w:p>
    <w:p>
      <w:r>
        <w:t>significativa con N=8). La Figura siguiente muestra esta relación.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040000" cy="3465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iquidez_vs_be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46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ind w:firstLine="0"/>
        <w:jc w:val="center"/>
      </w:pPr>
      <w:r>
        <w:rPr>
          <w:i/>
          <w:color w:val="555555"/>
          <w:sz w:val="18"/>
        </w:rPr>
        <w:t>Figura 6. Iliquidez (porcentaje de días con retorno cero) frente a la elasticidad-cobre contemporánea de los ocho activos. Pucobre es el punto extremo de baja transmisión y alta iliquidez.</w:t>
      </w:r>
    </w:p>
    <w:p>
      <w:r/>
      <w:r>
        <w:rPr>
          <w:b/>
        </w:rPr>
        <w:t>(c) Rezagos distribuidos:</w:t>
      </w:r>
      <w:r/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18. Prueba formal de la iliquidez y multi-horizonte (H5)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β día 0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β acumulado 0–5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fracción día 0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0.816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0.862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94.7% (inmediata)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0.121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0.415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29.2% (diferida)</w:t>
            </w:r>
          </w:p>
        </w:tc>
      </w:tr>
    </w:tbl>
    <w:p>
      <w:pPr>
        <w:spacing w:after="80"/>
      </w:pPr>
    </w:p>
    <w:p>
      <w:r>
        <w:t>En Antofagasta el 95% del impacto del cobre llega el mismo día; en Pucobre sólo el</w:t>
      </w:r>
    </w:p>
    <w:p>
      <w:r>
        <w:t xml:space="preserve">29% —el 71% restante se difiere—. </w:t>
      </w:r>
      <w:r>
        <w:rPr>
          <w:b/>
        </w:rPr>
        <w:t>Multi-horizonte:</w:t>
      </w:r>
      <w:r>
        <w:t xml:space="preserve"> la elasticidad-cobre de</w:t>
      </w:r>
    </w:p>
    <w:p>
      <w:r>
        <w:t>Pucobre crece monótonamente: 0.09 (diaria) → 0.42 (acumulada 5d) → 0.60 (mensual,</w:t>
      </w:r>
    </w:p>
    <w:p>
      <w:r>
        <w:t>t=7.3, R²=0.31) → 0.75 (largo plazo VECM). A frecuencia mensual emerge la verdadera</w:t>
      </w:r>
    </w:p>
    <w:p>
      <w:r>
        <w:t>sensibilidad, cercana a la de Antofagasta. El IMACEC entra significativo y negativo</w:t>
      </w:r>
    </w:p>
    <w:p>
      <w:r>
        <w:t>para Pucobre (−0.26, t=−2.8). La evidencia en favor de H5 es, en consecuencia, sólida.</w:t>
      </w:r>
    </w:p>
    <w:p>
      <w:pPr>
        <w:pStyle w:val="Heading3"/>
      </w:pPr>
      <w:r>
        <w:t>6.13 Quiebres estructurales endógenos (Quandt-Andrews)</w:t>
      </w:r>
    </w:p>
    <w:p>
      <w:r>
        <w:t>Para evaluar la estabilidad de la transmisión en 22 años (que abarcan la crisis de</w:t>
      </w:r>
    </w:p>
    <w:p>
      <w:r>
        <w:t>2008, el superciclo, el COVID y el boom pospandemia), se aplica una prueba de quiebre</w:t>
      </w:r>
    </w:p>
    <w:p>
      <w:r>
        <w:t>con fecha endógena (sup-Chow / Quandt-Andrews, trimming 15%) sobre la regresión</w:t>
      </w:r>
    </w:p>
    <w:p>
      <w:r>
        <w:t>r = a + b·Δcobre + controles: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19. Quiebres estructurales endógenos (Quandt-Andrews)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sup-F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crítico 5%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fecha de quiebre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β-cobre pre → post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¿quiebre?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33.5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~18.0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2007-07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0.34 → 0.78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~18.0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2010-12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 → 0.13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12.4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~18.0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2011-01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0.12 → 0.35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11.1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~18.0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2019-06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0.15 → 0.30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</w:tbl>
    <w:p>
      <w:pPr>
        <w:spacing w:after="80"/>
      </w:pPr>
    </w:p>
    <w:p>
      <w:r>
        <w:t xml:space="preserve">Antofagasta presenta un </w:t>
      </w:r>
      <w:r>
        <w:rPr>
          <w:b/>
        </w:rPr>
        <w:t>quiebre significativo</w:t>
      </w:r>
      <w:r>
        <w:t xml:space="preserve"> en torno a mediados de 2007</w:t>
      </w:r>
    </w:p>
    <w:p>
      <w:r>
        <w:t>(víspera de la crisis financiera), tras el cual su elasticidad-cobre **se duplica con</w:t>
      </w:r>
    </w:p>
    <w:p>
      <w:r>
        <w:t>creces** (0.34 → 0.78): su integración al fundamento cuprífero se intensificó</w:t>
      </w:r>
    </w:p>
    <w:p>
      <w:r>
        <w:t xml:space="preserve">estructuralmente. Pucobre, en cambio, </w:t>
      </w:r>
      <w:r>
        <w:rPr>
          <w:b/>
        </w:rPr>
        <w:t>no exhibe quiebre significativo</w:t>
      </w:r>
      <w:r>
        <w:t>: su débil</w:t>
      </w:r>
    </w:p>
    <w:p>
      <w:r>
        <w:t xml:space="preserve">transmisión contemporánea es </w:t>
      </w:r>
      <w:r>
        <w:rPr>
          <w:b/>
        </w:rPr>
        <w:t>estructuralmente estable</w:t>
      </w:r>
      <w:r>
        <w:t>, no un artefacto de un</w:t>
      </w:r>
    </w:p>
    <w:p>
      <w:r>
        <w:t>régimen particular. Esto refuerza H2/H5: la baja sensibilidad contemporánea de</w:t>
      </w:r>
    </w:p>
    <w:p>
      <w:r>
        <w:t>Pucobre es una característica permanente de su microestructura (iliquidez), no un</w:t>
      </w:r>
    </w:p>
    <w:p>
      <w:r>
        <w:t>fenómeno transitorio.</w:t>
      </w:r>
    </w:p>
    <w:p>
      <w:pPr>
        <w:pStyle w:val="Heading3"/>
      </w:pPr>
      <w:r>
        <w:t>6.14 Robustez de la iliquidez: medidas alternativas</w:t>
      </w:r>
    </w:p>
    <w:p>
      <w:r>
        <w:t>Dado que el hallazgo central descansa sobre la iliquidez, se replica el contraste</w:t>
      </w:r>
    </w:p>
    <w:p>
      <w:r>
        <w:t xml:space="preserve">transversal con </w:t>
      </w:r>
      <w:r>
        <w:rPr>
          <w:b/>
        </w:rPr>
        <w:t>cuatro proxies construidas con metodologías distintas</w:t>
      </w:r>
      <w:r>
        <w:t xml:space="preserve"> —Amihud</w:t>
      </w:r>
    </w:p>
    <w:p>
      <w:r>
        <w:t>(basada en volumen), porcentaje de días con retorno cero (Lesmond et al.), spread</w:t>
      </w:r>
    </w:p>
    <w:p>
      <w:r>
        <w:t>implícito de Roll (basado en autocovarianza de retornos) y volumen medio en</w:t>
      </w:r>
    </w:p>
    <w:p>
      <w:r>
        <w:t>USD-equivalente—: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20. Robustez de la iliquidez: medidas alternativas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Signo esperado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Spearman ρ con β-cobre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% días retorno cero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−0.55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0.16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Spread de Roll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−0.40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0.50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Amihud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−0.07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0.88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Volumen medio (USD)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+0.33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0.42</w:t>
            </w:r>
          </w:p>
        </w:tc>
      </w:tr>
    </w:tbl>
    <w:p>
      <w:pPr>
        <w:spacing w:after="80"/>
      </w:pPr>
    </w:p>
    <w:p>
      <w:r>
        <w:t xml:space="preserve">Las cuatro medidas apuntan en la </w:t>
      </w:r>
      <w:r>
        <w:rPr>
          <w:b/>
        </w:rPr>
        <w:t>dirección predicha</w:t>
      </w:r>
      <w:r>
        <w:t xml:space="preserve"> (mayor iliquidez → menor</w:t>
      </w:r>
    </w:p>
    <w:p>
      <w:r>
        <w:t>transmisión contemporánea; mayor volumen → mayor transmisión), aunque ninguna alcanza</w:t>
      </w:r>
    </w:p>
    <w:p>
      <w:r>
        <w:t xml:space="preserve">significancia individual con N=8 (baja potencia). La </w:t>
      </w:r>
      <w:r>
        <w:rPr>
          <w:b/>
        </w:rPr>
        <w:t>consistencia de signos</w:t>
      </w:r>
      <w:r>
        <w:t xml:space="preserve"> entre</w:t>
      </w:r>
    </w:p>
    <w:p>
      <w:r>
        <w:t>proxies metodológicamente independientes robustece la conclusión: el hallazgo no</w:t>
      </w:r>
    </w:p>
    <w:p>
      <w:r>
        <w:t>depende del estimador de Amihud. (El spread de Roll resulta indefinido para Pucobre,</w:t>
      </w:r>
    </w:p>
    <w:p>
      <w:r>
        <w:t>CAP y SQM —autocovarianza positiva por la masa de retornos cero—, lo que confirma que</w:t>
      </w:r>
    </w:p>
    <w:p>
      <w:r>
        <w:t xml:space="preserve">el </w:t>
      </w:r>
      <w:r>
        <w:rPr>
          <w:b/>
        </w:rPr>
        <w:t>porcentaje de días con retorno cero</w:t>
      </w:r>
      <w:r>
        <w:t xml:space="preserve"> es la proxy preferida para los activos más</w:t>
      </w:r>
    </w:p>
    <w:p>
      <w:r>
        <w:t>ilíquidos, en línea con Lesmond et al.)</w:t>
      </w:r>
    </w:p>
    <w:p>
      <w:pPr>
        <w:pStyle w:val="Heading3"/>
      </w:pPr>
      <w:r>
        <w:t>6.15 Validación fuera de muestra (Clark-West)</w:t>
      </w:r>
    </w:p>
    <w:p>
      <w:r>
        <w:t xml:space="preserve">Como prueba </w:t>
      </w:r>
      <w:r>
        <w:rPr>
          <w:b/>
        </w:rPr>
        <w:t>predictiva e independiente</w:t>
      </w:r>
      <w:r>
        <w:t xml:space="preserve"> de la transmisión diferida (H5), se evalúa</w:t>
      </w:r>
    </w:p>
    <w:p>
      <w:r>
        <w:t xml:space="preserve">si el cobre </w:t>
      </w:r>
      <w:r>
        <w:rPr>
          <w:b/>
        </w:rPr>
        <w:t>rezagado</w:t>
      </w:r>
      <w:r>
        <w:t xml:space="preserve"> mejora la predicción fuera de muestra del retorno, mediante</w:t>
      </w:r>
    </w:p>
    <w:p>
      <w:r>
        <w:t>un esquema recursivo (ventana expansiva desde el 50% de la muestra) que compara un</w:t>
      </w:r>
    </w:p>
    <w:p>
      <w:r>
        <w:t>benchmark AR(1) anidado con un modelo AR(1) + cobre rezagado (lags 1–2), usando el</w:t>
      </w:r>
    </w:p>
    <w:p>
      <w:r>
        <w:t>R² fuera de muestra (Campbell-Thompson) y el test de Clark-West: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21. Validación fuera de muestra (Clark-West)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R² OOS (%)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Clark-West t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¿el cobre rezagado mejora?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+0.24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2.64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+0.20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2.45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0.007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+0.32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2.53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 (litio)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−0.02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−0.45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(placebo)</w:t>
            </w:r>
          </w:p>
        </w:tc>
      </w:tr>
    </w:tbl>
    <w:p>
      <w:pPr>
        <w:spacing w:after="80"/>
      </w:pPr>
    </w:p>
    <w:p>
      <w:r>
        <w:t xml:space="preserve">El cobre </w:t>
      </w:r>
      <w:r>
        <w:rPr>
          <w:b/>
        </w:rPr>
        <w:t>rezagado</w:t>
      </w:r>
      <w:r>
        <w:t xml:space="preserve"> tiene poder predictivo fuera de muestra para Pucobre —de hecho</w:t>
      </w:r>
    </w:p>
    <w:p>
      <w:r/>
      <w:r>
        <w:rPr>
          <w:b/>
        </w:rPr>
        <w:t>mayor</w:t>
      </w:r>
      <w:r>
        <w:t xml:space="preserve"> que para Antofagasta—, exactamente lo que predice la transmisión diferida:</w:t>
      </w:r>
    </w:p>
    <w:p>
      <w:r>
        <w:t>en el activo líquido el cobre ya está incorporado y el rezago aporta poco, mientras</w:t>
      </w:r>
    </w:p>
    <w:p>
      <w:r>
        <w:t xml:space="preserve">que en el ilíquido el rezago captura la incorporación tardía. El </w:t>
      </w:r>
      <w:r>
        <w:rPr>
          <w:b/>
        </w:rPr>
        <w:t>placebo</w:t>
      </w:r>
      <w:r>
        <w:t xml:space="preserve"> es nítido:</w:t>
      </w:r>
    </w:p>
    <w:p>
      <w:r>
        <w:t>SQM (litio, no cobre) no muestra predictibilidad por cobre rezagado (p=0.68),</w:t>
      </w:r>
    </w:p>
    <w:p>
      <w:r>
        <w:t>descartando que el resultado sea espurio. Esta es una confirmación de H5 por una vía</w:t>
      </w:r>
    </w:p>
    <w:p>
      <w:r>
        <w:t>metodológicamente distinta a todo el resto del análisis.</w:t>
      </w:r>
    </w:p>
    <w:p>
      <w:pPr>
        <w:pStyle w:val="Heading3"/>
      </w:pPr>
      <w:r>
        <w:t>6.16 Aplicación predictiva (validación complementaria)</w:t>
      </w:r>
    </w:p>
    <w:p>
      <w:r>
        <w:t xml:space="preserve">Aunque el enfoque de la tesis es </w:t>
      </w:r>
      <w:r>
        <w:rPr>
          <w:b/>
        </w:rPr>
        <w:t>explicativo</w:t>
      </w:r>
      <w:r>
        <w:t>, no predictivo, una validación</w:t>
      </w:r>
    </w:p>
    <w:p>
      <w:r>
        <w:t>predictiva fuera de muestra ofrece un contraste adicional del mecanismo y una</w:t>
      </w:r>
    </w:p>
    <w:p>
      <w:r>
        <w:t>aplicación práctica. Se estima un modelo lineal transparente que predice el retorno</w:t>
      </w:r>
    </w:p>
    <w:p>
      <w:r>
        <w:t>del día siguiente con información disponible hoy —retorno propio rezagado, cobre</w:t>
      </w:r>
    </w:p>
    <w:p>
      <w:r>
        <w:t xml:space="preserve">contemporáneo y rezagado, dólar y mercado— en una ventana </w:t>
      </w:r>
      <w:r>
        <w:rPr>
          <w:b/>
        </w:rPr>
        <w:t>expansiva</w:t>
      </w:r>
      <w:r>
        <w:t xml:space="preserve"> (estimación</w:t>
      </w:r>
    </w:p>
    <w:p>
      <w:r>
        <w:t>recursiva), y se compara contra un benchmark ingenuo (predecir retorno nulo, esto</w:t>
      </w:r>
    </w:p>
    <w:p>
      <w:r>
        <w:t>es, caminata aleatoria del precio):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22. Aplicación predictiva (validación complementaria)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R² fuera de muestra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Mejora RMSE vs naive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Precisión direccional*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−0.7%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−0.3%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54.2%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+1.2%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+0.6%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56.6%</w:t>
            </w:r>
          </w:p>
        </w:tc>
      </w:tr>
    </w:tbl>
    <w:p>
      <w:pPr>
        <w:spacing w:after="80"/>
      </w:pPr>
    </w:p>
    <w:p>
      <w:r>
        <w:t xml:space="preserve">(*) Precisión direccional calculada </w:t>
      </w:r>
      <w:r>
        <w:rPr>
          <w:b/>
        </w:rPr>
        <w:t>sólo sobre días de retorno no nulo</w:t>
      </w:r>
      <w:r>
        <w:t>, para</w:t>
      </w:r>
    </w:p>
    <w:p>
      <w:r>
        <w:t>evitar el sesgo que introducen los numerosos días sin transacción de Pucobre</w:t>
      </w:r>
    </w:p>
    <w:p>
      <w:r>
        <w:t>(donde el signo del retorno observado es cero).</w:t>
      </w:r>
    </w:p>
    <w:p>
      <w:r>
        <w:t>El resultado admite dos lecturas: (i) el retorno diario es esencialmente impredecible</w:t>
      </w:r>
    </w:p>
    <w:p>
      <w:r>
        <w:t>—coherente con eficiencia de mercado en forma débil—, con R² fuera de muestra ínfimo</w:t>
      </w:r>
    </w:p>
    <w:p>
      <w:r>
        <w:t>y precisión direccional apenas sobre el 50%; (ii) sin embargo, **Pucobre es</w:t>
      </w:r>
    </w:p>
    <w:p>
      <w:r>
        <w:t>sistemáticamente más predecible que Antofagasta** (mayor precisión direccional,</w:t>
      </w:r>
    </w:p>
    <w:p>
      <w:r>
        <w:t>única con R² fuera de muestra y RMSE mejores que el benchmark). Esta mayor</w:t>
      </w:r>
    </w:p>
    <w:p>
      <w:r>
        <w:t>predictibilidad del activo ilíquido es precisamente lo que implica el descubrimiento</w:t>
      </w:r>
    </w:p>
    <w:p>
      <w:r>
        <w:t>de precios diferido: la incorporación tardía de la información genera</w:t>
      </w:r>
    </w:p>
    <w:p>
      <w:r/>
      <w:r>
        <w:rPr>
          <w:b/>
        </w:rPr>
        <w:t>autocorrelación</w:t>
      </w:r>
      <w:r>
        <w:t xml:space="preserve"> explotable. Así, la dimensión predictiva </w:t>
      </w:r>
      <w:r>
        <w:rPr>
          <w:b/>
        </w:rPr>
        <w:t>refuerza</w:t>
      </w:r>
      <w:r>
        <w:t xml:space="preserve"> el hallazgo</w:t>
      </w:r>
    </w:p>
    <w:p>
      <w:r>
        <w:t>explicativo central por una vía independiente. La plataforma asociada incluye un</w:t>
      </w:r>
    </w:p>
    <w:p>
      <w:r/>
      <w:r>
        <w:rPr>
          <w:b/>
        </w:rPr>
        <w:t>simulador de escenarios</w:t>
      </w:r>
      <w:r>
        <w:t xml:space="preserve"> que traduce las elasticidades estimadas en impactos por</w:t>
      </w:r>
    </w:p>
    <w:p>
      <w:r>
        <w:t>horizonte; su utilidad no radica en el pronóstico puntual —imposible para retornos</w:t>
      </w:r>
    </w:p>
    <w:p>
      <w:r>
        <w:t>diarios— sino en cuantificar, de forma trazable, el rango de impacto de un escenario</w:t>
      </w:r>
    </w:p>
    <w:p>
      <w:r>
        <w:t>de cobre.</w:t>
      </w:r>
    </w:p>
    <w:p>
      <w:pPr>
        <w:pStyle w:val="Heading3"/>
      </w:pPr>
      <w:r>
        <w:t>6.17 Síntesis de verificación de hipótesis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23. Síntesis de verificación de hipótesis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1"/>
        <w:gridCol w:w="2161"/>
        <w:gridCol w:w="2161"/>
        <w:gridCol w:w="2161"/>
      </w:tblGrid>
      <w:tr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Hipótesis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Enunciado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Evidencia</w:t>
            </w:r>
          </w:p>
        </w:tc>
        <w:tc>
          <w:tcPr>
            <w:tcW w:type="dxa" w:w="21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Veredicto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H1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 impacta positiva y significativamente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β-cobre&gt;0 y significativa en los 8 activos (HAC)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sostiene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H2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Sensibilidad heterogénea según liquidez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0.70 (líquido) vs 0.09 (ilíquido); ρ(iliquidez, β)&lt;0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sostiene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H3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Relación de largo plazo (cointegración)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Johansen r=1; VECM elasticidad 0.75–0.86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sostiene (ARDL no unánime)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H4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Volatilidad persistente y con apalancamiento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Persistencia ≈0.99; γ significativo (GJR/EGARCH)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sostiene (salvo Pucobre)</w:t>
            </w:r>
          </w:p>
        </w:tc>
      </w:tr>
      <w:tr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H5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Transmisión diferida en el activo ilíquido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Fracción día0 29%; β crece 0.09→0.42→0.60→0.75</w:t>
            </w:r>
          </w:p>
        </w:tc>
        <w:tc>
          <w:tcPr>
            <w:tcW w:type="dxa" w:w="21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Se sostiene con fuerza</w:t>
            </w:r>
          </w:p>
        </w:tc>
      </w:tr>
    </w:tbl>
    <w:p>
      <w:pPr>
        <w:spacing w:after="80"/>
      </w:pPr>
    </w:p>
    <w:p>
      <w:r>
        <w:t>El cuadro condensa el aporte: cinco hipótesis preinscritas, contrastadas con métodos</w:t>
      </w:r>
    </w:p>
    <w:p>
      <w:r>
        <w:t>independientes, con veredictos explícitos y matizados donde la evidencia no es</w:t>
      </w:r>
    </w:p>
    <w:p>
      <w:r>
        <w:t>unánime, según el peso de la evidencia de cada técnica.</w:t>
      </w:r>
    </w:p>
    <w:p>
      <w:pPr>
        <w:pStyle w:val="Heading2"/>
      </w:pPr>
      <w:r>
        <w:t>7. Discusión</w:t>
      </w:r>
    </w:p>
    <w:p>
      <w:pPr>
        <w:pStyle w:val="Heading3"/>
      </w:pPr>
      <w:r>
        <w:t>7.1 Triangulación del hallazgo central</w:t>
      </w:r>
    </w:p>
    <w:p>
      <w:r>
        <w:t>La evidencia es consistente y se triangula por seis técnicas independientes:</w:t>
      </w:r>
    </w:p>
    <w:p>
      <w:r>
        <w:t>(1) la regresión HAC muestra transmisión contemporánea casi nula en Pucobre (0.09);</w:t>
      </w:r>
    </w:p>
    <w:p>
      <w:r>
        <w:t>(2) los rezagos distribuidos muestran que sólo el 29% del impacto llega el día 0;</w:t>
      </w:r>
    </w:p>
    <w:p>
      <w:r>
        <w:t>(3) el VAR muestra una IRF que se acumula en los días siguientes (5d ≈ 4× el día 1);</w:t>
      </w:r>
    </w:p>
    <w:p>
      <w:r>
        <w:t>(4) la FEVD del cobre crece con el horizonte; (5) el modelo mensual recupera una</w:t>
      </w:r>
    </w:p>
    <w:p>
      <w:r>
        <w:t>elasticidad de 0.60; (6) el VECM fija el equilibrio de largo plazo en 0.75. Las seis</w:t>
      </w:r>
    </w:p>
    <w:p>
      <w:r>
        <w:t>piezas convergen en una sola lectura: **la iliquidez retrasa, pero no elimina, la</w:t>
      </w:r>
    </w:p>
    <w:p>
      <w:r>
        <w:t>transmisión del fundamento cobre→valoración.**</w:t>
      </w:r>
    </w:p>
    <w:p>
      <w:pPr>
        <w:pStyle w:val="Heading3"/>
      </w:pPr>
      <w:r>
        <w:t>7.2 Mecanismo económico</w:t>
      </w:r>
    </w:p>
    <w:p>
      <w:r>
        <w:t>El pure-play líquido y cross-listed (Antofagasta) opera en un mercado profundo</w:t>
      </w:r>
    </w:p>
    <w:p>
      <w:r>
        <w:t>donde el arbitraje incorpora el precio del cobre de inmediato. El pure-play local</w:t>
      </w:r>
    </w:p>
    <w:p>
      <w:r>
        <w:t>(Pucobre) transa esporádicamente; la información del cobre se incorpora a su precio</w:t>
      </w:r>
    </w:p>
    <w:p>
      <w:r>
        <w:t>sólo cuando hay transacción, generando autocorrelación positiva en sus retornos y un</w:t>
      </w:r>
    </w:p>
    <w:p>
      <w:r>
        <w:t>descubrimiento de precios diferido. El fundamento es el mismo —la elasticidad de</w:t>
      </w:r>
    </w:p>
    <w:p>
      <w:r>
        <w:t xml:space="preserve">largo plazo es comparable— pero la </w:t>
      </w:r>
      <w:r>
        <w:rPr>
          <w:b/>
        </w:rPr>
        <w:t>velocidad</w:t>
      </w:r>
      <w:r>
        <w:t xml:space="preserve"> de incorporación difiere por la</w:t>
      </w:r>
    </w:p>
    <w:p>
      <w:r>
        <w:t>microestructura.</w:t>
      </w:r>
    </w:p>
    <w:p>
      <w:r>
        <w:t>El mecanismo puede precisarse en el lenguaje de la microestructura de mercado. En un</w:t>
      </w:r>
    </w:p>
    <w:p>
      <w:r>
        <w:t>título de alta profundidad, el flujo continuo de órdenes y la presencia de</w:t>
      </w:r>
    </w:p>
    <w:p>
      <w:r>
        <w:t>arbitrajistas aseguran que cualquier novedad sobre el precio del cobre —disponible en</w:t>
      </w:r>
    </w:p>
    <w:p>
      <w:r>
        <w:t>tiempo real en los mercados de futuros— se traduzca casi instantáneamente en el precio</w:t>
      </w:r>
    </w:p>
    <w:p>
      <w:r>
        <w:t>de la acción, pues existen agentes dispuestos a operar ante la menor discrepancia entre</w:t>
      </w:r>
    </w:p>
    <w:p>
      <w:r>
        <w:t>el valor fundamental y el precio observado. En un título de baja profundidad, en</w:t>
      </w:r>
    </w:p>
    <w:p>
      <w:r>
        <w:t>cambio, pueden transcurrir jornadas sin transacciones; durante esos intervalos el</w:t>
      </w:r>
    </w:p>
    <w:p>
      <w:r>
        <w:t>precio permanece "congelado" en su último valor, desconectado de la evolución del</w:t>
      </w:r>
    </w:p>
    <w:p>
      <w:r>
        <w:t>fundamento. Cuando finalmente se cruza una operación, el precio salta para reflejar de</w:t>
      </w:r>
    </w:p>
    <w:p>
      <w:r>
        <w:t>una vez toda la información acumulada, lo que produce simultáneamente la curtosis</w:t>
      </w:r>
    </w:p>
    <w:p>
      <w:r>
        <w:t>extrema observada en los retornos de Pucobre y la autocorrelación positiva que el</w:t>
      </w:r>
    </w:p>
    <w:p>
      <w:r>
        <w:t>modelo predictivo explota fuera de muestra. Este patrón —precios que se ajustan a</w:t>
      </w:r>
    </w:p>
    <w:p>
      <w:r>
        <w:t>saltos discretos en lugar de hacerlo de forma continua— es la manifestación empírica</w:t>
      </w:r>
    </w:p>
    <w:p>
      <w:r>
        <w:t>del descubrimiento de precios lento, y explica por qué la elasticidad-cobre medida</w:t>
      </w:r>
    </w:p>
    <w:p>
      <w:r>
        <w:t>crece de forma monótona a medida que se amplía la ventana temporal: al agregar varios</w:t>
      </w:r>
    </w:p>
    <w:p>
      <w:r>
        <w:t>días o un mes, los saltos rezagados se acumulan y la sensibilidad converge a la que</w:t>
      </w:r>
    </w:p>
    <w:p>
      <w:r>
        <w:t>exhibe el activo líquido. La distinción crucial, y el aporte conceptual de la tesis,</w:t>
      </w:r>
    </w:p>
    <w:p>
      <w:r>
        <w:t xml:space="preserve">es que esta brecha es de </w:t>
      </w:r>
      <w:r>
        <w:rPr>
          <w:b/>
        </w:rPr>
        <w:t>velocidad de incorporación</w:t>
      </w:r>
      <w:r>
        <w:t>, no de **exposición</w:t>
      </w:r>
    </w:p>
    <w:p>
      <w:r>
        <w:t>fundamental*: ambos pure-plays* están igualmente ligados al cobre en el largo plazo;</w:t>
      </w:r>
    </w:p>
    <w:p>
      <w:r>
        <w:t>sólo difieren en la rapidez con que el mercado lo reconoce.</w:t>
      </w:r>
    </w:p>
    <w:p>
      <w:pPr>
        <w:pStyle w:val="Heading3"/>
      </w:pPr>
      <w:r>
        <w:t>7.1bis Significancia económica de las magnitudes</w:t>
      </w:r>
    </w:p>
    <w:p>
      <w:r>
        <w:t>Más allá de la significancia estadística, las magnitudes tienen una lectura</w:t>
      </w:r>
    </w:p>
    <w:p>
      <w:r>
        <w:t xml:space="preserve">económica concreta. Una elasticidad-cobre contemporánea de </w:t>
      </w:r>
      <w:r>
        <w:rPr>
          <w:b/>
        </w:rPr>
        <w:t>0.70</w:t>
      </w:r>
      <w:r>
        <w:t xml:space="preserve"> para Antofagasta</w:t>
      </w:r>
    </w:p>
    <w:p>
      <w:r>
        <w:t xml:space="preserve">implica que un movimiento de </w:t>
      </w:r>
      <w:r>
        <w:rPr>
          <w:b/>
        </w:rPr>
        <w:t>+10%</w:t>
      </w:r>
      <w:r>
        <w:t xml:space="preserve"> en el precio del cobre se asocia, el mismo día,</w:t>
      </w:r>
    </w:p>
    <w:p>
      <w:r>
        <w:t xml:space="preserve">con un retorno de </w:t>
      </w:r>
      <w:r>
        <w:rPr>
          <w:b/>
        </w:rPr>
        <w:t>≈+7%</w:t>
      </w:r>
      <w:r>
        <w:t xml:space="preserve"> de la acción —coherente con el apalancamiento operativo de</w:t>
      </w:r>
    </w:p>
    <w:p>
      <w:r>
        <w:t xml:space="preserve">un pure-play (§2.5)—. Para Pucobre, ese mismo shock de +10% genera apenas </w:t>
      </w:r>
      <w:r>
        <w:rPr>
          <w:b/>
        </w:rPr>
        <w:t>≈+0.9%</w:t>
      </w:r>
      <w:r/>
    </w:p>
    <w:p>
      <w:r>
        <w:t xml:space="preserve">el primer día, pero </w:t>
      </w:r>
      <w:r>
        <w:rPr>
          <w:b/>
        </w:rPr>
        <w:t>≈+6%</w:t>
      </w:r>
      <w:r>
        <w:t xml:space="preserve"> acumulado al cabo de un mes y </w:t>
      </w:r>
      <w:r>
        <w:rPr>
          <w:b/>
        </w:rPr>
        <w:t>≈+7.5%</w:t>
      </w:r>
      <w:r>
        <w:t xml:space="preserve"> en el equilibrio</w:t>
      </w:r>
    </w:p>
    <w:p>
      <w:r>
        <w:t>de largo plazo. Para un inversionista, la implicancia es operativa: medir la</w:t>
      </w:r>
    </w:p>
    <w:p>
      <w:r>
        <w:t xml:space="preserve">exposición de Pucobre al cobre con una beta </w:t>
      </w:r>
      <w:r>
        <w:rPr>
          <w:b/>
        </w:rPr>
        <w:t>diaria</w:t>
      </w:r>
      <w:r>
        <w:t xml:space="preserve"> subestima su riesgo real en un</w:t>
      </w:r>
    </w:p>
    <w:p>
      <w:r>
        <w:t xml:space="preserve">factor cercano a </w:t>
      </w:r>
      <w:r>
        <w:rPr>
          <w:b/>
        </w:rPr>
        <w:t>ocho</w:t>
      </w:r>
      <w:r>
        <w:t xml:space="preserve"> (0.09 vs 0.75); la exposición sólo se aprecia correctamente</w:t>
      </w:r>
    </w:p>
    <w:p>
      <w:r>
        <w:t>a horizontes mensuales o superiores. Para un emisor pequeño, el resultado cuantifica</w:t>
      </w:r>
    </w:p>
    <w:p>
      <w:r>
        <w:t xml:space="preserve">un </w:t>
      </w:r>
      <w:r>
        <w:rPr>
          <w:b/>
        </w:rPr>
        <w:t>costo de iliquidez</w:t>
      </w:r>
      <w:r>
        <w:t>: el mercado tarda en reflejar las mejoras de su fundamento,</w:t>
      </w:r>
    </w:p>
    <w:p>
      <w:r>
        <w:t>lo que se traduce en mayor costo de capital y menor utilidad de la acción como</w:t>
      </w:r>
    </w:p>
    <w:p>
      <w:r>
        <w:t>instrumento de cobertura del riesgo-cobre en el corto plazo.</w:t>
      </w:r>
    </w:p>
    <w:p>
      <w:pPr>
        <w:pStyle w:val="Heading3"/>
      </w:pPr>
      <w:r>
        <w:t>7.2bis Implicaciones para la eficiencia de mercado</w:t>
      </w:r>
    </w:p>
    <w:p>
      <w:r>
        <w:t>El gradiente de transmisión por horizonte tiene una lectura directa en términos de</w:t>
      </w:r>
    </w:p>
    <w:p>
      <w:r>
        <w:t>eficiencia informacional en su forma semi-fuerte. En el segmento líquido y</w:t>
      </w:r>
    </w:p>
    <w:p>
      <w:r>
        <w:t>cross-listed, la información pública del precio del cobre se incorpora al valor de</w:t>
      </w:r>
    </w:p>
    <w:p>
      <w:r>
        <w:t>Antofagasta esencialmente el mismo día (fracción día 0 ≈ 95%), compatible con un</w:t>
      </w:r>
    </w:p>
    <w:p>
      <w:r>
        <w:t>mercado eficiente. En el segmento local ilíquido, en cambio, una fracción mayoritaria</w:t>
      </w:r>
    </w:p>
    <w:p>
      <w:r>
        <w:t>del impacto (≈71%) se incorpora con rezago, lo que constituye una **ineficiencia de</w:t>
      </w:r>
    </w:p>
    <w:p>
      <w:r>
        <w:t>corto plazo medible**. Es crucial subrayar que esta ineficiencia es atribuible a la</w:t>
      </w:r>
    </w:p>
    <w:p>
      <w:r/>
      <w:r>
        <w:rPr>
          <w:b/>
        </w:rPr>
        <w:t>fricción de liquidez</w:t>
      </w:r>
      <w:r>
        <w:t xml:space="preserve"> —no a una desconexión fundamental— puesto que el equilibrio</w:t>
      </w:r>
    </w:p>
    <w:p>
      <w:r>
        <w:t>de largo plazo recupera la elasticidad plena. La distinción importa para el diseño de</w:t>
      </w:r>
    </w:p>
    <w:p>
      <w:r>
        <w:t>políticas de mercado (incentivos a la liquidez, market making) y para la práctica</w:t>
      </w:r>
    </w:p>
    <w:p>
      <w:r>
        <w:t>de valoración: ignorarla conduce a betas diarias sesgadas a la baja para los activos</w:t>
      </w:r>
    </w:p>
    <w:p>
      <w:r>
        <w:t>ilíquidos.</w:t>
      </w:r>
    </w:p>
    <w:p>
      <w:pPr>
        <w:pStyle w:val="Heading3"/>
      </w:pPr>
      <w:r>
        <w:t>7.3 Comparación con la literatura</w:t>
      </w:r>
    </w:p>
    <w:p>
      <w:r>
        <w:t>Las elasticidades-cobre de las referencias internacionales (SCCO 0.49, FCX 0.63,</w:t>
      </w:r>
    </w:p>
    <w:p>
      <w:r>
        <w:t>Glencore 0.58) y de Antofagasta (0.70) son del mismo orden, validando externamente</w:t>
      </w:r>
    </w:p>
    <w:p>
      <w:r>
        <w:t>la magnitud del canal de demanda/ingreso. Este orden de magnitud —una relación</w:t>
      </w:r>
    </w:p>
    <w:p>
      <w:r>
        <w:t>positiva pero por debajo de la unidad en el corto plazo— coincide con la evidencia de</w:t>
      </w:r>
    </w:p>
    <w:p>
      <w:r>
        <w:t>Mendiola, Chávez-Bedoya y Wallenstein (2022), quienes documentan una reacción</w:t>
      </w:r>
    </w:p>
    <w:p>
      <w:r>
        <w:t>positiva e inelástica de las acciones mineras de cobre ante cambios en el precio del</w:t>
      </w:r>
    </w:p>
    <w:p>
      <w:r>
        <w:t>metal. El signo negativo del dólar y la relación cobre↔moneda son coherentes con la</w:t>
      </w:r>
    </w:p>
    <w:p>
      <w:r>
        <w:t>literatura de commodity currencies (Chen y Rogoff, 2003) y con la evidencia</w:t>
      </w:r>
    </w:p>
    <w:p>
      <w:r>
        <w:t>nacional del Banco Central de Chile. La advertencia de Kilian y Park (2009) —según la</w:t>
      </w:r>
    </w:p>
    <w:p>
      <w:r>
        <w:t>cual el efecto de un shock de commodity sobre las acciones depende de su naturaleza</w:t>
      </w:r>
    </w:p>
    <w:p>
      <w:r>
        <w:t>de oferta o de demanda— invita a no sobreinterpretar la elasticidad estimada como un</w:t>
      </w:r>
    </w:p>
    <w:p>
      <w:r>
        <w:t>parámetro estructural único, sino como un promedio sobre regímenes; de ahí la</w:t>
      </w:r>
    </w:p>
    <w:p>
      <w:r>
        <w:t>relevancia del análisis de quiebres y submuestras. La asimetría de largo plazo hallada</w:t>
      </w:r>
    </w:p>
    <w:p>
      <w:r>
        <w:t>para Antofagasta dialoga con la evidencia de Cashin, McDermott y Scott (2002) sobre la</w:t>
      </w:r>
    </w:p>
    <w:p>
      <w:r>
        <w:t>naturaleza asimétrica de los ciclos de commodities. Finalmente, la disociación</w:t>
      </w:r>
    </w:p>
    <w:p>
      <w:r>
        <w:t>corto/largo plazo gobernada por la liquidez es plenamente consistente con Amihud</w:t>
      </w:r>
    </w:p>
    <w:p>
      <w:r>
        <w:t>(2002), Bekaert, Harvey y Lundblad (2007) y Amihud, Hameed, Kang y Zhang (2015),</w:t>
      </w:r>
    </w:p>
    <w:p>
      <w:r>
        <w:t>quienes sitúan a la liquidez —y en particular a la de las firmas pequeñas de mercados</w:t>
      </w:r>
    </w:p>
    <w:p>
      <w:r>
        <w:t>emergentes— como un determinante de primer orden del comportamiento de los retornos.</w:t>
      </w:r>
    </w:p>
    <w:p>
      <w:pPr>
        <w:pStyle w:val="Heading3"/>
      </w:pPr>
      <w:r>
        <w:t>7.4 Validez interna y externa</w:t>
      </w:r>
    </w:p>
    <w:p>
      <w:r/>
      <w:r>
        <w:rPr>
          <w:b/>
        </w:rPr>
        <w:t>Interna.</w:t>
      </w:r>
      <w:r>
        <w:t xml:space="preserve"> La identificación del canal cobre→acción se apoya en (i) la exogeneidad</w:t>
      </w:r>
    </w:p>
    <w:p>
      <w:r>
        <w:t>del cobre respecto de una minera pequeña (confirmada por Toda-Yamamoto</w:t>
      </w:r>
    </w:p>
    <w:p>
      <w:r>
        <w:t>unidireccional) y (ii) el control por factores globales y de moneda. La principal</w:t>
      </w:r>
    </w:p>
    <w:p>
      <w:r>
        <w:t>amenaza a la validez interna sería un factor omitido que moviera simultáneamente al</w:t>
      </w:r>
    </w:p>
    <w:p>
      <w:r>
        <w:t>cobre y a la acción sin pasar por el canal postulado; los controles de dólar, tasas,</w:t>
      </w:r>
    </w:p>
    <w:p>
      <w:r>
        <w:t>mercado y energía mitigan esta posibilidad, y el contraste líquido/ilíquido la acota</w:t>
      </w:r>
    </w:p>
    <w:p>
      <w:r>
        <w:t>aún más, pues un confusor de ese tipo debería afectar de manera idéntica a dos</w:t>
      </w:r>
    </w:p>
    <w:p>
      <w:r>
        <w:t>pure-plays con la misma exposición fundamental, lo que no explicaría la diferencia</w:t>
      </w:r>
    </w:p>
    <w:p>
      <w:r>
        <w:t>sistemática en la velocidad de transmisión. El placebo con SQM —un activo de litio,</w:t>
      </w:r>
    </w:p>
    <w:p>
      <w:r>
        <w:t>ajeno al cobre, que no muestra predictibilidad por cobre rezagado— refuerza que el</w:t>
      </w:r>
    </w:p>
    <w:p>
      <w:r>
        <w:t>efecto detectado no es un artefacto estadístico general.</w:t>
      </w:r>
    </w:p>
    <w:p>
      <w:r/>
      <w:r>
        <w:rPr>
          <w:b/>
        </w:rPr>
        <w:t>Externa.</w:t>
      </w:r>
      <w:r>
        <w:t xml:space="preserve"> El núcleo del resultado (heterogeneidad por liquidez) es específico al</w:t>
      </w:r>
    </w:p>
    <w:p>
      <w:r>
        <w:t>contraste líquido/ilíquido y debería replicarse en otros small-caps de commodities</w:t>
      </w:r>
    </w:p>
    <w:p>
      <w:r>
        <w:t>en mercados emergentes; la generalización a todo el sector chileno está limitada por el</w:t>
      </w:r>
    </w:p>
    <w:p>
      <w:r>
        <w:t>N reducido. No obstante, la coherencia de las magnitudes con las referencias</w:t>
      </w:r>
    </w:p>
    <w:p>
      <w:r>
        <w:t>internacionales y con la teoría de microestructura sugiere que el mecanismo —y no</w:t>
      </w:r>
    </w:p>
    <w:p>
      <w:r>
        <w:t>necesariamente los coeficientes puntuales— es trasladable a contextos análogos: títulos</w:t>
      </w:r>
    </w:p>
    <w:p>
      <w:r>
        <w:t>de baja liquidez con una exposición fundamental clara a un factor observable. Establecer</w:t>
      </w:r>
    </w:p>
    <w:p>
      <w:r>
        <w:t>esa generalidad de forma rigurosa requeriría un panel internacional de small-caps de</w:t>
      </w:r>
    </w:p>
    <w:p>
      <w:r>
        <w:t>recursos naturales, lo que se propone como extensión.</w:t>
      </w:r>
    </w:p>
    <w:p>
      <w:pPr>
        <w:pStyle w:val="Heading3"/>
      </w:pPr>
      <w:r>
        <w:t>7.5 Implicancias</w:t>
      </w:r>
    </w:p>
    <w:p>
      <w:r>
        <w:t xml:space="preserve">Para la </w:t>
      </w:r>
      <w:r>
        <w:rPr>
          <w:b/>
        </w:rPr>
        <w:t>gestión de riesgo y valoración</w:t>
      </w:r>
      <w:r>
        <w:t>, la sensibilidad al cobre de un activo</w:t>
      </w:r>
    </w:p>
    <w:p>
      <w:r>
        <w:t>ilíquido debe medirse a horizontes largos, no diarios: una beta diaria subestima</w:t>
      </w:r>
    </w:p>
    <w:p>
      <w:r>
        <w:t xml:space="preserve">gravemente la exposición real. Para la </w:t>
      </w:r>
      <w:r>
        <w:rPr>
          <w:b/>
        </w:rPr>
        <w:t>eficiencia de mercado</w:t>
      </w:r>
      <w:r>
        <w:t>, los resultados</w:t>
      </w:r>
    </w:p>
    <w:p>
      <w:r>
        <w:t>cuantifican una ineficiencia informacional de corto plazo en el segmento local,</w:t>
      </w:r>
    </w:p>
    <w:p>
      <w:r>
        <w:t>atribuible a la liquidez más que a la ausencia de vínculo fundamental.</w:t>
      </w:r>
    </w:p>
    <w:p>
      <w:pPr>
        <w:pStyle w:val="Heading3"/>
      </w:pPr>
      <w:r>
        <w:t>7.6 Limitaciones (amenazas a la validez)</w:t>
      </w:r>
    </w:p>
    <w:p>
      <w:r>
        <w:t>(i) EMBI Chile y tasas BCU/BTU pendientes de credenciales del Banco Central; (ii)</w:t>
      </w:r>
    </w:p>
    <w:p>
      <w:r>
        <w:t>FRED inaccesible desde el entorno de ejecución; (iii) proxy de mercado local en USD</w:t>
      </w:r>
    </w:p>
    <w:p>
      <w:r>
        <w:t>(ECH) por inconsistencia del IPSA de Yahoo, con leve solapamiento cambiario; (iv)</w:t>
      </w:r>
    </w:p>
    <w:p>
      <w:r>
        <w:t>calendarios heterogéneos que reducen la muestra; (v) GARCH no fiable en Pucobre por</w:t>
      </w:r>
    </w:p>
    <w:p>
      <w:r>
        <w:t>iliquidez; (vi) el ARDL lineal no confirma cointegración (baja potencia ante ajuste</w:t>
      </w:r>
    </w:p>
    <w:p>
      <w:r>
        <w:t>lento), aunque el NARDL sí la detecta para Antofagasta; (vii) panel con N=4; (viii)</w:t>
      </w:r>
    </w:p>
    <w:p>
      <w:r>
        <w:t>estudio de eventos sin componente de sorpresa de TPM (expectativas no observadas).</w:t>
      </w:r>
    </w:p>
    <w:p>
      <w:pPr>
        <w:pStyle w:val="Heading2"/>
      </w:pPr>
      <w:r>
        <w:t>8. Conclusiones</w:t>
      </w:r>
    </w:p>
    <w:p>
      <w:pPr>
        <w:pStyle w:val="ListNumber"/>
      </w:pPr>
      <w:r>
        <w:t>El universo de mineras de cobre cotizadas vinculadas a Chile es mínimo y se</w:t>
      </w:r>
    </w:p>
    <w:p>
      <w:r>
        <w:t>resolvió empíricamente: Antofagasta (LSE) y Pucobre (Santiago) como núcleo, con</w:t>
      </w:r>
    </w:p>
    <w:p>
      <w:r>
        <w:t>panel de materiales y referencias internacionales.</w:t>
      </w:r>
    </w:p>
    <w:p>
      <w:pPr>
        <w:pStyle w:val="ListNumber"/>
      </w:pPr>
      <w:r>
        <w:t xml:space="preserve">El precio del cobre es un determinante </w:t>
      </w:r>
      <w:r>
        <w:rPr>
          <w:b/>
        </w:rPr>
        <w:t>positivo y significativo</w:t>
      </w:r>
      <w:r>
        <w:t xml:space="preserve"> de los</w:t>
      </w:r>
    </w:p>
    <w:p>
      <w:r>
        <w:t>retornos mineros (H1), con magnitud creciente en la liquidez del activo (H2).</w:t>
      </w:r>
    </w:p>
    <w:p>
      <w:pPr>
        <w:pStyle w:val="ListNumber"/>
      </w:pPr>
      <w:r>
        <w:t>El resultado más novedoso es la **disociación corto/largo plazo en el activo</w:t>
      </w:r>
    </w:p>
    <w:p>
      <w:r>
        <w:t>ilíquido (Pucobre)** (H5): transmisión contemporánea casi nula pero vínculo de</w:t>
      </w:r>
    </w:p>
    <w:p>
      <w:r>
        <w:t>largo plazo pleno y causalidad con rezago. La sensibilidad crece monótonamente con</w:t>
      </w:r>
    </w:p>
    <w:p>
      <w:r>
        <w:t>el horizonte (0.09 → 0.42 → 0.60 → 0.75). Aporta evidencia sobre (in)eficiencia</w:t>
      </w:r>
    </w:p>
    <w:p>
      <w:r>
        <w:t>informacional en un mercado emergente pequeño.</w:t>
      </w:r>
    </w:p>
    <w:p>
      <w:pPr>
        <w:pStyle w:val="ListNumber"/>
      </w:pPr>
      <w:r>
        <w:t>Existe una relación de equilibrio de largo plazo cobre→valoración (H3, vía</w:t>
      </w:r>
    </w:p>
    <w:p>
      <w:r>
        <w:t>Johansen/VECM), con ajuste lento; el NARDL revela además asimetría de largo plazo</w:t>
      </w:r>
    </w:p>
    <w:p>
      <w:r>
        <w:t>en Antofagasta.</w:t>
      </w:r>
    </w:p>
    <w:p>
      <w:pPr>
        <w:pStyle w:val="ListNumber"/>
      </w:pPr>
      <w:r>
        <w:t>La volatilidad es persistente y asimétrica (H4); el dólar y las tasas globales</w:t>
      </w:r>
    </w:p>
    <w:p>
      <w:r>
        <w:t>complementan el canal del cobre, mientras la política monetaria doméstica pesa</w:t>
      </w:r>
    </w:p>
    <w:p>
      <w:r>
        <w:t>poco frente a los factores globales.</w:t>
      </w:r>
    </w:p>
    <w:p>
      <w:pPr>
        <w:pStyle w:val="Heading3"/>
      </w:pPr>
      <w:r>
        <w:t>8.1 Contribuciones</w:t>
      </w:r>
    </w:p>
    <w:p>
      <w:r>
        <w:t xml:space="preserve">El aporte de esta tesis es triple. En lo </w:t>
      </w:r>
      <w:r>
        <w:rPr>
          <w:b/>
        </w:rPr>
        <w:t>metodológico</w:t>
      </w:r>
      <w:r>
        <w:t>, integra una batería amplia</w:t>
      </w:r>
    </w:p>
    <w:p>
      <w:r>
        <w:t>y reproducible de técnicas —de la cointegración a la microestructura— sobre un</w:t>
      </w:r>
    </w:p>
    <w:p>
      <w:r>
        <w:t>universo notoriamente difícil por su escaso número de emisores, mostrando que el</w:t>
      </w:r>
    </w:p>
    <w:p>
      <w:r>
        <w:t>diseño cuidadoso permite extraer conclusiones robustas pese a la restricción de datos.</w:t>
      </w:r>
    </w:p>
    <w:p>
      <w:r>
        <w:t xml:space="preserve">En lo </w:t>
      </w:r>
      <w:r>
        <w:rPr>
          <w:b/>
        </w:rPr>
        <w:t>empírico</w:t>
      </w:r>
      <w:r>
        <w:t>, cuantifica por primera vez, con este nivel de detalle, el canal</w:t>
      </w:r>
    </w:p>
    <w:p>
      <w:r>
        <w:t>cobre→valoración para los pure-plays chilenos, entregando elasticidades por</w:t>
      </w:r>
    </w:p>
    <w:p>
      <w:r>
        <w:t>horizonte que pueden servir de referencia a inversionistas y analistas. En lo</w:t>
      </w:r>
    </w:p>
    <w:p>
      <w:r/>
      <w:r>
        <w:rPr>
          <w:b/>
        </w:rPr>
        <w:t>conceptual</w:t>
      </w:r>
      <w:r>
        <w:t>, documenta y prueba formalmente —por seis vías independientes y un</w:t>
      </w:r>
    </w:p>
    <w:p>
      <w:r>
        <w:t>contraste cuasi-experimental— un mecanismo de descubrimiento de precios diferido</w:t>
      </w:r>
    </w:p>
    <w:p>
      <w:r>
        <w:t>atribuible a la iliquidez, contribuyendo a la comprensión de la eficiencia</w:t>
      </w:r>
    </w:p>
    <w:p>
      <w:r>
        <w:t>informacional en mercados emergentes pequeños.</w:t>
      </w:r>
    </w:p>
    <w:p>
      <w:pPr>
        <w:pStyle w:val="Heading3"/>
      </w:pPr>
      <w:r>
        <w:t>8.1.1 Implicancias y recomendaciones</w:t>
      </w:r>
    </w:p>
    <w:p>
      <w:r>
        <w:t xml:space="preserve">Para la </w:t>
      </w:r>
      <w:r>
        <w:rPr>
          <w:b/>
        </w:rPr>
        <w:t>gestión de inversiones</w:t>
      </w:r>
      <w:r>
        <w:t>, el resultado central tiene una consecuencia</w:t>
      </w:r>
    </w:p>
    <w:p>
      <w:r>
        <w:t>operativa directa: la exposición al cobre de un activo ilíquido debe medirse y</w:t>
      </w:r>
    </w:p>
    <w:p>
      <w:r>
        <w:t>gestionarse a horizontes intermedios o largos, no diarios; las betas diarias</w:t>
      </w:r>
    </w:p>
    <w:p>
      <w:r>
        <w:t>subestiman sistemáticamente el riesgo-cobre de los emisores de baja liquidez y, por</w:t>
      </w:r>
    </w:p>
    <w:p>
      <w:r>
        <w:t>tanto, sesgan tanto la valoración como las decisiones de cobertura. Para la **política</w:t>
      </w:r>
    </w:p>
    <w:p>
      <w:r>
        <w:t>de mercado de capitales**, la evidencia cuantifica un costo concreto de la baja</w:t>
      </w:r>
    </w:p>
    <w:p>
      <w:r>
        <w:t>liquidez del segmento local —incorporación tardía de la información fundamental— y</w:t>
      </w:r>
    </w:p>
    <w:p>
      <w:r>
        <w:t>respalda iniciativas orientadas a profundizar la liquidez (incentivos a la creación de</w:t>
      </w:r>
    </w:p>
    <w:p>
      <w:r>
        <w:t>mercado, programas de market making, mejoras de difusión de información) como vía</w:t>
      </w:r>
    </w:p>
    <w:p>
      <w:r>
        <w:t>para acercar los precios locales a su valor fundamental con mayor celeridad. Para la</w:t>
      </w:r>
    </w:p>
    <w:p>
      <w:r/>
      <w:r>
        <w:rPr>
          <w:b/>
        </w:rPr>
        <w:t>gestión corporativa</w:t>
      </w:r>
      <w:r>
        <w:t>, el hallazgo sugiere que, para un emisor pequeño, las mejoras</w:t>
      </w:r>
    </w:p>
    <w:p>
      <w:r>
        <w:t>de sus fundamentos pueden tardar en reflejarse en el precio, con implicancias para el</w:t>
      </w:r>
    </w:p>
    <w:p>
      <w:r>
        <w:t>costo de capital y para la oportunidad de operaciones de mercado.</w:t>
      </w:r>
    </w:p>
    <w:p>
      <w:pPr>
        <w:pStyle w:val="Heading3"/>
      </w:pPr>
      <w:r>
        <w:t>8.2 Líneas futuras</w:t>
      </w:r>
    </w:p>
    <w:p>
      <w:r>
        <w:t>Varias extensiones se desprenden naturalmente de este trabajo. En el plano de los</w:t>
      </w:r>
    </w:p>
    <w:p>
      <w:r/>
      <w:r>
        <w:rPr>
          <w:b/>
        </w:rPr>
        <w:t>datos</w:t>
      </w:r>
      <w:r>
        <w:t>, incorporar el EMBI Chile y las tasas largas locales del Banco Central</w:t>
      </w:r>
    </w:p>
    <w:p>
      <w:r>
        <w:t>permitiría cerrar el canal de riesgo soberano y de descuento doméstico que aquí quedó</w:t>
      </w:r>
    </w:p>
    <w:p>
      <w:r>
        <w:t>pendiente por restricciones de acceso, y disponer de datos intradía habilitaría</w:t>
      </w:r>
    </w:p>
    <w:p>
      <w:r>
        <w:t>medidas de iliquidez más finas (profundidad del libro, spread efectivo) y un estudio</w:t>
      </w:r>
    </w:p>
    <w:p>
      <w:r>
        <w:t xml:space="preserve">del descubrimiento de precios a escala de minutos. En el plano </w:t>
      </w:r>
      <w:r>
        <w:rPr>
          <w:b/>
        </w:rPr>
        <w:t>metodológico</w:t>
      </w:r>
      <w:r>
        <w:t>, un</w:t>
      </w:r>
    </w:p>
    <w:p>
      <w:r>
        <w:t>NARDL dinámico con multiplicadores acumulados asimétricos precisaría la forma de la</w:t>
      </w:r>
    </w:p>
    <w:p>
      <w:r>
        <w:t>respuesta diferencial a alzas y caídas del cobre; un estudio de eventos basado en el</w:t>
      </w:r>
    </w:p>
    <w:p>
      <w:r>
        <w:t xml:space="preserve">componente de </w:t>
      </w:r>
      <w:r>
        <w:rPr>
          <w:b/>
        </w:rPr>
        <w:t>sorpresa</w:t>
      </w:r>
      <w:r>
        <w:t xml:space="preserve"> de la política monetaria —construido a partir de encuestas</w:t>
      </w:r>
    </w:p>
    <w:p>
      <w:r>
        <w:t>de expectativas— aislaría el efecto no anticipado de la TPM; un modelo GARCH con saltos</w:t>
      </w:r>
    </w:p>
    <w:p>
      <w:r>
        <w:t>o de volatilidad estocástica trataría adecuadamente la dinámica de Pucobre, hoy</w:t>
      </w:r>
    </w:p>
    <w:p>
      <w:r>
        <w:t>inabordable con GARCH estándar; y un esquema de volatilidad multivariada (DCC-GARCH)</w:t>
      </w:r>
    </w:p>
    <w:p>
      <w:r>
        <w:t>permitiría estudiar la correlación condicional dinámica cobre–acción y su variación en</w:t>
      </w:r>
    </w:p>
    <w:p>
      <w:r>
        <w:t xml:space="preserve">episodios de tensión. En el plano de la </w:t>
      </w:r>
      <w:r>
        <w:rPr>
          <w:b/>
        </w:rPr>
        <w:t>validez externa</w:t>
      </w:r>
      <w:r>
        <w:t>, la prioridad es construir</w:t>
      </w:r>
    </w:p>
    <w:p>
      <w:r>
        <w:t>un panel internacional de small-caps de recursos naturales que permita contrastar,</w:t>
      </w:r>
    </w:p>
    <w:p>
      <w:r>
        <w:t>con mayor potencia, si la pendiente de la curva de transmisión por horizonte se explica</w:t>
      </w:r>
    </w:p>
    <w:p>
      <w:r>
        <w:t>sistemáticamente por la liquidez, convirtiendo el hallazgo de caso en una regularidad</w:t>
      </w:r>
    </w:p>
    <w:p>
      <w:r>
        <w:t>empírica generalizable.</w:t>
      </w:r>
    </w:p>
    <w:p>
      <w:pPr>
        <w:pStyle w:val="Heading3"/>
      </w:pPr>
      <w:r>
        <w:t>8.3 Reflexión final</w:t>
      </w:r>
    </w:p>
    <w:p>
      <w:r>
        <w:t>El cobre y la bolsa chilena están unidos por un vínculo fundamental sólido; lo que esta</w:t>
      </w:r>
    </w:p>
    <w:p>
      <w:r>
        <w:t>tesis muestra es que la forma en que ese vínculo se expresa en los precios depende,</w:t>
      </w:r>
    </w:p>
    <w:p>
      <w:r>
        <w:t>de manera medible, de la microestructura del mercado. En el activo profundo, el cobre</w:t>
      </w:r>
    </w:p>
    <w:p>
      <w:r>
        <w:t>se incorpora de inmediato; en el activo delgado, lo hace con rezago, pero llega. Esa</w:t>
      </w:r>
    </w:p>
    <w:p>
      <w:r>
        <w:t>distinción —entre la existencia de una relación y la velocidad con que el mercado la</w:t>
      </w:r>
    </w:p>
    <w:p>
      <w:r>
        <w:t>reconoce— es, a la vez, el principal resultado del trabajo y un recordatorio de que la</w:t>
      </w:r>
    </w:p>
    <w:p>
      <w:r>
        <w:t>eficiencia informacional no es una propiedad binaria del mercado, sino una cuestión de</w:t>
      </w:r>
    </w:p>
    <w:p>
      <w:r>
        <w:t>grado que la liquidez modula.</w:t>
      </w:r>
    </w:p>
    <w:p>
      <w:pPr>
        <w:pStyle w:val="Heading2"/>
      </w:pPr>
      <w:r>
        <w:t>9. Referencias y anexos</w:t>
      </w:r>
    </w:p>
    <w:p>
      <w:r/>
      <w:r>
        <w:rPr>
          <w:b/>
        </w:rPr>
        <w:t>Referencias</w:t>
      </w:r>
      <w:r>
        <w:t xml:space="preserve"> — verificadas en fuentes primarias (revisar formato APA final).</w:t>
      </w:r>
    </w:p>
    <w:p>
      <w:r>
        <w:t>Teoría de factores y mercados:</w:t>
      </w:r>
    </w:p>
    <w:p>
      <w:pPr>
        <w:pStyle w:val="ListBullet"/>
      </w:pPr>
      <w:r>
        <w:t>Markowitz, H. (1952). Portfolio selection. Journal of Finance, 7(1), 77–91.</w:t>
      </w:r>
    </w:p>
    <w:p>
      <w:pPr>
        <w:pStyle w:val="ListBullet"/>
      </w:pPr>
      <w:r>
        <w:t>Sharpe, W. F. (1964). Capital asset prices: a theory of market equilibrium under conditions of risk. Journal of Finance, 19(3), 425–442.</w:t>
      </w:r>
    </w:p>
    <w:p>
      <w:pPr>
        <w:pStyle w:val="ListBullet"/>
      </w:pPr>
      <w:r>
        <w:t>Lintner, J. (1965). The valuation of risk assets and the selection of risky investments. Review of Economics and Statistics, 47(1), 13–37.</w:t>
      </w:r>
    </w:p>
    <w:p>
      <w:pPr>
        <w:pStyle w:val="ListBullet"/>
      </w:pPr>
      <w:r>
        <w:t>Fama, E. F. (1970). Efficient capital markets: a review of theory and empirical work. Journal of Finance, 25(2), 383–417.</w:t>
      </w:r>
    </w:p>
    <w:p>
      <w:pPr>
        <w:pStyle w:val="ListBullet"/>
      </w:pPr>
      <w:r>
        <w:t>Ross, S. A. (1976). The arbitrage theory of capital asset pricing. Journal of Economic Theory, 13(3), 341–360.</w:t>
      </w:r>
    </w:p>
    <w:p>
      <w:pPr>
        <w:pStyle w:val="ListBullet"/>
      </w:pPr>
      <w:r>
        <w:t>Chen, N.-F., Roll, R., &amp; Ross, S. A. (1986). Economic forces and the stock market. Journal of Business, 59(3), 383–403. https://www.jstor.org/stable/2352710</w:t>
      </w:r>
    </w:p>
    <w:p>
      <w:r>
        <w:t>Microestructura e iliquidez:</w:t>
      </w:r>
    </w:p>
    <w:p>
      <w:pPr>
        <w:pStyle w:val="ListBullet"/>
      </w:pPr>
      <w:r>
        <w:t>Roll, R. (1984). A simple implicit measure of the effective bid-ask spread in an efficient market. Journal of Finance, 39(4), 1127–1139.</w:t>
      </w:r>
    </w:p>
    <w:p>
      <w:pPr>
        <w:pStyle w:val="ListBullet"/>
      </w:pPr>
      <w:r>
        <w:t>Kyle, A. S. (1985). Continuous auctions and insider trading. Econometrica, 53(6), 1315–1335.</w:t>
      </w:r>
    </w:p>
    <w:p>
      <w:pPr>
        <w:pStyle w:val="ListBullet"/>
      </w:pPr>
      <w:r>
        <w:t>Amihud, Y. (2002). Illiquidity and stock returns: cross-section and time-series effects. Journal of Financial Markets, 5(1), 31–56. https://doi.org/10.1016/S1386-4181(01)00024-6</w:t>
      </w:r>
    </w:p>
    <w:p>
      <w:r>
        <w:t>Cobre, monedas-commodity y Chile:</w:t>
      </w:r>
    </w:p>
    <w:p>
      <w:pPr>
        <w:pStyle w:val="ListBullet"/>
      </w:pPr>
      <w:r>
        <w:t>Chen, Y.-C., &amp; Rogoff, K. (2003). Commodity currencies. Journal of International Economics, 60(1), 133–160. https://doi.org/10.1016/S0022-1996(02)00072-7</w:t>
      </w:r>
    </w:p>
    <w:p>
      <w:pPr>
        <w:pStyle w:val="ListBullet"/>
      </w:pPr>
      <w:r>
        <w:t>De Gregorio, J., &amp; Labbé, F. (2011). Copper, the real exchange rate and macroeconomic fluctuations in Chile (Documento de Trabajo N°640). Banco Central de Chile. https://www.bcentral.cl/en/content/-/details/working-papers-n-640</w:t>
      </w:r>
    </w:p>
    <w:p>
      <w:pPr>
        <w:pStyle w:val="ListBullet"/>
      </w:pPr>
      <w:r>
        <w:t>Sadorsky, P. (2001). Risk factors in stock returns of Canadian oil and gas companies. Energy Economics, 23(1), 17–28. https://doi.org/10.1016/S0140-9883(00)00072-4</w:t>
      </w:r>
    </w:p>
    <w:p>
      <w:pPr>
        <w:pStyle w:val="ListBullet"/>
      </w:pPr>
      <w:r>
        <w:t>Lesmond, D. A., Ogden, J. P., &amp; Trzcinka, C. A. (1999). A new estimate of transaction costs. Review of Financial Studies, 12(5), 1113–1141. https://doi.org/10.1093/rfs/12.5.1113</w:t>
      </w:r>
    </w:p>
    <w:p>
      <w:pPr>
        <w:pStyle w:val="ListBullet"/>
      </w:pPr>
      <w:r>
        <w:t>Pástor, L., &amp; Stambaugh, R. F. (2003). Liquidity risk and expected stock returns. Journal of Political Economy, 111(3), 642–685. https://doi.org/10.1086/374184</w:t>
      </w:r>
    </w:p>
    <w:p>
      <w:pPr>
        <w:pStyle w:val="ListBullet"/>
      </w:pPr>
      <w:r>
        <w:t>Forecasting base metal prices with the Chilean exchange rate. Resources Policy. https://www.sciencedirect.com/science/article/abs/pii/S0301420718303271</w:t>
      </w:r>
    </w:p>
    <w:p>
      <w:r>
        <w:t>Series de tiempo, cointegración, ARDL/NARDL y causalidad:</w:t>
      </w:r>
    </w:p>
    <w:p>
      <w:pPr>
        <w:pStyle w:val="ListBullet"/>
      </w:pPr>
      <w:r>
        <w:t>Granger, C. W. J. (1969). Investigating causal relations by econometric models and cross-spectral methods. Econometrica, 37(3), 424–438.</w:t>
      </w:r>
    </w:p>
    <w:p>
      <w:pPr>
        <w:pStyle w:val="ListBullet"/>
      </w:pPr>
      <w:r>
        <w:t>Sims, C. A. (1980). Macroeconomics and reality. Econometrica, 48(1), 1–48.</w:t>
      </w:r>
    </w:p>
    <w:p>
      <w:pPr>
        <w:pStyle w:val="ListBullet"/>
      </w:pPr>
      <w:r>
        <w:t>Engle, R. F., &amp; Granger, C. W. J. (1987). Co-integration and error correction. Econometrica, 55(2), 251–276.</w:t>
      </w:r>
    </w:p>
    <w:p>
      <w:pPr>
        <w:pStyle w:val="ListBullet"/>
      </w:pPr>
      <w:r>
        <w:t>Johansen, S. (1991). Estimation and hypothesis testing of cointegration vectors in Gaussian VAR models. Econometrica, 59(6), 1551–1580.</w:t>
      </w:r>
    </w:p>
    <w:p>
      <w:pPr>
        <w:pStyle w:val="ListBullet"/>
      </w:pPr>
      <w:r>
        <w:t>Pesaran, M. H., Shin, Y., &amp; Smith, R. J. (2001). Bounds testing approaches to the analysis of level relationships. Journal of Applied Econometrics, 16(3), 289–326. https://doi.org/10.1002/jae.616</w:t>
      </w:r>
    </w:p>
    <w:p>
      <w:pPr>
        <w:pStyle w:val="ListBullet"/>
      </w:pPr>
      <w:r>
        <w:t>Shin, Y., Yu, B., &amp; Greenwood-Nimmo, M. (2014). Modelling asymmetric cointegration and dynamic multipliers in a NARDL framework. En Festschrift in Honor of Peter Schmidt (pp. 281–314). Springer.</w:t>
      </w:r>
    </w:p>
    <w:p>
      <w:pPr>
        <w:pStyle w:val="ListBullet"/>
      </w:pPr>
      <w:r>
        <w:t>Toda, H. Y., &amp; Yamamoto, T. (1995). Statistical inference in vector autoregressions with possibly integrated processes. Journal of Econometrics, 66(1–2), 225–250.</w:t>
      </w:r>
    </w:p>
    <w:p>
      <w:r>
        <w:t>Volatilidad y errores robustos:</w:t>
      </w:r>
    </w:p>
    <w:p>
      <w:pPr>
        <w:pStyle w:val="ListBullet"/>
      </w:pPr>
      <w:r>
        <w:t>Bollerslev, T. (1986). Generalized autoregressive conditional heteroskedasticity. Journal of Econometrics, 31(3), 307–327.</w:t>
      </w:r>
    </w:p>
    <w:p>
      <w:pPr>
        <w:pStyle w:val="ListBullet"/>
      </w:pPr>
      <w:r>
        <w:t>Nelson, D. B. (1991). Conditional heteroskedasticity in asset returns: a new approach. Econometrica, 59(2), 347–370.</w:t>
      </w:r>
    </w:p>
    <w:p>
      <w:pPr>
        <w:pStyle w:val="ListBullet"/>
      </w:pPr>
      <w:r>
        <w:t>Glosten, L. R., Jagannathan, R., &amp; Runkle, D. E. (1993). On the relation between the expected value and the volatility of the nominal excess return on stocks. Journal of Finance, 48(5), 1779–1801.</w:t>
      </w:r>
    </w:p>
    <w:p>
      <w:pPr>
        <w:pStyle w:val="ListBullet"/>
      </w:pPr>
      <w:r>
        <w:t>Newey, W. K., &amp; West, K. D. (1987). A simple, positive semi-definite, heteroskedasticity and autocorrelation consistent covariance matrix. Econometrica, 55(3), 703–708.</w:t>
      </w:r>
    </w:p>
    <w:p>
      <w:r>
        <w:t>Raíces unitarias y quiebres: Dickey &amp; Fuller (1979); Phillips &amp; Perron (1988); Kwiatkowski, Phillips, Schmidt &amp; Shin (1992, KPSS); Zivot &amp; Andrews (1992); Andrews (1993, sup-tests de quiebre); Bai &amp; Perron (2003, quiebres múltiples).</w:t>
      </w:r>
    </w:p>
    <w:p>
      <w:r>
        <w:t>Evidencia empírica reciente (commodities, cobre, liquidez):</w:t>
      </w:r>
    </w:p>
    <w:p>
      <w:pPr>
        <w:pStyle w:val="ListBullet"/>
      </w:pPr>
      <w:r>
        <w:t>Mendiola, A., Chávez-Bedoya, L., &amp; Wallenstein, T. (2022). Analyzing the reaction of mining stocks to the development of copper prices. Emerging Markets Finance and Trade, 58(1), 244–266. https://doi.org/10.1080/1540496X.2019.1703103</w:t>
      </w:r>
    </w:p>
    <w:p>
      <w:pPr>
        <w:pStyle w:val="ListBullet"/>
      </w:pPr>
      <w:r>
        <w:t>Díaz, J. D., Hansen, E., &amp; Cabrera, G. (2021). Economic drivers of commodity volatility: the case of copper. Resources Policy, 73, 102224. https://doi.org/10.1016/j.resourpol.2021.102224</w:t>
      </w:r>
    </w:p>
    <w:p>
      <w:pPr>
        <w:pStyle w:val="ListBullet"/>
      </w:pPr>
      <w:r>
        <w:t>Gorton, G., &amp; Rouwenhorst, K. G. (2006). Facts and fantasies about commodity futures. Financial Analysts Journal, 62(2), 47–68. https://doi.org/10.2469/faj.v62.n2.4083</w:t>
      </w:r>
    </w:p>
    <w:p>
      <w:pPr>
        <w:pStyle w:val="ListBullet"/>
      </w:pPr>
      <w:r>
        <w:t>Kilian, L., &amp; Park, C. (2009). The impact of oil price shocks on the U.S. stock market. International Economic Review, 50(4), 1267–1287. https://doi.org/10.1111/j.1468-2354.2009.00568.x</w:t>
      </w:r>
    </w:p>
    <w:p>
      <w:pPr>
        <w:pStyle w:val="ListBullet"/>
      </w:pPr>
      <w:r>
        <w:t>Cashin, P., McDermott, C. J., &amp; Scott, A. (2002). Booms and slumps in world commodity prices. Journal of Development Economics, 69(1), 277–296. https://doi.org/10.1016/S0304-3878(02)00062-7</w:t>
      </w:r>
    </w:p>
    <w:p>
      <w:pPr>
        <w:pStyle w:val="ListBullet"/>
      </w:pPr>
      <w:r>
        <w:t>Bekaert, G., Harvey, C. R., &amp; Lundblad, C. (2007). Liquidity and expected returns: lessons from emerging markets. Review of Financial Studies, 20(6), 1783–1831. https://doi.org/10.1093/rfs/hhm030</w:t>
      </w:r>
    </w:p>
    <w:p>
      <w:pPr>
        <w:pStyle w:val="ListBullet"/>
      </w:pPr>
      <w:r>
        <w:t>Amihud, Y., Hameed, A., Kang, W., &amp; Zhang, H. (2015). The illiquidity premium: international evidence. Journal of Financial Economics, 117(2), 350–368. https://doi.org/10.1016/j.jfineco.2015.04.005</w:t>
      </w:r>
    </w:p>
    <w:p>
      <w:pPr>
        <w:pStyle w:val="ListBullet"/>
      </w:pPr>
      <w:r>
        <w:t>Cunado, J., &amp; Pérez de Gracia, F. (2014). Oil price shocks and stock market returns: evidence for some European countries. Energy Economics, 42, 365–377. https://doi.org/10.1016/j.eneco.2013.10.017</w:t>
      </w:r>
    </w:p>
    <w:p>
      <w:pPr>
        <w:pStyle w:val="ListBullet"/>
      </w:pPr>
      <w:r>
        <w:t>Jawadi, F., Arouri, M. E. H., &amp; Million, N. (2009). Stock market integration in the Latin American markets: further evidence from nonlinear modeling. [Preprint — verificar versión publicada].</w:t>
      </w:r>
    </w:p>
    <w:p>
      <w:pPr>
        <w:pStyle w:val="IntenseQuote"/>
      </w:pPr>
      <w:r>
        <w:t>Las referencias de este bloque fueron verificadas con DOI durante la investigación</w:t>
      </w:r>
    </w:p>
    <w:p>
      <w:pPr>
        <w:pStyle w:val="IntenseQuote"/>
      </w:pPr>
      <w:r>
        <w:t>bibliográfica de apoyo; restan por confirmar volumen/páginas exactos de algunas</w:t>
      </w:r>
    </w:p>
    <w:p>
      <w:pPr>
        <w:pStyle w:val="IntenseQuote"/>
      </w:pPr>
      <w:r>
        <w:t>(Amihud et al., 2015; Jawadi et al., 2009) antes de la entrega final.</w:t>
      </w:r>
    </w:p>
    <w:p>
      <w:r/>
      <w:r>
        <w:rPr>
          <w:b/>
        </w:rPr>
        <w:t>Data Availability Statement.</w:t>
      </w:r>
      <w:r>
        <w:t xml:space="preserve"> Todos los datos provienen de fuentes públicas:</w:t>
      </w:r>
    </w:p>
    <w:p>
      <w:r>
        <w:t>precios y volúmenes de Yahoo Finance (descarga 2026-05-30, vía la librería yfinance)</w:t>
      </w:r>
    </w:p>
    <w:p>
      <w:r>
        <w:t>y macro de Chile de la API pública mindicador.cl (TPM, IMACEC, IPC, dólar</w:t>
      </w:r>
    </w:p>
    <w:p>
      <w:r>
        <w:t>observado). El código de descarga, limpieza, estimación y exportación, los datos</w:t>
      </w:r>
    </w:p>
    <w:p>
      <w:r>
        <w:t>procesados, las 35+ tablas de salida y las 13 figuras están disponibles en el</w:t>
      </w:r>
    </w:p>
    <w:p>
      <w:r>
        <w:t>repositorio del proyecto, con scripts numerados que reproducen cada tabla y figura.</w:t>
      </w:r>
    </w:p>
    <w:p>
      <w:r>
        <w:t>No se emplearon datos propietarios ni restringidos.</w:t>
      </w:r>
    </w:p>
    <w:p>
      <w:pPr>
        <w:pStyle w:val="IntenseQuote"/>
      </w:pPr>
      <w:r>
        <w:t>Nota: confirmar paginación y DOIs en Scopus/Web of Science/Google Scholar antes de</w:t>
      </w:r>
    </w:p>
    <w:p>
      <w:pPr>
        <w:pStyle w:val="IntenseQuote"/>
      </w:pPr>
      <w:r>
        <w:t>la entrega final. Estas referencias fueron contrastadas con repositorios del</w:t>
      </w:r>
    </w:p>
    <w:p>
      <w:pPr>
        <w:pStyle w:val="IntenseQuote"/>
      </w:pPr>
      <w:r>
        <w:t>editor; el formato APA definitivo es responsabilidad del autor.</w:t>
      </w:r>
    </w:p>
    <w:p>
      <w:r/>
      <w:r>
        <w:rPr>
          <w:b/>
        </w:rPr>
        <w:t>Anexos.</w:t>
      </w:r>
      <w:r/>
    </w:p>
    <w:p>
      <w:pPr>
        <w:pStyle w:val="ListBullet"/>
      </w:pPr>
      <w:r>
        <w:t>Anexo B — Tablas detalladas de resultados (a continuación).</w:t>
      </w:r>
    </w:p>
    <w:p>
      <w:pPr>
        <w:pStyle w:val="ListBullet"/>
      </w:pPr>
      <w:r>
        <w:t>Anexo C — Desarrollo matemático de los modelos.</w:t>
      </w:r>
    </w:p>
    <w:p>
      <w:pPr>
        <w:pStyle w:val="ListBullet"/>
      </w:pPr>
      <w:r>
        <w:t>Anexo D — Figuras complementarias del análisis.</w:t>
      </w:r>
    </w:p>
    <w:p>
      <w:pPr>
        <w:pStyle w:val="ListBullet"/>
      </w:pPr>
      <w:r>
        <w:t>Repositorio: código fuente (src/), datos procesados, 35+ tablas de salida</w:t>
      </w:r>
    </w:p>
    <w:p>
      <w:r>
        <w:t>(outputs/tables/), diccionario de datos (docs/diccionario_datos.md) y</w:t>
      </w:r>
    </w:p>
    <w:p>
      <w:r>
        <w:t>decisiones fundacionales (docs/00_decisiones_fundacionales.md).</w:t>
      </w:r>
    </w:p>
    <w:p>
      <w:pPr>
        <w:pStyle w:val="ListBullet"/>
      </w:pPr>
      <w:r>
        <w:t>Entorno: requirements.txt (Python 3.13; statsmodels 0.14, arch 8.0, linearmodels 7.0, reportlab).</w:t>
      </w:r>
    </w:p>
    <w:p>
      <w:pPr>
        <w:pStyle w:val="Heading2"/>
      </w:pPr>
      <w:r>
        <w:t>Anexo B — Tablas detalladas de resultados</w:t>
      </w:r>
    </w:p>
    <w:p>
      <w:r>
        <w:t>Este anexo reúne las salidas econométricas completas que sustentan el Capítulo 6.</w:t>
      </w:r>
    </w:p>
    <w:p>
      <w:r>
        <w:t>Todas las cifras provienen de las estimaciones propias documentadas en el repositorio.</w:t>
      </w: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24. VAR: descomposición de varianza (FEVD) del cobre a 1 y 20 días, respuesta acumulada e impulso, y causalidad de Granger por activo del núcleo.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irf_dia0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irf_dia1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irf_acum5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fevd_cobre_h1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fevd_cobre_h20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granger_cobre_p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5828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0.0907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0.091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28.68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27.79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0.0084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5828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0.0427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0.1957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25. VECM: elasticidades de largo plazo (cobre, USDCLP, DXY) y velocidad de ajuste, con rango de cointegración r=1 (Johansen).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k_ar_diff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LP_cobre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LP_usdclp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LP_dxy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alpha_activo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5829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0.8603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6.6292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-11.8041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-0.0008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5829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0.7535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4.819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-7.9578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-0.0004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26. NARDL: prueba de límites (bounds), elasticidades de largo plazo positiva y negativa del cobre, y test de Wald de asimetría.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F_bounds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veredicto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LP_cobre_pos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LP_cobre_neg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asim_Wald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asim_p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5912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4.497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cointegra (5%)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-0.9346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-0.8956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8.446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0.0037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5912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1.827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cointegra (5%)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-2.5938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-2.6409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1.115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0.2911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5912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3.096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cointegra (5%)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-0.932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-0.9952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2.071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0.1501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5912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2.026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cointegra (5%)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-0.7108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-0.6553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1.459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0.2271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27. Familia GARCH: comparación de GARCH(1,1), GJR-GARCH y EGARCH por activo (AIC, BIC, parámetros y persistencia).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modelo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AIC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BIC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loglik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alpha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beta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gamma_asimetria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persistencia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26675.4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26708.8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-13332.7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0.9392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0.9912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26661.1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26701.2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-13324.6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0.0316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0.038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26665.7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26705.7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-13326.8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0.9892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-0.0308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11785.5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11818.9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-5887.8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0.3092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0.2955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0.6047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6641.6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6681.7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-3314.8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14621.0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14661.1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-7304.5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71.8553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-50.8645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25006.3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25039.6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-12498.1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0.138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0.8565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0.9945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24987.9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25028.0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-12488.0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0.1094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0.8503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0.0732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25003.0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25043.0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-12495.5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0.2777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0.9638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-0.0448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24440.7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24474.0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-12215.3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0.0537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0.9455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0.9992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GJR-GARCH(1,1)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24438.6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24478.7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-12213.3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0.9408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0.0197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EGARCH(1,1)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24411.0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24451.0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-12199.5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0.1213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0.9931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-0.0171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nan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28. Panel: coeficientes Pooled, efectos fijos y efectos aleatorios, con sus p-valores.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Unnamed: 0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Pooled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Pooled_p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FE_p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RE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RE_p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dl_cobre_comex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0.2047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0.0732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0.2046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0.0734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0.2047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0.0732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dl_usdclp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-0.0002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0.735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-0.0002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0.7344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-0.0002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0.735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dl_dxy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-0.1885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-0.189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-0.1885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dl_sp500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0.1183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0.2114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0.1181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0.2125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0.1183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0.2114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dl_ipsa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0.7875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0.787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0.7875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0.0002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d_ust10y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1.9106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0.0039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1.917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0.0037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1.9106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0.0039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29. Modelo mensual con macro nacional: elasticidad-cobre, IMACEC y cambio de TPM por activo.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961"/>
        <w:gridCol w:w="961"/>
        <w:gridCol w:w="961"/>
        <w:gridCol w:w="961"/>
        <w:gridCol w:w="961"/>
        <w:gridCol w:w="961"/>
        <w:gridCol w:w="961"/>
        <w:gridCol w:w="961"/>
        <w:gridCol w:w="961"/>
      </w:tblGrid>
      <w:tr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R2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beta_cobre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t_cobre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imacec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t_imacec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d_tpm</w:t>
            </w:r>
          </w:p>
        </w:tc>
        <w:tc>
          <w:tcPr>
            <w:tcW w:type="dxa" w:w="96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t_tpm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0.7123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5.22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-0.1636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-1.65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0.0529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0.05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0.312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0.5993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7.34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-0.2617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-2.77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1.4089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1.02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0.281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0.6978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4.76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-0.0305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-0.6005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-0.35</w:t>
            </w:r>
          </w:p>
        </w:tc>
      </w:tr>
      <w:tr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263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0.065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0.2654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2.27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0.0602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0.44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2.0133</w:t>
            </w:r>
          </w:p>
        </w:tc>
        <w:tc>
          <w:tcPr>
            <w:tcW w:type="dxa" w:w="96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1.0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30. Estudio de eventos: retorno anormal acumulado promedio (CAAR) en torno a alzas y bajas de la TPM.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evento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CAAR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t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alza TPM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-1.0428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-0.83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0.4117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baja TPM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0.2238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0.8415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alza TPM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-0.118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-0.18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0.8583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baja TPM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0.942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0.4328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alza TPM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-1.8974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-0.91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0.3688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baja TPM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-0.0112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0.9926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alza TPM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1.4279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0.85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0.3994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baja TPM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-0.2301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-0.19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0.847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31. Causalidad de Toda-Yamamoto (robusta a integración): estadístico, p-valor y veredicto por relación.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1"/>
        <w:gridCol w:w="1441"/>
        <w:gridCol w:w="1441"/>
        <w:gridCol w:w="1441"/>
        <w:gridCol w:w="1441"/>
        <w:gridCol w:w="1441"/>
      </w:tblGrid>
      <w:tr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relacion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F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p_valor</w:t>
            </w:r>
          </w:p>
        </w:tc>
        <w:tc>
          <w:tcPr>
            <w:tcW w:type="dxa" w:w="144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veredicto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cobre-&gt;activo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1.806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0.0416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activo-&gt;cobre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1.516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0.1104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causa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usdclp-&gt;activo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7.033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cobre-&gt;activo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4.646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activo-&gt;cobre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2.026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0.0186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CAUSA</w:t>
            </w:r>
          </w:p>
        </w:tc>
      </w:tr>
      <w:tr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usdclp-&gt;activo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1.181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0.2902</w:t>
            </w:r>
          </w:p>
        </w:tc>
        <w:tc>
          <w:tcPr>
            <w:tcW w:type="dxa" w:w="144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causa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32. Quiebre estructural endógeno (Quandt-Andrews): sup-F, fecha de quiebre y elasticidad-cobre antes y después.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supF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cv5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quiebre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beta_cobre_pre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beta_cobre_post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hay_quiebre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5925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33.48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18.04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2007-07-20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0.3406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0.7824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5925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7.82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18.04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2010-12-30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0.0805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0.1312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5925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12.36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18.04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2011-01-26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0.1231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0.3504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5925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11.06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18.04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2019-06-06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0.1478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0.3049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al 5%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33. Robustez de la iliquidez: correlación de Spearman de cuatro medidas de iliquidez con la elasticidad-cobre contemporánea.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9"/>
        <w:gridCol w:w="1729"/>
        <w:gridCol w:w="1729"/>
        <w:gridCol w:w="1729"/>
        <w:gridCol w:w="1729"/>
      </w:tblGrid>
      <w:tr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medida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signo_esperado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spearman_rho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p_valor</w:t>
            </w:r>
          </w:p>
        </w:tc>
        <w:tc>
          <w:tcPr>
            <w:tcW w:type="dxa" w:w="1729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amihud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-0.071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0.879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7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pct_ceros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-0.548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0.16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roll_spread_pct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-0.4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0.5046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</w:t>
            </w:r>
          </w:p>
        </w:tc>
      </w:tr>
      <w:tr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vol_medio_usd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+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0.333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0.4198</w:t>
            </w:r>
          </w:p>
        </w:tc>
        <w:tc>
          <w:tcPr>
            <w:tcW w:type="dxa" w:w="1729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8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34. Validación fuera de muestra (Clark-West): R² OOS, RMSE y estadístico de Clark-West por activo.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1"/>
        <w:gridCol w:w="1081"/>
        <w:gridCol w:w="1081"/>
        <w:gridCol w:w="1081"/>
        <w:gridCol w:w="1081"/>
        <w:gridCol w:w="1081"/>
        <w:gridCol w:w="1081"/>
        <w:gridCol w:w="1081"/>
      </w:tblGrid>
      <w:tr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n_oos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R2_oos_pct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MSPE_bench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MSPE_modelo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ClarkWest_t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CW_pvalor</w:t>
            </w:r>
          </w:p>
        </w:tc>
        <w:tc>
          <w:tcPr>
            <w:tcW w:type="dxa" w:w="1081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mejora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2962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0.202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6.0279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6.0158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2.45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0.0072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(cobre rezagado ayuda)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2962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0.239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2.1183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2.1133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2.64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0.0041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(cobre rezagado ayuda)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CAP.SN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2962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0.324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6.6284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2.53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0.0057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Sí (cobre rezagado ayuda)</w:t>
            </w:r>
          </w:p>
        </w:tc>
      </w:tr>
      <w:tr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SQM-B.SN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2962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-0.021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6.5902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6.5915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-0.45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0.6753</w:t>
            </w:r>
          </w:p>
        </w:tc>
        <w:tc>
          <w:tcPr>
            <w:tcW w:type="dxa" w:w="1081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No significativa</w:t>
            </w:r>
          </w:p>
        </w:tc>
      </w:tr>
    </w:tbl>
    <w:p>
      <w:pPr>
        <w:spacing w:after="80"/>
      </w:pPr>
    </w:p>
    <w:p>
      <w:pPr>
        <w:spacing w:before="120" w:after="60"/>
        <w:ind w:firstLine="0"/>
      </w:pPr>
      <w:r>
        <w:rPr>
          <w:rFonts w:ascii="Times New Roman" w:hAnsi="Times New Roman"/>
          <w:b/>
          <w:color w:val="1B2A41"/>
          <w:sz w:val="19"/>
        </w:rPr>
        <w:t>Tabla 35. Predictor (backtest del retorno t+1): RMSE, mejora vs benchmark ingenuo, R² OOS y precisión direccional.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5"/>
        <w:gridCol w:w="1235"/>
        <w:gridCol w:w="1235"/>
        <w:gridCol w:w="1235"/>
        <w:gridCol w:w="1235"/>
        <w:gridCol w:w="1235"/>
        <w:gridCol w:w="1235"/>
      </w:tblGrid>
      <w:tr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activo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n_oos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RMSE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RMSE_naive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mejora_vs_naive_pct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R2_oos_pct</w:t>
            </w:r>
          </w:p>
        </w:tc>
        <w:tc>
          <w:tcPr>
            <w:tcW w:type="dxa" w:w="1235"/>
            <w:shd w:val="clear" w:fill="1B2A41"/>
          </w:tcPr>
          <w:p>
            <w:pPr>
              <w:jc w:val="center"/>
            </w:pPr>
            <w:r/>
            <w:r>
              <w:rPr>
                <w:rFonts w:ascii="Times New Roman" w:hAnsi="Times New Roman"/>
                <w:b/>
                <w:color w:val="FFFFFF"/>
                <w:sz w:val="19"/>
              </w:rPr>
              <w:t>precision_direccional_pct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ANTO.L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2370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2.3853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2.3775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-0.33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-0.657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54.2</w:t>
            </w:r>
          </w:p>
        </w:tc>
      </w:tr>
      <w:tr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PUCOBRE.SN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2370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1.568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1.5776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0.61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1.217</w:t>
            </w:r>
          </w:p>
        </w:tc>
        <w:tc>
          <w:tcPr>
            <w:tcW w:type="dxa" w:w="1235"/>
          </w:tcPr>
          <w:p>
            <w:pPr>
              <w:jc w:val="center"/>
            </w:pPr>
            <w:r/>
            <w:r>
              <w:rPr>
                <w:rFonts w:ascii="Times New Roman" w:hAnsi="Times New Roman"/>
                <w:sz w:val="19"/>
              </w:rPr>
              <w:t>56.6</w:t>
            </w:r>
          </w:p>
        </w:tc>
      </w:tr>
    </w:tbl>
    <w:p>
      <w:pPr>
        <w:spacing w:after="80"/>
      </w:pPr>
    </w:p>
    <w:p>
      <w:pPr>
        <w:pStyle w:val="Heading2"/>
      </w:pPr>
      <w:r>
        <w:t>Anexo C — Desarrollo matemático de los modelos</w:t>
      </w:r>
    </w:p>
    <w:p>
      <w:r>
        <w:t>Este anexo formaliza las técnicas empleadas. La notación sigue el cuerpo principal.</w:t>
      </w:r>
    </w:p>
    <w:p>
      <w:pPr>
        <w:pStyle w:val="Heading3"/>
      </w:pPr>
      <w:r>
        <w:t>D.1 Pruebas de raíz unitaria</w:t>
      </w:r>
    </w:p>
    <w:p>
      <w:r/>
      <w:r>
        <w:rPr>
          <w:b/>
        </w:rPr>
        <w:t>Dickey-Fuller aumentada (ADF).</w:t>
      </w:r>
      <w:r>
        <w:t xml:space="preserve"> Se estima Δy_t = μ + ρ y_{t−1} + Σ_{j=1}^{p}</w:t>
      </w:r>
    </w:p>
    <w:p>
      <w:r>
        <w:t>φ_j Δy_{t−j} + ε_t y se contrasta H0: ρ = 0 (raíz unitaria) con el estadístico</w:t>
      </w:r>
    </w:p>
    <w:p>
      <w:r>
        <w:t>t_ρ = ρ̂ / ee(ρ̂), comparado con los valores críticos no estándar de Dickey-Fuller.</w:t>
      </w:r>
    </w:p>
    <w:p>
      <w:r>
        <w:t>La inclusión de p rezagos de Δy blanquea la autocorrelación residual; p se elige por</w:t>
      </w:r>
    </w:p>
    <w:p>
      <w:r>
        <w:t xml:space="preserve">AIC. </w:t>
      </w:r>
      <w:r>
        <w:rPr>
          <w:b/>
        </w:rPr>
        <w:t>Phillips-Perron (PP)</w:t>
      </w:r>
      <w:r>
        <w:t xml:space="preserve"> corrige la autocorrelación de forma no paramétrica</w:t>
      </w:r>
    </w:p>
    <w:p>
      <w:r>
        <w:t>sobre el estadístico de Dickey-Fuller simple, mediante una estimación tipo</w:t>
      </w:r>
    </w:p>
    <w:p>
      <w:r>
        <w:t xml:space="preserve">Newey-West de la varianza de largo plazo. </w:t>
      </w:r>
      <w:r>
        <w:rPr>
          <w:b/>
        </w:rPr>
        <w:t>KPSS</w:t>
      </w:r>
      <w:r>
        <w:t xml:space="preserve"> invierte la hipótesis nula</w:t>
      </w:r>
    </w:p>
    <w:p>
      <w:r>
        <w:t>(H0: estacionariedad) descomponiendo y_t en tendencia determinista, caminata</w:t>
      </w:r>
    </w:p>
    <w:p>
      <w:r>
        <w:t>aleatoria y error estacionario, y contrasta que la varianza del componente de</w:t>
      </w:r>
    </w:p>
    <w:p>
      <w:r>
        <w:t>caminata sea nula con el estadístico η = T^{−2} Σ S_t² / σ̂², donde S_t es la suma</w:t>
      </w:r>
    </w:p>
    <w:p>
      <w:r>
        <w:t>parcial de residuos. La decisión cruzada (ADF/PP rechazan raíz unitaria y KPSS no</w:t>
      </w:r>
    </w:p>
    <w:p>
      <w:r>
        <w:t>rechaza estacionariedad) confiere robustez frente a las bajas potencias</w:t>
      </w:r>
    </w:p>
    <w:p>
      <w:r>
        <w:t>individuales.</w:t>
      </w:r>
    </w:p>
    <w:p>
      <w:pPr>
        <w:pStyle w:val="Heading3"/>
      </w:pPr>
      <w:r>
        <w:t>D.2 VAR, forma compañera, IRF y FEVD</w:t>
      </w:r>
    </w:p>
    <w:p>
      <w:r>
        <w:t>Un VAR(p) se escribe y_t = c + Σ_{j=1}^{p} A_j y_{t−j} + u_t, con u_t ruido blanco de</w:t>
      </w:r>
    </w:p>
    <w:p>
      <w:r>
        <w:t xml:space="preserve">matriz de covarianzas Σ_u. Su </w:t>
      </w:r>
      <w:r>
        <w:rPr>
          <w:b/>
        </w:rPr>
        <w:t>forma compañera</w:t>
      </w:r>
      <w:r>
        <w:t xml:space="preserve"> (un VAR(1) de dimensión Kp)</w:t>
      </w:r>
    </w:p>
    <w:p>
      <w:r>
        <w:t>permite verificar estabilidad: el proceso es estable si todos los autovalores de la</w:t>
      </w:r>
    </w:p>
    <w:p>
      <w:r>
        <w:t xml:space="preserve">matriz compañera tienen módulo menor que uno. La representación de </w:t>
      </w:r>
      <w:r>
        <w:rPr>
          <w:b/>
        </w:rPr>
        <w:t>medias móviles</w:t>
      </w:r>
      <w:r/>
    </w:p>
    <w:p>
      <w:r>
        <w:t>es y_t = μ + Σ_{i=0}^{∞} Φ_i u_{t−i}, donde Φ_i acumula los efectos dinámicos. Para</w:t>
      </w:r>
    </w:p>
    <w:p>
      <w:r>
        <w:t xml:space="preserve">identificar shocks estructurales ortogonales se usa la </w:t>
      </w:r>
      <w:r>
        <w:rPr>
          <w:b/>
        </w:rPr>
        <w:t>descomposición de Cholesky</w:t>
      </w:r>
      <w:r/>
    </w:p>
    <w:p>
      <w:r>
        <w:t xml:space="preserve">Σ_u = P P', con P triangular inferior; las </w:t>
      </w:r>
      <w:r>
        <w:rPr>
          <w:b/>
        </w:rPr>
        <w:t>IRF ortogonalizadas</w:t>
      </w:r>
      <w:r>
        <w:t xml:space="preserve"> son Θ_i = Φ_i P, y</w:t>
      </w:r>
    </w:p>
    <w:p>
      <w:r>
        <w:t>el elemento (m, n) de Θ_i es la respuesta de la variable m, i períodos después, a un</w:t>
      </w:r>
    </w:p>
    <w:p>
      <w:r>
        <w:t>shock de una desviación estándar en la variable n. El orden causal contemporáneo</w:t>
      </w:r>
    </w:p>
    <w:p>
      <w:r>
        <w:t>(factores globales antes que el activo) refleja que una minera pequeña no afecta el</w:t>
      </w:r>
    </w:p>
    <w:p>
      <w:r>
        <w:t xml:space="preserve">precio mundial del cobre en el mismo día. La </w:t>
      </w:r>
      <w:r>
        <w:rPr>
          <w:b/>
        </w:rPr>
        <w:t>FEVD</w:t>
      </w:r>
      <w:r>
        <w:t xml:space="preserve"> descompone la varianza del</w:t>
      </w:r>
    </w:p>
    <w:p>
      <w:r>
        <w:t>error de predicción a h pasos de la variable m como la suma sobre n y sobre</w:t>
      </w:r>
    </w:p>
    <w:p>
      <w:r>
        <w:t>i = 0..h−1 de (Θ_i)²_{m,n}, normalizada; entrega la fracción de la varianza de cada</w:t>
      </w:r>
    </w:p>
    <w:p>
      <w:r>
        <w:t>variable atribuible a cada shock.</w:t>
      </w:r>
    </w:p>
    <w:p>
      <w:pPr>
        <w:pStyle w:val="Heading3"/>
      </w:pPr>
      <w:r>
        <w:t>D.3 Cointegración de Johansen y VECM</w:t>
      </w:r>
    </w:p>
    <w:p>
      <w:r>
        <w:t>Reparametrizando el VAR(p) en niveles se obtiene el VECM</w:t>
      </w:r>
    </w:p>
    <w:p>
      <w:r>
        <w:t>Δy_t = Π y_{t−1} + Σ_{j=1}^{p−1} Γ_j Δy_{t−j} + c + u_t, donde Π = αβ' codifica las</w:t>
      </w:r>
    </w:p>
    <w:p>
      <w:r>
        <w:t xml:space="preserve">relaciones de largo plazo. El </w:t>
      </w:r>
      <w:r>
        <w:rPr>
          <w:b/>
        </w:rPr>
        <w:t>rango</w:t>
      </w:r>
      <w:r>
        <w:t xml:space="preserve"> de Π (número de vectores cointegrantes r) se</w:t>
      </w:r>
    </w:p>
    <w:p>
      <w:r>
        <w:t xml:space="preserve">determina con el estadístico de la </w:t>
      </w:r>
      <w:r>
        <w:rPr>
          <w:b/>
        </w:rPr>
        <w:t>traza</w:t>
      </w:r>
      <w:r>
        <w:t xml:space="preserve"> λ_traza(r) = −T Σ_{i=r+1}^{K} ln(1 − λ̂_i),</w:t>
      </w:r>
    </w:p>
    <w:p>
      <w:r>
        <w:t>con λ̂_i los autovalores de un problema de autovalores generalizado; se compara con</w:t>
      </w:r>
    </w:p>
    <w:p>
      <w:r>
        <w:t xml:space="preserve">valores críticos tabulados. La matriz </w:t>
      </w:r>
      <w:r>
        <w:rPr>
          <w:b/>
        </w:rPr>
        <w:t>β</w:t>
      </w:r>
      <w:r>
        <w:t xml:space="preserve"> (K×r) contiene los vectores cointegrantes</w:t>
      </w:r>
    </w:p>
    <w:p>
      <w:r>
        <w:t xml:space="preserve">—las relaciones de equilibrio— y </w:t>
      </w:r>
      <w:r>
        <w:rPr>
          <w:b/>
        </w:rPr>
        <w:t>α</w:t>
      </w:r>
      <w:r>
        <w:t xml:space="preserve"> (K×r) las velocidades de ajuste —cuánto</w:t>
      </w:r>
    </w:p>
    <w:p>
      <w:r>
        <w:t>corrige cada ecuación, por período, las desviaciones respecto del equilibrio—. Un</w:t>
      </w:r>
    </w:p>
    <w:p>
      <w:r>
        <w:t>α_i negativo y significativo en la ecuación del activo implica fuerza</w:t>
      </w:r>
    </w:p>
    <w:p>
      <w:r>
        <w:t>correctora hacia el equilibrio; su magnitud pequeña (≈ −0.0008 diaria) implica una</w:t>
      </w:r>
    </w:p>
    <w:p>
      <w:r/>
      <w:r>
        <w:rPr>
          <w:b/>
        </w:rPr>
        <w:t>vida media</w:t>
      </w:r>
      <w:r>
        <w:t xml:space="preserve"> de la desviación de cientos de días, esto es, ajuste lento.</w:t>
      </w:r>
    </w:p>
    <w:p>
      <w:pPr>
        <w:pStyle w:val="Heading3"/>
      </w:pPr>
      <w:r>
        <w:t>D.4 ARDL, UECM y bounds test</w:t>
      </w:r>
    </w:p>
    <w:p>
      <w:r>
        <w:t>El ARDL(p, q) es y_t = c + Σ_{i=1}^{p} φ_i y_{t−i} + Σ_{j=0}^{q} θ_j' x_{t−j} + ε_t.</w:t>
      </w:r>
    </w:p>
    <w:p>
      <w:r>
        <w:t>Su forma de corrección de error no restringida (UECM) es Δy_t = c + ρ y_{t−1} +</w:t>
      </w:r>
    </w:p>
    <w:p>
      <w:r>
        <w:t xml:space="preserve">δ' x_{t−1} + (términos de corto plazo en diferencias) + ε_t. El </w:t>
      </w:r>
      <w:r>
        <w:rPr>
          <w:b/>
        </w:rPr>
        <w:t>bounds test</w:t>
      </w:r>
      <w:r>
        <w:t xml:space="preserve"> de</w:t>
      </w:r>
    </w:p>
    <w:p>
      <w:r>
        <w:t>Pesaran-Shin-Smith contrasta H0: ρ = 0 y δ = 0 (ausencia de relación de nivel)</w:t>
      </w:r>
    </w:p>
    <w:p>
      <w:r>
        <w:t>mediante un estadístico F cuya distribución asintótica está acotada por dos</w:t>
      </w:r>
    </w:p>
    <w:p>
      <w:r>
        <w:t>conjuntos de valores críticos: el límite inferior supone todos los regresores I(0) y</w:t>
      </w:r>
    </w:p>
    <w:p>
      <w:r>
        <w:t>el superior todos I(1). Si F supera el límite superior se concluye cointegración; si</w:t>
      </w:r>
    </w:p>
    <w:p>
      <w:r>
        <w:t>cae por debajo del inferior, no; en la banda intermedia el resultado es no</w:t>
      </w:r>
    </w:p>
    <w:p>
      <w:r>
        <w:t>concluyente. Los multiplicadores de largo plazo son −δ/ρ.</w:t>
      </w:r>
    </w:p>
    <w:p>
      <w:pPr>
        <w:pStyle w:val="Heading3"/>
      </w:pPr>
      <w:r>
        <w:t>D.5 NARDL y asimetría</w:t>
      </w:r>
    </w:p>
    <w:p>
      <w:r>
        <w:t>El NARDL descompone cada regresor en sumas parciales de incrementos positivos y</w:t>
      </w:r>
    </w:p>
    <w:p>
      <w:r>
        <w:t>negativos: x⁺_t = Σ_{j=1}^{t} máx(Δx_j, 0) y x⁻_t = Σ_{j=1}^{t} mín(Δx_j, 0), de modo</w:t>
      </w:r>
    </w:p>
    <w:p>
      <w:r>
        <w:t>que x_t = x_0 + x⁺_t + x⁻_t. Ambas entran como regresores separados, permitiendo</w:t>
      </w:r>
    </w:p>
    <w:p>
      <w:r>
        <w:t xml:space="preserve">coeficientes de largo plazo distintos θ⁺ y θ⁻. La </w:t>
      </w:r>
      <w:r>
        <w:rPr>
          <w:b/>
        </w:rPr>
        <w:t>asimetría de largo plazo</w:t>
      </w:r>
      <w:r>
        <w:t xml:space="preserve"> se</w:t>
      </w:r>
    </w:p>
    <w:p>
      <w:r>
        <w:t>contrasta con un test de Wald sobre H0: θ⁺ = θ⁻; su rechazo (Antofagasta, p = 0.004)</w:t>
      </w:r>
    </w:p>
    <w:p>
      <w:r>
        <w:t>indica que el valor del activo responde de forma estadísticamente distinta a alzas y</w:t>
      </w:r>
    </w:p>
    <w:p>
      <w:r>
        <w:t>a caídas del cobre, consistente con la opcionalidad de las minas (§2.5).</w:t>
      </w:r>
    </w:p>
    <w:p>
      <w:pPr>
        <w:pStyle w:val="Heading3"/>
      </w:pPr>
      <w:r>
        <w:t>D.6 Familia GARCH</w:t>
      </w:r>
    </w:p>
    <w:p>
      <w:r>
        <w:t>Sobre los retornos r_t = μ + ε_t, con ε_t = σ_t z_t y z_t ~ t-Student estandarizada,</w:t>
      </w:r>
    </w:p>
    <w:p>
      <w:r>
        <w:t>se especifica la varianza condicional:</w:t>
      </w:r>
    </w:p>
    <w:p>
      <w:pPr>
        <w:pStyle w:val="ListBullet"/>
      </w:pPr>
      <w:r/>
      <w:r>
        <w:rPr>
          <w:b/>
        </w:rPr>
        <w:t>GARCH(1,1):</w:t>
      </w:r>
      <w:r>
        <w:t xml:space="preserve"> σ²_t = ω + α ε²_{t−1} + β σ²_{t−1}; la </w:t>
      </w:r>
      <w:r>
        <w:rPr>
          <w:b/>
        </w:rPr>
        <w:t>persistencia</w:t>
      </w:r>
      <w:r>
        <w:t xml:space="preserve"> es α + β y</w:t>
      </w:r>
    </w:p>
    <w:p>
      <w:r>
        <w:t>la varianza incondicional ω/(1 − α − β) existe si α + β &lt; 1.</w:t>
      </w:r>
    </w:p>
    <w:p>
      <w:pPr>
        <w:pStyle w:val="ListBullet"/>
      </w:pPr>
      <w:r/>
      <w:r>
        <w:rPr>
          <w:b/>
        </w:rPr>
        <w:t>GJR-GARCH(1,1):</w:t>
      </w:r>
      <w:r>
        <w:t xml:space="preserve"> σ²_t = ω + α ε²_{t−1} + γ ε²_{t−1} 1[ε_{t−1} &lt; 0] + β σ²_{t−1};</w:t>
      </w:r>
    </w:p>
    <w:p>
      <w:r>
        <w:t xml:space="preserve">γ &gt; 0 implica </w:t>
      </w:r>
      <w:r>
        <w:rPr>
          <w:b/>
        </w:rPr>
        <w:t>efecto apalancamiento</w:t>
      </w:r>
      <w:r>
        <w:t xml:space="preserve"> (las caídas elevan más la volatilidad).</w:t>
      </w:r>
    </w:p>
    <w:p>
      <w:pPr>
        <w:pStyle w:val="ListBullet"/>
      </w:pPr>
      <w:r/>
      <w:r>
        <w:rPr>
          <w:b/>
        </w:rPr>
        <w:t>EGARCH(1,1):</w:t>
      </w:r>
      <w:r>
        <w:t xml:space="preserve"> ln σ²_t = ω + α(|z_{t−1}| − E|z|) + γ z_{t−1} + β ln σ²_{t−1};</w:t>
      </w:r>
    </w:p>
    <w:p>
      <w:r>
        <w:t>modela el logaritmo (garantiza positividad) y γ &lt; 0 captura el apalancamiento.</w:t>
      </w:r>
    </w:p>
    <w:p>
      <w:r>
        <w:t xml:space="preserve">La estimación es por </w:t>
      </w:r>
      <w:r>
        <w:rPr>
          <w:b/>
        </w:rPr>
        <w:t>máxima verosimilitud</w:t>
      </w:r>
      <w:r>
        <w:t xml:space="preserve"> (cuasi-MV con la t-Student); la</w:t>
      </w:r>
    </w:p>
    <w:p>
      <w:r>
        <w:t>selección entre especificaciones usa AIC/BIC. La inestabilidad observada en Pucobre</w:t>
      </w:r>
    </w:p>
    <w:p>
      <w:r>
        <w:t>(soluciones de borde) proviene de la masa de retornos nulos y los saltos, que violan</w:t>
      </w:r>
    </w:p>
    <w:p>
      <w:r>
        <w:t>los supuestos de suavidad de la verosimilitud GARCH.</w:t>
      </w:r>
    </w:p>
    <w:p>
      <w:pPr>
        <w:pStyle w:val="Heading3"/>
      </w:pPr>
      <w:r>
        <w:t>D.7 Errores HAC (Newey-West)</w:t>
      </w:r>
    </w:p>
    <w:p>
      <w:r>
        <w:t>Para β̂ de MCO, la matriz HAC estima V(β̂) = (X'X)^{−1} X' Ω̂ X (X'X)^{−1} con</w:t>
      </w:r>
    </w:p>
    <w:p>
      <w:r>
        <w:t>Ω̂ que pondera las autocovarianzas hasta el rezago L con pesos de Bartlett</w:t>
      </w:r>
    </w:p>
    <w:p>
      <w:r>
        <w:t>w_ℓ = 1 − ℓ/(L+1), garantizando una estimación semidefinida positiva y consistente</w:t>
      </w:r>
    </w:p>
    <w:p>
      <w:r>
        <w:t>ante heterocedasticidad y autocorrelación de forma desconocida.</w:t>
      </w:r>
    </w:p>
    <w:p>
      <w:pPr>
        <w:pStyle w:val="Heading3"/>
      </w:pPr>
      <w:r>
        <w:t>D.8 Causalidad de Toda-Yamamoto</w:t>
      </w:r>
    </w:p>
    <w:p>
      <w:r>
        <w:t xml:space="preserve">Se estima un VAR en </w:t>
      </w:r>
      <w:r>
        <w:rPr>
          <w:b/>
        </w:rPr>
        <w:t>niveles</w:t>
      </w:r>
      <w:r>
        <w:t xml:space="preserve"> con p + d_max rezagos (p óptimo, d_max = orden máximo</w:t>
      </w:r>
    </w:p>
    <w:p>
      <w:r>
        <w:t>de integración = 1) y se contrasta, mediante un test de Wald tipo MWALD, la</w:t>
      </w:r>
    </w:p>
    <w:p>
      <w:r>
        <w:t xml:space="preserve">no-causalidad imponiendo cero a los coeficientes de los </w:t>
      </w:r>
      <w:r>
        <w:rPr>
          <w:b/>
        </w:rPr>
        <w:t>primeros p</w:t>
      </w:r>
      <w:r>
        <w:t xml:space="preserve"> rezagos de la</w:t>
      </w:r>
    </w:p>
    <w:p>
      <w:r>
        <w:t>variable causante (excluyendo los d_max rezagos adicionales). El estadístico se</w:t>
      </w:r>
    </w:p>
    <w:p>
      <w:r>
        <w:t>distribuye asintóticamente como χ² con p grados de libertad, **válido aun cuando las</w:t>
      </w:r>
    </w:p>
    <w:p>
      <w:r>
        <w:t>series son I(1) o están cointegradas**, lo que evita el sesgo del test de Granger</w:t>
      </w:r>
    </w:p>
    <w:p>
      <w:r>
        <w:t>estándar en presencia de raíces unitarias.</w:t>
      </w:r>
    </w:p>
    <w:p>
      <w:pPr>
        <w:pStyle w:val="Heading3"/>
      </w:pPr>
      <w:r>
        <w:t>D.9 Iliquidez de Amihud y estudio de eventos</w:t>
      </w:r>
    </w:p>
    <w:p>
      <w:r>
        <w:t>El ratio de Amihud por activo es ILLIQ_i = promedio_t (|r_{i,t}| / (Vol_{i,t} ·</w:t>
      </w:r>
    </w:p>
    <w:p>
      <w:r>
        <w:t>P_{i,t})), interpretado como el impacto de precio por unidad monetaria transada. En</w:t>
      </w:r>
    </w:p>
    <w:p>
      <w:r>
        <w:t xml:space="preserve">el </w:t>
      </w:r>
      <w:r>
        <w:rPr>
          <w:b/>
        </w:rPr>
        <w:t>estudio de eventos</w:t>
      </w:r>
      <w:r>
        <w:t>, el retorno anormal es AR_{i,t} = r_{i,t} − (α̂_i + β̂_i</w:t>
      </w:r>
    </w:p>
    <w:p>
      <w:r>
        <w:t>r_{m,t}), con (α̂_i, β̂_i) estimados por el modelo de mercado en la ventana</w:t>
      </w:r>
    </w:p>
    <w:p>
      <w:r>
        <w:t>[−130, −11]; el CAR por evento suma los AR en [−5, +5] y el CAAR los promedia entre</w:t>
      </w:r>
    </w:p>
    <w:p>
      <w:r>
        <w:t>eventos. La significancia se evalúa con un test t sobre la hipótesis CAAR = 0.</w:t>
      </w:r>
    </w:p>
    <w:p>
      <w:pPr>
        <w:pStyle w:val="Heading3"/>
      </w:pPr>
      <w:r>
        <w:t>D.10 Panel: efectos fijos, aleatorios y Hausman</w:t>
      </w:r>
    </w:p>
    <w:p>
      <w:r>
        <w:t xml:space="preserve">Para el panel y_{i,t} = α_i + β' x_{i,t} + u_{i,t}: </w:t>
      </w:r>
      <w:r>
        <w:rPr>
          <w:b/>
        </w:rPr>
        <w:t>efectos fijos</w:t>
      </w:r>
      <w:r>
        <w:t xml:space="preserve"> estima β</w:t>
      </w:r>
    </w:p>
    <w:p>
      <w:r>
        <w:t>mediante la transformación within (desviaciones respecto de la media de cada</w:t>
      </w:r>
    </w:p>
    <w:p>
      <w:r>
        <w:t xml:space="preserve">empresa), eliminando α_i; </w:t>
      </w:r>
      <w:r>
        <w:rPr>
          <w:b/>
        </w:rPr>
        <w:t>efectos aleatorios</w:t>
      </w:r>
      <w:r>
        <w:t xml:space="preserve"> trata α_i como aleatorio no</w:t>
      </w:r>
    </w:p>
    <w:p>
      <w:r>
        <w:t>correlacionado con los regresores y estima por mínimos cuadrados generalizados</w:t>
      </w:r>
    </w:p>
    <w:p>
      <w:r>
        <w:t xml:space="preserve">factibles. El test de </w:t>
      </w:r>
      <w:r>
        <w:rPr>
          <w:b/>
        </w:rPr>
        <w:t>Hausman</w:t>
      </w:r>
      <w:r>
        <w:t xml:space="preserve"> contrasta H0: cov(α_i, x_{i,t}) = 0 comparando</w:t>
      </w:r>
    </w:p>
    <w:p>
      <w:r>
        <w:t>ambos estimadores: si no se rechaza, RE es consistente y eficiente. Con N = 4 la</w:t>
      </w:r>
    </w:p>
    <w:p>
      <w:r>
        <w:t>inferencia cluster tiene baja potencia, por lo que el panel se reporta como</w:t>
      </w:r>
    </w:p>
    <w:p>
      <w:r>
        <w:t>robustez sectorial, no como inferencia primaria.</w:t>
      </w:r>
    </w:p>
    <w:p>
      <w:r>
        <w:br w:type="page"/>
      </w:r>
    </w:p>
    <w:p>
      <w:pPr>
        <w:pStyle w:val="Heading1"/>
      </w:pPr>
      <w:r>
        <w:t>Anexo A — Figuras del análisis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f_ANTO_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A.1. acf ANTO 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f_PUCOBRE_S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A.2. acf PUCOBRE SN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433924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map_correlacione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33924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A.3. Matriz de correlaciones de retornos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64617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liquidez_vs_bet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646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A.4. Iliquidez vs transmisión contemporánea del cobre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f_ANTO_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A.5. Función impulso-respuesta: Antofagasta ante shock del cobre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rf_PUCOBRE_S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A.6. Función impulso-respuesta: Pucobre (respuesta diferida)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ecios_normalizado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A.7. Evolución de precios normalizados (base 100) y precio del cobre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ornos_ANTO_L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A.8. retornos ANTO 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65176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tornos_PUCOBRE_S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51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A.9. retornos PUCOBRE SN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condicional_ANTO_L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A.10. vol condicional ANTO L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condicional_CAP_S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A.11. vol condicional CAP SN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condicional_PUCOBRE_SN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A.12. vol condicional PUCOBRE SN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176784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ol_condicional_SQM-B_SN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6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555"/>
          <w:sz w:val="18"/>
        </w:rPr>
        <w:t>Figura A.13. vol condicional SQM-B SN</w:t>
      </w:r>
    </w:p>
    <w:sectPr w:rsidR="00FC693F" w:rsidRPr="0006063C" w:rsidSect="00034616">
      <w:headerReference w:type="default" r:id="rId22"/>
      <w:footerReference w:type="default" r:id="rId23"/>
      <w:pgSz w:w="12240" w:h="15840"/>
      <w:pgMar w:top="1440" w:right="1440" w:bottom="1440" w:left="2154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fldChar w:fldCharType="begin"/>
      <w:instrText xml:space="preserve"> PAGE 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i/>
        <w:color w:val="555555"/>
        <w:sz w:val="16"/>
      </w:rPr>
      <w:t>Impacto macro-financiero en la valoración del cobre en Chile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true"/>
  <w:hyphenationZone w:val="35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480" w:lineRule="auto" w:after="0"/>
      <w:ind w:firstLine="720"/>
      <w:jc w:val="left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 w:line="240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i w:val="0"/>
      <w:color w:val="1B2A41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60" w:line="240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i w:val="0"/>
      <w:color w:val="1B2A4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60" w:line="240" w:lineRule="auto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1B2A4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header" Target="header1.xml"/><Relationship Id="rId2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