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2A41"/>
          <w:sz w:val="40"/>
        </w:rPr>
        <w:t>UNIVERSIDAD SAN SEBASTIÁN</w:t>
      </w:r>
    </w:p>
    <w:p>
      <w:pPr>
        <w:jc w:val="center"/>
      </w:pPr>
      <w:r>
        <w:rPr>
          <w:sz w:val="26"/>
        </w:rPr>
        <w:t>Magíster en Data Science</w:t>
      </w:r>
    </w:p>
    <w:p/>
    <w:p/>
    <w:p>
      <w:pPr>
        <w:jc w:val="center"/>
      </w:pPr>
      <w:r>
        <w:rPr>
          <w:b/>
          <w:color w:val="1B2A41"/>
          <w:sz w:val="32"/>
        </w:rPr>
        <w:t>Impacto de las variables macroeconómicas globales y financieras en la valoración bursátil del sector de minería de cobre en Chile</w:t>
      </w:r>
    </w:p>
    <w:p/>
    <w:p/>
    <w:p>
      <w:pPr>
        <w:jc w:val="center"/>
      </w:pPr>
      <w:r>
        <w:rPr>
          <w:sz w:val="22"/>
        </w:rPr>
        <w:t>Econometría financiera aplicada · Series de tiempo y panel</w:t>
        <w:br/>
        <w:t>Período 2004–2026 · Python (statsmodels, arch, linearmodels)</w:t>
      </w:r>
    </w:p>
    <w:p/>
    <w:p/>
    <w:p/>
    <w:p/>
    <w:p/>
    <w:p/>
    <w:p>
      <w:pPr>
        <w:jc w:val="center"/>
      </w:pPr>
      <w:r>
        <w:rPr>
          <w:i/>
        </w:rPr>
        <w:t>Tesis para optar al grado de Magíster</w:t>
      </w:r>
    </w:p>
    <w:p>
      <w:r>
        <w:br w:type="page"/>
      </w:r>
    </w:p>
    <w:p>
      <w:pPr>
        <w:pStyle w:val="Heading1"/>
      </w:pPr>
      <w:r>
        <w:t>Impacto de las variables macroeconómicas globales y financieras en la valoración bursátil del sector de minería de cobre en Chile</w:t>
      </w:r>
    </w:p>
    <w:p>
      <w:r/>
      <w:r>
        <w:rPr>
          <w:b/>
        </w:rPr>
        <w:t>Tesis — Magíster en Data Science · Econometría Financiera aplicada</w:t>
      </w:r>
      <w:r/>
    </w:p>
    <w:p>
      <w:r>
        <w:t>Período de estudio: 2004–2026 (datos diarios) · Software: Python 3.13 (statsmodels, arch, linearmodels)</w:t>
      </w:r>
    </w:p>
    <w:p>
      <w:pPr>
        <w:pStyle w:val="IntenseQuote"/>
      </w:pPr>
      <w:r/>
      <w:r>
        <w:rPr>
          <w:b/>
        </w:rPr>
        <w:t>Estado del documento:</w:t>
      </w:r>
      <w:r>
        <w:t xml:space="preserve"> borrador integrado con resultados empíricos REALES</w:t>
      </w:r>
    </w:p>
    <w:p>
      <w:pPr>
        <w:pStyle w:val="IntenseQuote"/>
      </w:pPr>
      <w:r>
        <w:t>(datos descargados de Yahoo Finance el 2026-05-30). Todo número proviene de los</w:t>
      </w:r>
    </w:p>
    <w:p>
      <w:pPr>
        <w:pStyle w:val="IntenseQuote"/>
      </w:pPr>
      <w:r>
        <w:t>scripts en src/ y las tablas en outputs/tables/. Las citas marcadas</w:t>
      </w:r>
    </w:p>
    <w:p>
      <w:pPr>
        <w:pStyle w:val="IntenseQuote"/>
      </w:pPr>
      <w:r>
        <w:t>[POR VERIFICAR] deben confirmarse en Scopus/WoS/Scholar antes de la entrega:</w:t>
      </w:r>
    </w:p>
    <w:p>
      <w:pPr>
        <w:pStyle w:val="IntenseQuote"/>
      </w:pPr>
      <w:r/>
      <w:r>
        <w:rPr>
          <w:b/>
        </w:rPr>
        <w:t>no se han inventado referencias</w:t>
      </w:r>
      <w:r>
        <w:t>.</w:t>
      </w:r>
    </w:p>
    <w:p>
      <w:pPr>
        <w:pStyle w:val="Heading2"/>
      </w:pPr>
      <w:r>
        <w:t>Resumen (Abstract)</w:t>
      </w:r>
    </w:p>
    <w:p>
      <w:r>
        <w:t>Se cuantifica el impacto de variables macroeconómicas globales y financieras sobre</w:t>
      </w:r>
    </w:p>
    <w:p>
      <w:r>
        <w:t>el precio y el retorno de las acciones de minería de cobre vinculadas a Chile. El</w:t>
      </w:r>
    </w:p>
    <w:p>
      <w:r>
        <w:t>universo se resuelve empíricamente: existen sólo dos pure-plays de cobre</w:t>
      </w:r>
    </w:p>
    <w:p>
      <w:r>
        <w:t>cotizados ligados a Chile —</w:t>
      </w:r>
      <w:r>
        <w:rPr>
          <w:b/>
        </w:rPr>
        <w:t>Antofagasta plc</w:t>
      </w:r>
      <w:r>
        <w:t xml:space="preserve"> (LSE) y </w:t>
      </w:r>
      <w:r>
        <w:rPr>
          <w:b/>
        </w:rPr>
        <w:t>Pucobre</w:t>
      </w:r>
      <w:r>
        <w:t xml:space="preserve"> (Bolsa de</w:t>
      </w:r>
    </w:p>
    <w:p>
      <w:r>
        <w:t>Santiago)— complementados por un panel de minería-materiales (CAP, SQM) y</w:t>
      </w:r>
    </w:p>
    <w:p>
      <w:r>
        <w:t>referencias internacionales (SCCO, FCX, BHP, Glencore). Mediante regresión con</w:t>
      </w:r>
    </w:p>
    <w:p>
      <w:r>
        <w:t>errores HAC, VAR (IRF/FEVD), cointegración de Johansen y VECM, modelos GARCH y</w:t>
      </w:r>
    </w:p>
    <w:p>
      <w:r>
        <w:t>datos de panel, se documenta un hallazgo central: **el precio del cobre transmite</w:t>
      </w:r>
    </w:p>
    <w:p>
      <w:r>
        <w:t>fuertemente a la valoración del pure-play líquido (Antofagasta: β contemporánea</w:t>
      </w:r>
    </w:p>
    <w:p>
      <w:r>
        <w:t>≈ 0.70; el cobre explica ≈ 28% de la varianza de su retorno), pero la transmisión</w:t>
      </w:r>
    </w:p>
    <w:p>
      <w:r>
        <w:t>al pure-play local e ilíquido (Pucobre) es casi nula en el corto plazo</w:t>
      </w:r>
    </w:p>
    <w:p>
      <w:r>
        <w:t>(β ≈ 0.09, R² ≈ 0.04) y sólo se materializa con rezago y en el largo plazo**</w:t>
      </w:r>
    </w:p>
    <w:p>
      <w:r>
        <w:t>(elasticidad de cointegración ≈ 0.75). La iliquidez del small-cap chileno</w:t>
      </w:r>
    </w:p>
    <w:p>
      <w:r/>
      <w:r>
        <w:rPr>
          <w:b/>
        </w:rPr>
        <w:t>retrasa</w:t>
      </w:r>
      <w:r>
        <w:t xml:space="preserve">, pero no </w:t>
      </w:r>
      <w:r>
        <w:rPr>
          <w:b/>
        </w:rPr>
        <w:t>elimina</w:t>
      </w:r>
      <w:r>
        <w:t>, el vínculo fundamental cobre→valoración.</w:t>
      </w:r>
    </w:p>
    <w:p>
      <w:pPr>
        <w:pStyle w:val="Heading2"/>
      </w:pPr>
      <w:r>
        <w:t>1. Introducción</w:t>
      </w:r>
    </w:p>
    <w:p>
      <w:r>
        <w:t>Chile es la mayor economía cuprífera del mundo y el cobre representa una fracción</w:t>
      </w:r>
    </w:p>
    <w:p>
      <w:r>
        <w:t>dominante de sus exportaciones. Resulta natural preguntarse en qué medida el ciclo</w:t>
      </w:r>
    </w:p>
    <w:p>
      <w:r>
        <w:t>global del cobre y las condiciones financieras internacionales se transmiten a la</w:t>
      </w:r>
    </w:p>
    <w:p>
      <w:r/>
      <w:r>
        <w:rPr>
          <w:b/>
        </w:rPr>
        <w:t>valoración bursátil</w:t>
      </w:r>
      <w:r>
        <w:t xml:space="preserve"> de las empresas mineras del país. Esta tesis aborda esa</w:t>
      </w:r>
    </w:p>
    <w:p>
      <w:r>
        <w:t xml:space="preserve">pregunta con un enfoque </w:t>
      </w:r>
      <w:r>
        <w:rPr>
          <w:b/>
        </w:rPr>
        <w:t>explicativo y de medición de impacto</w:t>
      </w:r>
      <w:r>
        <w:t xml:space="preserve"> —no predictivo—:</w:t>
      </w:r>
    </w:p>
    <w:p>
      <w:r>
        <w:t>el objetivo es cuantificar signos, magnitudes, dinámicas y relaciones de equilibrio,</w:t>
      </w:r>
    </w:p>
    <w:p>
      <w:r>
        <w:t>con supuestos validados.</w:t>
      </w:r>
    </w:p>
    <w:p>
      <w:r/>
      <w:r>
        <w:rPr>
          <w:b/>
        </w:rPr>
        <w:t>Pregunta de investigación.</w:t>
      </w:r>
      <w:r>
        <w:t xml:space="preserve"> ¿Cuál es la magnitud, el signo y la dinámica</w:t>
      </w:r>
    </w:p>
    <w:p>
      <w:r>
        <w:t>(corto vs largo plazo) del impacto de las variables macro-financieras globales y</w:t>
      </w:r>
    </w:p>
    <w:p>
      <w:r>
        <w:t>nacionales —en particular el precio del cobre, el tipo de cambio, el dólar global,</w:t>
      </w:r>
    </w:p>
    <w:p>
      <w:r>
        <w:t>las tasas de interés y el riesgo de mercado— sobre el precio y el retorno de las</w:t>
      </w:r>
    </w:p>
    <w:p>
      <w:r>
        <w:t>acciones de minería de cobre vinculadas a Chile?</w:t>
      </w:r>
    </w:p>
    <w:p>
      <w:r/>
      <w:r>
        <w:rPr>
          <w:b/>
        </w:rPr>
        <w:t>Objetivo general.</w:t>
      </w:r>
      <w:r>
        <w:t xml:space="preserve"> Analizar y cuantificar dicho impacto en el período 2004–2026</w:t>
      </w:r>
    </w:p>
    <w:p>
      <w:r>
        <w:t>mediante modelos econométricos de series de tiempo y de panel.</w:t>
      </w:r>
    </w:p>
    <w:p>
      <w:r/>
      <w:r>
        <w:rPr>
          <w:b/>
        </w:rPr>
        <w:t>Objetivos específicos.</w:t>
      </w:r>
      <w:r/>
    </w:p>
    <w:p>
      <w:pPr>
        <w:pStyle w:val="ListNumber"/>
      </w:pPr>
      <w:r>
        <w:t>Resolver operacionalmente el universo de empresas mineras de cobre cotizadas</w:t>
      </w:r>
    </w:p>
    <w:p>
      <w:r>
        <w:t>vinculadas a Chile.</w:t>
      </w:r>
    </w:p>
    <w:p>
      <w:pPr>
        <w:pStyle w:val="ListNumber"/>
      </w:pPr>
      <w:r>
        <w:t>Caracterizar las propiedades estadísticas de precios y retornos (estacionariedad,</w:t>
      </w:r>
    </w:p>
    <w:p>
      <w:r>
        <w:t>colas, volatilidad, quiebres).</w:t>
      </w:r>
    </w:p>
    <w:p>
      <w:pPr>
        <w:pStyle w:val="ListNumber"/>
      </w:pPr>
      <w:r>
        <w:t xml:space="preserve">Estimar el impacto </w:t>
      </w:r>
      <w:r>
        <w:rPr>
          <w:b/>
        </w:rPr>
        <w:t>contemporáneo</w:t>
      </w:r>
      <w:r>
        <w:t xml:space="preserve"> de los factores sobre los retornos</w:t>
      </w:r>
    </w:p>
    <w:p>
      <w:r>
        <w:t xml:space="preserve">(regresión HAC) y su </w:t>
      </w:r>
      <w:r>
        <w:rPr>
          <w:b/>
        </w:rPr>
        <w:t>dinámica</w:t>
      </w:r>
      <w:r>
        <w:t xml:space="preserve"> (VAR, IRF, FEVD, causalidad).</w:t>
      </w:r>
    </w:p>
    <w:p>
      <w:pPr>
        <w:pStyle w:val="ListNumber"/>
      </w:pPr>
      <w:r>
        <w:t xml:space="preserve">Estimar la relación de </w:t>
      </w:r>
      <w:r>
        <w:rPr>
          <w:b/>
        </w:rPr>
        <w:t>largo plazo</w:t>
      </w:r>
      <w:r>
        <w:t xml:space="preserve"> cobre→valoración (cointegración, VECM)</w:t>
      </w:r>
    </w:p>
    <w:p>
      <w:r>
        <w:t>y su robustez (ARDL bounds).</w:t>
      </w:r>
    </w:p>
    <w:p>
      <w:pPr>
        <w:pStyle w:val="ListNumber"/>
      </w:pPr>
      <w:r>
        <w:t xml:space="preserve">Modelar la </w:t>
      </w:r>
      <w:r>
        <w:rPr>
          <w:b/>
        </w:rPr>
        <w:t>volatilidad</w:t>
      </w:r>
      <w:r>
        <w:t xml:space="preserve"> y el efecto apalancamiento (familia GARCH).</w:t>
      </w:r>
    </w:p>
    <w:p>
      <w:pPr>
        <w:pStyle w:val="ListNumber"/>
      </w:pPr>
      <w:r>
        <w:t xml:space="preserve">Contrastar resultados con un </w:t>
      </w:r>
      <w:r>
        <w:rPr>
          <w:b/>
        </w:rPr>
        <w:t>panel</w:t>
      </w:r>
      <w:r>
        <w:t xml:space="preserve"> sectorial y con referencias internacionales.</w:t>
      </w:r>
    </w:p>
    <w:p>
      <w:r/>
      <w:r>
        <w:rPr>
          <w:b/>
        </w:rPr>
        <w:t>Relevancia.</w:t>
      </w:r>
      <w:r>
        <w:t xml:space="preserve"> Más allá del interés académico, cuantificar la sensibilidad de las</w:t>
      </w:r>
    </w:p>
    <w:p>
      <w:r>
        <w:t>mineras chilenas al cobre y a las condiciones financieras tiene implicancias para</w:t>
      </w:r>
    </w:p>
    <w:p>
      <w:r>
        <w:t>la gestión de riesgo, la valoración y la política. El hallazgo sobre iliquidez del</w:t>
      </w:r>
    </w:p>
    <w:p>
      <w:r>
        <w:t>pure-play local aporta evidencia sobre la eficiencia informacional de un</w:t>
      </w:r>
    </w:p>
    <w:p>
      <w:r>
        <w:t>mercado emergente pequeño.</w:t>
      </w:r>
    </w:p>
    <w:p>
      <w:pPr>
        <w:pStyle w:val="Heading2"/>
      </w:pPr>
      <w:r>
        <w:t>2. Marco teórico</w:t>
      </w:r>
    </w:p>
    <w:p>
      <w:r>
        <w:t>La valoración de un activo accionario corresponde al valor presente de sus flujos</w:t>
      </w:r>
    </w:p>
    <w:p>
      <w:r>
        <w:t xml:space="preserve">futuros descontados. Para una minera de cobre, los </w:t>
      </w:r>
      <w:r>
        <w:rPr>
          <w:b/>
        </w:rPr>
        <w:t>flujos</w:t>
      </w:r>
      <w:r>
        <w:t xml:space="preserve"> dependen directamente</w:t>
      </w:r>
    </w:p>
    <w:p>
      <w:r>
        <w:t>del precio del cobre (ingreso) y de los costos (energía, tipo de cambio), mientras</w:t>
      </w:r>
    </w:p>
    <w:p>
      <w:r>
        <w:t xml:space="preserve">que la </w:t>
      </w:r>
      <w:r>
        <w:rPr>
          <w:b/>
        </w:rPr>
        <w:t>tasa de descuento</w:t>
      </w:r>
      <w:r>
        <w:t xml:space="preserve"> depende de las tasas libres de riesgo globales y de</w:t>
      </w:r>
    </w:p>
    <w:p>
      <w:r>
        <w:t>las primas de riesgo. Esto define cinco canales económicos que estructuran la</w:t>
      </w:r>
    </w:p>
    <w:p>
      <w:r>
        <w:t>selección de variables:</w:t>
      </w:r>
    </w:p>
    <w:p>
      <w:pPr>
        <w:pStyle w:val="ListNumber"/>
      </w:pPr>
      <w:r/>
      <w:r>
        <w:rPr>
          <w:b/>
        </w:rPr>
        <w:t>Canal de demanda/ingreso</w:t>
      </w:r>
      <w:r>
        <w:t xml:space="preserve"> — precio del cobre (COMEX/LME) y demanda global</w:t>
      </w:r>
    </w:p>
    <w:p>
      <w:r>
        <w:t>(actividad industrial, China). Un alza del cobre eleva los ingresos esperados.</w:t>
      </w:r>
    </w:p>
    <w:p>
      <w:pPr>
        <w:pStyle w:val="ListNumber"/>
      </w:pPr>
      <w:r/>
      <w:r>
        <w:rPr>
          <w:b/>
        </w:rPr>
        <w:t>Canal de costos</w:t>
      </w:r>
      <w:r>
        <w:t xml:space="preserve"> — energía (WTI) y tipo de cambio (CLP/USD): una depreciación</w:t>
      </w:r>
    </w:p>
    <w:p>
      <w:r>
        <w:t>del peso reduce costos locales medidos en USD y puede elevar el margen.</w:t>
      </w:r>
    </w:p>
    <w:p>
      <w:pPr>
        <w:pStyle w:val="ListNumber"/>
      </w:pPr>
      <w:r/>
      <w:r>
        <w:rPr>
          <w:b/>
        </w:rPr>
        <w:t>Canal de descuento</w:t>
      </w:r>
      <w:r>
        <w:t xml:space="preserve"> — tasas de interés (UST 2Y/10Y), que afectan el factor</w:t>
      </w:r>
    </w:p>
    <w:p>
      <w:r>
        <w:t>de descuento.</w:t>
      </w:r>
    </w:p>
    <w:p>
      <w:pPr>
        <w:pStyle w:val="ListNumber"/>
      </w:pPr>
      <w:r/>
      <w:r>
        <w:rPr>
          <w:b/>
        </w:rPr>
        <w:t>Canal de moneda global</w:t>
      </w:r>
      <w:r>
        <w:t xml:space="preserve"> — índice dólar (DXY): los commodities tienden a</w:t>
      </w:r>
    </w:p>
    <w:p>
      <w:r>
        <w:t>moverse inversamente al dólar.</w:t>
      </w:r>
    </w:p>
    <w:p>
      <w:pPr>
        <w:pStyle w:val="ListNumber"/>
      </w:pPr>
      <w:r/>
      <w:r>
        <w:rPr>
          <w:b/>
        </w:rPr>
        <w:t>Canal de riesgo/sentimiento</w:t>
      </w:r>
      <w:r>
        <w:t xml:space="preserve"> — VIX y mercado (S&amp;P 500, mercado local).</w:t>
      </w:r>
    </w:p>
    <w:p>
      <w:r>
        <w:t xml:space="preserve">El </w:t>
      </w:r>
      <w:r>
        <w:rPr>
          <w:b/>
        </w:rPr>
        <w:t>Arbitrage Pricing Theory (APT)</w:t>
      </w:r>
      <w:r>
        <w:t xml:space="preserve"> y los modelos de factores macroeconómicos</w:t>
      </w:r>
    </w:p>
    <w:p>
      <w:r>
        <w:t>sobre retornos accionarios *[POR VERIFICAR: Chen, Roll &amp; Ross, 1986; Fama, p. ej.</w:t>
      </w:r>
    </w:p>
    <w:p>
      <w:r>
        <w:t>Fama &amp; French]* dan sustento a una especificación multifactorial lineal para los</w:t>
      </w:r>
    </w:p>
    <w:p>
      <w:r>
        <w:t xml:space="preserve">retornos. La distinción entre </w:t>
      </w:r>
      <w:r>
        <w:rPr>
          <w:b/>
        </w:rPr>
        <w:t>niveles</w:t>
      </w:r>
      <w:r>
        <w:t xml:space="preserve"> (precios I(1)) y </w:t>
      </w:r>
      <w:r>
        <w:rPr>
          <w:b/>
        </w:rPr>
        <w:t>cambios</w:t>
      </w:r>
      <w:r>
        <w:t xml:space="preserve"> (retornos</w:t>
      </w:r>
    </w:p>
    <w:p>
      <w:r>
        <w:t>I(0)) motiva separar el análisis de equilibrio de largo plazo (cointegración) del</w:t>
      </w:r>
    </w:p>
    <w:p>
      <w:r>
        <w:t>de impacto de corto plazo.</w:t>
      </w:r>
    </w:p>
    <w:p>
      <w:pPr>
        <w:pStyle w:val="Heading2"/>
      </w:pPr>
      <w:r>
        <w:t>3. Revisión de literatura</w:t>
      </w:r>
    </w:p>
    <w:p>
      <w:r>
        <w:t>[SECCIÓN A COMPLETAR CON FUENTES REALES — no se incluyen citas inventadas.]</w:t>
      </w:r>
    </w:p>
    <w:p>
      <w:r>
        <w:t>Líneas a cubrir y verificar en Scopus/WoS/Scholar:</w:t>
      </w:r>
    </w:p>
    <w:p>
      <w:pPr>
        <w:pStyle w:val="ListBullet"/>
      </w:pPr>
      <w:r>
        <w:t>Factores macro y retornos accionarios: APT y evidencia internacional</w:t>
      </w:r>
    </w:p>
    <w:p>
      <w:r>
        <w:t>[Chen, Roll &amp; Ross, 1986 — verificar].</w:t>
      </w:r>
    </w:p>
    <w:p>
      <w:pPr>
        <w:pStyle w:val="ListBullet"/>
      </w:pPr>
      <w:r>
        <w:t>Precios de commodities y mercados accionarios de economías exportadoras.</w:t>
      </w:r>
    </w:p>
    <w:p>
      <w:pPr>
        <w:pStyle w:val="ListBullet"/>
      </w:pPr>
      <w:r>
        <w:t>Transmisión cobre → peso chileno → bolsa local *[buscar evidencia específica</w:t>
      </w:r>
    </w:p>
    <w:p>
      <w:r>
        <w:t>Chile: trabajos de CMF, Banco Central, journals chilenos — POR CONSULTAR]*.</w:t>
      </w:r>
    </w:p>
    <w:p>
      <w:pPr>
        <w:pStyle w:val="ListBullet"/>
      </w:pPr>
      <w:r>
        <w:t>Iliquidez, microestructura y descubrimiento de precios en mercados emergentes.</w:t>
      </w:r>
    </w:p>
    <w:p>
      <w:pPr>
        <w:pStyle w:val="ListBullet"/>
      </w:pPr>
      <w:r>
        <w:t>Metodología: Engle &amp; Granger (1987); Johansen (1991); Pesaran, Shin &amp; Smith</w:t>
      </w:r>
    </w:p>
    <w:p>
      <w:r>
        <w:t>(2001) ARDL; Shin, Yu &amp; Greenberg (2014) NARDL; Toda &amp; Yamamoto (1995);</w:t>
      </w:r>
    </w:p>
    <w:p>
      <w:r>
        <w:t>Bollerslev (1986) GARCH; Nelson (1991) EGARCH; Glosten, Jagannathan &amp; Runkle</w:t>
      </w:r>
    </w:p>
    <w:p>
      <w:r>
        <w:t>(1993) GJR; Newey &amp; West (1987) [TODAS POR VERIFICAR EN FORMATO APA].</w:t>
      </w:r>
    </w:p>
    <w:p>
      <w:pPr>
        <w:pStyle w:val="Heading2"/>
      </w:pPr>
      <w:r>
        <w:t>4. Datos</w:t>
      </w:r>
    </w:p>
    <w:p>
      <w:pPr>
        <w:pStyle w:val="Heading3"/>
      </w:pPr>
      <w:r>
        <w:t>4.1 Universo de empresas (resuelto empíricamente)</w:t>
      </w:r>
    </w:p>
    <w:p>
      <w:r>
        <w:t>El universo de mineras de cobre cotizadas vinculadas a Chile es muy reducido. Se</w:t>
      </w:r>
    </w:p>
    <w:p>
      <w:r>
        <w:t>verificó la disponibilidad real de cada candidato (src/verificar_universo.py).</w:t>
      </w:r>
    </w:p>
    <w:p>
      <w:r>
        <w:t>Resultado en tres anillos: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Anillo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Mercado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Moneda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Obs</w:t>
            </w:r>
          </w:p>
        </w:tc>
      </w:tr>
      <w:tr>
        <w:tc>
          <w:tcPr>
            <w:tcW w:type="dxa" w:w="1440"/>
          </w:tcPr>
          <w:p>
            <w:r>
              <w:t>A (núcleo cobre)</w:t>
            </w:r>
          </w:p>
        </w:tc>
        <w:tc>
          <w:tcPr>
            <w:tcW w:type="dxa" w:w="1440"/>
          </w:tcPr>
          <w:p>
            <w:r>
              <w:t>ANTO.L</w:t>
            </w:r>
          </w:p>
        </w:tc>
        <w:tc>
          <w:tcPr>
            <w:tcW w:type="dxa" w:w="1440"/>
          </w:tcPr>
          <w:p>
            <w:r>
              <w:t>Antofagasta plc</w:t>
            </w:r>
          </w:p>
        </w:tc>
        <w:tc>
          <w:tcPr>
            <w:tcW w:type="dxa" w:w="1440"/>
          </w:tcPr>
          <w:p>
            <w:r>
              <w:t>LSE (cross-listed)</w:t>
            </w:r>
          </w:p>
        </w:tc>
        <w:tc>
          <w:tcPr>
            <w:tcW w:type="dxa" w:w="1440"/>
          </w:tcPr>
          <w:p>
            <w:r>
              <w:t>GBp</w:t>
            </w:r>
          </w:p>
        </w:tc>
        <w:tc>
          <w:tcPr>
            <w:tcW w:type="dxa" w:w="1440"/>
          </w:tcPr>
          <w:p>
            <w:r>
              <w:t>6.720</w:t>
            </w:r>
          </w:p>
        </w:tc>
      </w:tr>
      <w:tr>
        <w:tc>
          <w:tcPr>
            <w:tcW w:type="dxa" w:w="1440"/>
          </w:tcPr>
          <w:p>
            <w:r>
              <w:t>A (núcleo cobre)</w:t>
            </w:r>
          </w:p>
        </w:tc>
        <w:tc>
          <w:tcPr>
            <w:tcW w:type="dxa" w:w="1440"/>
          </w:tcPr>
          <w:p>
            <w:r>
              <w:t>PUCOBRE.SN</w:t>
            </w:r>
          </w:p>
        </w:tc>
        <w:tc>
          <w:tcPr>
            <w:tcW w:type="dxa" w:w="1440"/>
          </w:tcPr>
          <w:p>
            <w:r>
              <w:t>Pucobre (Punta del Cobre)</w:t>
            </w:r>
          </w:p>
        </w:tc>
        <w:tc>
          <w:tcPr>
            <w:tcW w:type="dxa" w:w="1440"/>
          </w:tcPr>
          <w:p>
            <w:r>
              <w:t>Bolsa Santiago</w:t>
            </w:r>
          </w:p>
        </w:tc>
        <w:tc>
          <w:tcPr>
            <w:tcW w:type="dxa" w:w="1440"/>
          </w:tcPr>
          <w:p>
            <w:r>
              <w:t>CLP</w:t>
            </w:r>
          </w:p>
        </w:tc>
        <w:tc>
          <w:tcPr>
            <w:tcW w:type="dxa" w:w="1440"/>
          </w:tcPr>
          <w:p>
            <w:r>
              <w:t>6.673</w:t>
            </w:r>
          </w:p>
        </w:tc>
      </w:tr>
      <w:tr>
        <w:tc>
          <w:tcPr>
            <w:tcW w:type="dxa" w:w="1440"/>
          </w:tcPr>
          <w:p>
            <w:r>
              <w:t>B (materiales)</w:t>
            </w:r>
          </w:p>
        </w:tc>
        <w:tc>
          <w:tcPr>
            <w:tcW w:type="dxa" w:w="1440"/>
          </w:tcPr>
          <w:p>
            <w:r>
              <w:t>CAP.SN</w:t>
            </w:r>
          </w:p>
        </w:tc>
        <w:tc>
          <w:tcPr>
            <w:tcW w:type="dxa" w:w="1440"/>
          </w:tcPr>
          <w:p>
            <w:r>
              <w:t>CAP S.A.</w:t>
            </w:r>
          </w:p>
        </w:tc>
        <w:tc>
          <w:tcPr>
            <w:tcW w:type="dxa" w:w="1440"/>
          </w:tcPr>
          <w:p>
            <w:r>
              <w:t>Santiago</w:t>
            </w:r>
          </w:p>
        </w:tc>
        <w:tc>
          <w:tcPr>
            <w:tcW w:type="dxa" w:w="1440"/>
          </w:tcPr>
          <w:p>
            <w:r>
              <w:t>CLP</w:t>
            </w:r>
          </w:p>
        </w:tc>
        <w:tc>
          <w:tcPr>
            <w:tcW w:type="dxa" w:w="1440"/>
          </w:tcPr>
          <w:p>
            <w:r>
              <w:t>6.673</w:t>
            </w:r>
          </w:p>
        </w:tc>
      </w:tr>
      <w:tr>
        <w:tc>
          <w:tcPr>
            <w:tcW w:type="dxa" w:w="1440"/>
          </w:tcPr>
          <w:p>
            <w:r>
              <w:t>B (materiales)</w:t>
            </w:r>
          </w:p>
        </w:tc>
        <w:tc>
          <w:tcPr>
            <w:tcW w:type="dxa" w:w="1440"/>
          </w:tcPr>
          <w:p>
            <w:r>
              <w:t>SQM-B.SN</w:t>
            </w:r>
          </w:p>
        </w:tc>
        <w:tc>
          <w:tcPr>
            <w:tcW w:type="dxa" w:w="1440"/>
          </w:tcPr>
          <w:p>
            <w:r>
              <w:t>SQM</w:t>
            </w:r>
          </w:p>
        </w:tc>
        <w:tc>
          <w:tcPr>
            <w:tcW w:type="dxa" w:w="1440"/>
          </w:tcPr>
          <w:p>
            <w:r>
              <w:t>Santiago</w:t>
            </w:r>
          </w:p>
        </w:tc>
        <w:tc>
          <w:tcPr>
            <w:tcW w:type="dxa" w:w="1440"/>
          </w:tcPr>
          <w:p>
            <w:r>
              <w:t>CLP</w:t>
            </w:r>
          </w:p>
        </w:tc>
        <w:tc>
          <w:tcPr>
            <w:tcW w:type="dxa" w:w="1440"/>
          </w:tcPr>
          <w:p>
            <w:r>
              <w:t>6.673</w:t>
            </w:r>
          </w:p>
        </w:tc>
      </w:tr>
      <w:tr>
        <w:tc>
          <w:tcPr>
            <w:tcW w:type="dxa" w:w="1440"/>
          </w:tcPr>
          <w:p>
            <w:r>
              <w:t>C (ref. int'l)</w:t>
            </w:r>
          </w:p>
        </w:tc>
        <w:tc>
          <w:tcPr>
            <w:tcW w:type="dxa" w:w="1440"/>
          </w:tcPr>
          <w:p>
            <w:r>
              <w:t>SCCO,FCX,BHP,GLEN.L</w:t>
            </w:r>
          </w:p>
        </w:tc>
        <w:tc>
          <w:tcPr>
            <w:tcW w:type="dxa" w:w="1440"/>
          </w:tcPr>
          <w:p>
            <w:r>
              <w:t>Southern, Freeport, BHP, Glencore</w:t>
            </w:r>
          </w:p>
        </w:tc>
        <w:tc>
          <w:tcPr>
            <w:tcW w:type="dxa" w:w="1440"/>
          </w:tcPr>
          <w:p>
            <w:r>
              <w:t>NYSE/LSE</w:t>
            </w:r>
          </w:p>
        </w:tc>
        <w:tc>
          <w:tcPr>
            <w:tcW w:type="dxa" w:w="1440"/>
          </w:tcPr>
          <w:p>
            <w:r>
              <w:t>USD/GBp</w:t>
            </w:r>
          </w:p>
        </w:tc>
        <w:tc>
          <w:tcPr>
            <w:tcW w:type="dxa" w:w="1440"/>
          </w:tcPr>
          <w:p>
            <w:r>
              <w:t>3.793–6.641</w:t>
            </w:r>
          </w:p>
        </w:tc>
      </w:tr>
    </w:tbl>
    <w:p/>
    <w:p>
      <w:r/>
      <w:r>
        <w:rPr>
          <w:b/>
        </w:rPr>
        <w:t>Codelco</w:t>
      </w:r>
      <w:r>
        <w:t xml:space="preserve"> se excluye del análisis accionario (estatal, no cotiza en renta</w:t>
      </w:r>
    </w:p>
    <w:p>
      <w:r>
        <w:t>variable). Hallazgo relevante: *Pucobre es el único pure-play* de cobre listado</w:t>
      </w:r>
    </w:p>
    <w:p>
      <w:r>
        <w:t>directamente en la Bolsa de Santiago y en pesos**, lo que habilita el contraste con</w:t>
      </w:r>
    </w:p>
    <w:p>
      <w:r>
        <w:t>Antofagasta (cross-listed, GBp, alta liquidez).</w:t>
      </w:r>
    </w:p>
    <w:p>
      <w:pPr>
        <w:pStyle w:val="Heading3"/>
      </w:pPr>
      <w:r>
        <w:t>4.2 Variables (factores)</w:t>
      </w:r>
    </w:p>
    <w:p>
      <w:r>
        <w:t>Factores de mercado descargados (Yahoo Finance, diarios): precio del cobre</w:t>
      </w:r>
    </w:p>
    <w:p>
      <w:r>
        <w:t>(HG=F, futuro COMEX), USD/CLP (CLP=X), índice dólar DXY (DX-Y.NYB), VIX,</w:t>
      </w:r>
    </w:p>
    <w:p>
      <w:r>
        <w:t>S&amp;P 500, rendimientos UST 13s/5A/10A (^IRX/^FVX/^TNX), WTI (CL=F) y un proxy</w:t>
      </w:r>
    </w:p>
    <w:p>
      <w:r>
        <w:t>del mercado chileno. Ver diccionario completo en docs/diccionario_datos.md.</w:t>
      </w:r>
    </w:p>
    <w:p>
      <w:pPr>
        <w:pStyle w:val="Heading3"/>
      </w:pPr>
      <w:r>
        <w:t>4.3 Limitaciones de datos (declaradas)</w:t>
      </w:r>
    </w:p>
    <w:p>
      <w:pPr>
        <w:pStyle w:val="ListBullet"/>
      </w:pPr>
      <w:r/>
      <w:r>
        <w:rPr>
          <w:b/>
        </w:rPr>
        <w:t>^IPSA (Yahoo) es inconsistente</w:t>
      </w:r>
      <w:r>
        <w:t>: el feed entrega datos sólo hasta ~2019 de</w:t>
      </w:r>
    </w:p>
    <w:p>
      <w:r>
        <w:t xml:space="preserve">forma reproducible. Se sustituyó el factor de mercado local por </w:t>
      </w:r>
      <w:r>
        <w:rPr>
          <w:b/>
        </w:rPr>
        <w:t>ECH</w:t>
      </w:r>
      <w:r>
        <w:t xml:space="preserve"> (ETF</w:t>
      </w:r>
    </w:p>
    <w:p>
      <w:r>
        <w:t>iShares MSCI Chile, NYSE, USD), con cobertura limpia 2007–2026. Costo: ECH</w:t>
      </w:r>
    </w:p>
    <w:p>
      <w:r>
        <w:t>está en USD e incorpora el componente cambiario, parcialmente solapado con</w:t>
      </w:r>
    </w:p>
    <w:p>
      <w:r>
        <w:t>USD/CLP (se monitorea vía VIF; máx ≈ 3.5, sin colinealidad severa).</w:t>
      </w:r>
    </w:p>
    <w:p>
      <w:pPr>
        <w:pStyle w:val="ListBullet"/>
      </w:pPr>
      <w:r/>
      <w:r>
        <w:rPr>
          <w:b/>
        </w:rPr>
        <w:t>FRED inaccesible</w:t>
      </w:r>
      <w:r>
        <w:t xml:space="preserve"> desde el entorno de ejecución (timeouts). El precio global</w:t>
      </w:r>
    </w:p>
    <w:p>
      <w:r>
        <w:t>mensual del cobre y la pendiente de curva quedaron pendientes; el cobre se cubre</w:t>
      </w:r>
    </w:p>
    <w:p>
      <w:r>
        <w:t>con el futuro COMEX diario y las tasas con los índices de Yahoo.</w:t>
      </w:r>
    </w:p>
    <w:p>
      <w:pPr>
        <w:pStyle w:val="ListBullet"/>
      </w:pPr>
      <w:r/>
      <w:r>
        <w:rPr>
          <w:b/>
        </w:rPr>
        <w:t>Macro nacional chilena</w:t>
      </w:r>
      <w:r>
        <w:t xml:space="preserve">: incorporada </w:t>
      </w:r>
      <w:r>
        <w:rPr>
          <w:b/>
        </w:rPr>
        <w:t>sin credenciales</w:t>
      </w:r>
      <w:r>
        <w:t xml:space="preserve"> vía la API pública</w:t>
      </w:r>
    </w:p>
    <w:p>
      <w:r>
        <w:t xml:space="preserve">mindicador.cl (src/ingesta_macro_cl.py): </w:t>
      </w:r>
      <w:r>
        <w:rPr>
          <w:b/>
        </w:rPr>
        <w:t>TPM</w:t>
      </w:r>
      <w:r>
        <w:t xml:space="preserve"> (diaria, 5.560 obs), </w:t>
      </w:r>
      <w:r>
        <w:rPr>
          <w:b/>
        </w:rPr>
        <w:t>IMACEC</w:t>
      </w:r>
      <w:r/>
    </w:p>
    <w:p>
      <w:r>
        <w:t xml:space="preserve">e </w:t>
      </w:r>
      <w:r>
        <w:rPr>
          <w:b/>
        </w:rPr>
        <w:t>IPC</w:t>
      </w:r>
      <w:r>
        <w:t xml:space="preserve"> (mensuales) y dólar observado. El </w:t>
      </w:r>
      <w:r>
        <w:rPr>
          <w:b/>
        </w:rPr>
        <w:t>EMBI Chile</w:t>
      </w:r>
      <w:r>
        <w:t xml:space="preserve"> y series específicas</w:t>
      </w:r>
    </w:p>
    <w:p>
      <w:r>
        <w:t>del Banco Central (BCU/BTU) siguen requiriendo credenciales BCCH_USER/PASS</w:t>
      </w:r>
    </w:p>
    <w:p>
      <w:r>
        <w:t>(pipeline listo en src/ingesta.py).</w:t>
      </w:r>
    </w:p>
    <w:p>
      <w:pPr>
        <w:pStyle w:val="ListBullet"/>
      </w:pPr>
      <w:r/>
      <w:r>
        <w:rPr>
          <w:b/>
        </w:rPr>
        <w:t>Calendarios heterogéneos</w:t>
      </w:r>
      <w:r>
        <w:t xml:space="preserve"> (LSE/Santiago/NYSE) reducen la muestra efectiva por</w:t>
      </w:r>
    </w:p>
    <w:p>
      <w:r>
        <w:t>intersección en las regresiones multifactor (n ≈ 4.475 para el período común).</w:t>
      </w:r>
    </w:p>
    <w:p>
      <w:pPr>
        <w:pStyle w:val="Heading3"/>
      </w:pPr>
      <w:r>
        <w:t>4.4 Transformaciones</w:t>
      </w:r>
    </w:p>
    <w:p>
      <w:r>
        <w:t>Log-precios ln(P_t) (niveles, I(1) esperado); log-retornos 100·Δln(P_t) (I(0));</w:t>
      </w:r>
    </w:p>
    <w:p>
      <w:r>
        <w:t>variaciones log de factores de precio; primeras diferencias de tasas. Pipeline en</w:t>
      </w:r>
    </w:p>
    <w:p>
      <w:r>
        <w:t>src/preparacion.py.</w:t>
      </w:r>
    </w:p>
    <w:p>
      <w:pPr>
        <w:pStyle w:val="Heading2"/>
      </w:pPr>
      <w:r>
        <w:t>5. Metodología</w:t>
      </w:r>
    </w:p>
    <w:p>
      <w:r>
        <w:t>El diseño nace de las propiedades de los datos. El árbol de decisión aplicado:</w:t>
      </w:r>
    </w:p>
    <w:p>
      <w:pPr>
        <w:pStyle w:val="ListNumber"/>
      </w:pPr>
      <w:r/>
      <w:r>
        <w:rPr>
          <w:b/>
        </w:rPr>
        <w:t>Orden de integración</w:t>
      </w:r>
      <w:r>
        <w:t xml:space="preserve"> (ADF, PP, KPSS, decisión cruzada) → log-precios I(1),</w:t>
      </w:r>
    </w:p>
    <w:p>
      <w:r>
        <w:t>retornos I(0). Mezcla I(0)/I(1) sin I(2).</w:t>
      </w:r>
    </w:p>
    <w:p>
      <w:pPr>
        <w:pStyle w:val="ListNumber"/>
      </w:pPr>
      <w:r/>
      <w:r>
        <w:rPr>
          <w:b/>
        </w:rPr>
        <w:t>Impacto contemporáneo de corto plazo</w:t>
      </w:r>
      <w:r>
        <w:t xml:space="preserve"> → regresión OLS con errores **HAC</w:t>
      </w:r>
    </w:p>
    <w:p>
      <w:r>
        <w:t>(Newey-West)**, con batería de diagnósticos (Breusch-Godfrey, Breusch-Pagan,</w:t>
      </w:r>
    </w:p>
    <w:p>
      <w:r>
        <w:t>White, ARCH-LM, VIF, Jarque-Bera, Ljung-Box).</w:t>
      </w:r>
    </w:p>
    <w:p>
      <w:pPr>
        <w:pStyle w:val="ListNumber"/>
      </w:pPr>
      <w:r/>
      <w:r>
        <w:rPr>
          <w:b/>
        </w:rPr>
        <w:t>Dinámica conjunta</w:t>
      </w:r>
      <w:r>
        <w:t xml:space="preserve"> → </w:t>
      </w:r>
      <w:r>
        <w:rPr>
          <w:b/>
        </w:rPr>
        <w:t>VAR</w:t>
      </w:r>
      <w:r>
        <w:t xml:space="preserve"> en retornos; funciones impulso-respuesta (IRF),</w:t>
      </w:r>
    </w:p>
    <w:p>
      <w:r>
        <w:t>descomposición de varianza (FEVD) y causalidad de Granger.</w:t>
      </w:r>
    </w:p>
    <w:p>
      <w:pPr>
        <w:pStyle w:val="ListNumber"/>
      </w:pPr>
      <w:r/>
      <w:r>
        <w:rPr>
          <w:b/>
        </w:rPr>
        <w:t>Largo plazo</w:t>
      </w:r>
      <w:r>
        <w:t xml:space="preserve"> → </w:t>
      </w:r>
      <w:r>
        <w:rPr>
          <w:b/>
        </w:rPr>
        <w:t>cointegración de Johansen</w:t>
      </w:r>
      <w:r>
        <w:t xml:space="preserve"> (rango) y </w:t>
      </w:r>
      <w:r>
        <w:rPr>
          <w:b/>
        </w:rPr>
        <w:t>VECM</w:t>
      </w:r>
      <w:r>
        <w:t xml:space="preserve"> (vector de</w:t>
      </w:r>
    </w:p>
    <w:p>
      <w:r>
        <w:t xml:space="preserve">cointegración + velocidad de ajuste). Robustez con </w:t>
      </w:r>
      <w:r>
        <w:rPr>
          <w:b/>
        </w:rPr>
        <w:t>ARDL bounds</w:t>
      </w:r>
      <w:r>
        <w:t xml:space="preserve"> (PSS, 2001).</w:t>
      </w:r>
    </w:p>
    <w:p>
      <w:pPr>
        <w:pStyle w:val="ListNumber"/>
      </w:pPr>
      <w:r/>
      <w:r>
        <w:rPr>
          <w:b/>
        </w:rPr>
        <w:t>Volatilidad</w:t>
      </w:r>
      <w:r>
        <w:t xml:space="preserve"> → familia </w:t>
      </w:r>
      <w:r>
        <w:rPr>
          <w:b/>
        </w:rPr>
        <w:t>GARCH</w:t>
      </w:r>
      <w:r>
        <w:t xml:space="preserve"> (GARCH, EGARCH, GJR) con distribución</w:t>
      </w:r>
    </w:p>
    <w:p>
      <w:r>
        <w:t>t-Student; persistencia y efecto apalancamiento.</w:t>
      </w:r>
    </w:p>
    <w:p>
      <w:pPr>
        <w:pStyle w:val="ListNumber"/>
      </w:pPr>
      <w:r/>
      <w:r>
        <w:rPr>
          <w:b/>
        </w:rPr>
        <w:t>Panel</w:t>
      </w:r>
      <w:r>
        <w:t xml:space="preserve"> (anillos A+B) → Pooled/FE/RE con test de Hausman; errores agrupados</w:t>
      </w:r>
    </w:p>
    <w:p>
      <w:r>
        <w:t>por empresa. Se advierte sobre N pequeño (=4) y la inviabilidad de GMM dinámico.</w:t>
      </w:r>
    </w:p>
    <w:p>
      <w:pPr>
        <w:pStyle w:val="ListNumber"/>
      </w:pPr>
      <w:r/>
      <w:r>
        <w:rPr>
          <w:b/>
        </w:rPr>
        <w:t>Robustez</w:t>
      </w:r>
      <w:r>
        <w:t xml:space="preserve"> → quiebres (Zivot-Andrews) y estabilidad por submuestras</w:t>
      </w:r>
    </w:p>
    <w:p>
      <w:r>
        <w:t>(crisis 2008, supraciclo, 2015-19, COVID+).</w:t>
      </w:r>
    </w:p>
    <w:p>
      <w:r/>
      <w:r>
        <w:rPr>
          <w:b/>
        </w:rPr>
        <w:t>Hipótesis principales.</w:t>
      </w:r>
      <w:r>
        <w:t xml:space="preserve"> H1: el cobre tiene impacto positivo y significativo</w:t>
      </w:r>
    </w:p>
    <w:p>
      <w:r>
        <w:t>sobre los retornos mineros. H2: la sensibilidad al cobre es heterogénea y depende</w:t>
      </w:r>
    </w:p>
    <w:p>
      <w:r>
        <w:t>de la liquidez del activo. H3: existe una relación de largo plazo (cointegración)</w:t>
      </w:r>
    </w:p>
    <w:p>
      <w:r>
        <w:t>entre el precio de la acción y el cobre/moneda. H4: la volatilidad presenta</w:t>
      </w:r>
    </w:p>
    <w:p>
      <w:r>
        <w:t>persistencia alta y efecto apalancamiento.</w:t>
      </w:r>
    </w:p>
    <w:p>
      <w:pPr>
        <w:pStyle w:val="Heading2"/>
      </w:pPr>
      <w:r>
        <w:t>6. Resultados</w:t>
      </w:r>
    </w:p>
    <w:p>
      <w:pPr>
        <w:pStyle w:val="Heading3"/>
      </w:pPr>
      <w:r>
        <w:t>6.1 Estadística descriptiva (outputs/tables/descriptivos_retornos.csv)</w:t>
      </w:r>
    </w:p>
    <w:p>
      <w:r>
        <w:t>Log-retornos diarios (%), 2004–2026: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asimetría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curtosis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Jarque-Bera</w:t>
            </w:r>
          </w:p>
        </w:tc>
      </w:tr>
      <w:tr>
        <w:tc>
          <w:tcPr>
            <w:tcW w:type="dxa" w:w="1440"/>
          </w:tcPr>
          <w:p>
            <w:r>
              <w:t>ANTO.L</w:t>
            </w:r>
          </w:p>
        </w:tc>
        <w:tc>
          <w:tcPr>
            <w:tcW w:type="dxa" w:w="1440"/>
          </w:tcPr>
          <w:p>
            <w:r>
              <w:t>0.051</w:t>
            </w:r>
          </w:p>
        </w:tc>
        <w:tc>
          <w:tcPr>
            <w:tcW w:type="dxa" w:w="1440"/>
          </w:tcPr>
          <w:p>
            <w:r>
              <w:t>2.65</w:t>
            </w:r>
          </w:p>
        </w:tc>
        <w:tc>
          <w:tcPr>
            <w:tcW w:type="dxa" w:w="1440"/>
          </w:tcPr>
          <w:p>
            <w:r>
              <w:t>0.09</w:t>
            </w:r>
          </w:p>
        </w:tc>
        <w:tc>
          <w:tcPr>
            <w:tcW w:type="dxa" w:w="1440"/>
          </w:tcPr>
          <w:p>
            <w:r>
              <w:t>4.15</w:t>
            </w:r>
          </w:p>
        </w:tc>
        <w:tc>
          <w:tcPr>
            <w:tcW w:type="dxa" w:w="1440"/>
          </w:tcPr>
          <w:p>
            <w:r>
              <w:t>rechaza normalidad</w:t>
            </w:r>
          </w:p>
        </w:tc>
      </w:tr>
      <w:tr>
        <w:tc>
          <w:tcPr>
            <w:tcW w:type="dxa" w:w="1440"/>
          </w:tcPr>
          <w:p>
            <w:r>
              <w:t>PUCOBRE.SN</w:t>
            </w:r>
          </w:p>
        </w:tc>
        <w:tc>
          <w:tcPr>
            <w:tcW w:type="dxa" w:w="1440"/>
          </w:tcPr>
          <w:p>
            <w:r>
              <w:t>0.053</w:t>
            </w:r>
          </w:p>
        </w:tc>
        <w:tc>
          <w:tcPr>
            <w:tcW w:type="dxa" w:w="1440"/>
          </w:tcPr>
          <w:p>
            <w:r>
              <w:t>1.44</w:t>
            </w:r>
          </w:p>
        </w:tc>
        <w:tc>
          <w:tcPr>
            <w:tcW w:type="dxa" w:w="1440"/>
          </w:tcPr>
          <w:p>
            <w:r>
              <w:t>1.50</w:t>
            </w:r>
          </w:p>
        </w:tc>
        <w:tc>
          <w:tcPr>
            <w:tcW w:type="dxa" w:w="1440"/>
          </w:tcPr>
          <w:p>
            <w:r>
              <w:t>35.5</w:t>
            </w:r>
          </w:p>
        </w:tc>
        <w:tc>
          <w:tcPr>
            <w:tcW w:type="dxa" w:w="1440"/>
          </w:tcPr>
          <w:p>
            <w:r>
              <w:t>rechaza normalidad</w:t>
            </w:r>
          </w:p>
        </w:tc>
      </w:tr>
      <w:tr>
        <w:tc>
          <w:tcPr>
            <w:tcW w:type="dxa" w:w="1440"/>
          </w:tcPr>
          <w:p>
            <w:r>
              <w:t>CAP.SN</w:t>
            </w:r>
          </w:p>
        </w:tc>
        <w:tc>
          <w:tcPr>
            <w:tcW w:type="dxa" w:w="1440"/>
          </w:tcPr>
          <w:p>
            <w:r>
              <w:t>0.044</w:t>
            </w:r>
          </w:p>
        </w:tc>
        <w:tc>
          <w:tcPr>
            <w:tcW w:type="dxa" w:w="1440"/>
          </w:tcPr>
          <w:p>
            <w:r>
              <w:t>2.47</w:t>
            </w:r>
          </w:p>
        </w:tc>
        <w:tc>
          <w:tcPr>
            <w:tcW w:type="dxa" w:w="1440"/>
          </w:tcPr>
          <w:p>
            <w:r>
              <w:t>−0.13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  <w:tc>
          <w:tcPr>
            <w:tcW w:type="dxa" w:w="1440"/>
          </w:tcPr>
          <w:p>
            <w:r>
              <w:t>rechaza normalidad</w:t>
            </w:r>
          </w:p>
        </w:tc>
      </w:tr>
      <w:tr>
        <w:tc>
          <w:tcPr>
            <w:tcW w:type="dxa" w:w="1440"/>
          </w:tcPr>
          <w:p>
            <w:r>
              <w:t>SQM-B.SN</w:t>
            </w:r>
          </w:p>
        </w:tc>
        <w:tc>
          <w:tcPr>
            <w:tcW w:type="dxa" w:w="1440"/>
          </w:tcPr>
          <w:p>
            <w:r>
              <w:t>0.067</w:t>
            </w:r>
          </w:p>
        </w:tc>
        <w:tc>
          <w:tcPr>
            <w:tcW w:type="dxa" w:w="1440"/>
          </w:tcPr>
          <w:p>
            <w:r>
              <w:t>2.32</w:t>
            </w:r>
          </w:p>
        </w:tc>
        <w:tc>
          <w:tcPr>
            <w:tcW w:type="dxa" w:w="1440"/>
          </w:tcPr>
          <w:p>
            <w:r>
              <w:t>−0.19</w:t>
            </w:r>
          </w:p>
        </w:tc>
        <w:tc>
          <w:tcPr>
            <w:tcW w:type="dxa" w:w="1440"/>
          </w:tcPr>
          <w:p>
            <w:r>
              <w:t>6.67</w:t>
            </w:r>
          </w:p>
        </w:tc>
        <w:tc>
          <w:tcPr>
            <w:tcW w:type="dxa" w:w="1440"/>
          </w:tcPr>
          <w:p>
            <w:r>
              <w:t>rechaza normalidad</w:t>
            </w:r>
          </w:p>
        </w:tc>
      </w:tr>
    </w:tbl>
    <w:p/>
    <w:p>
      <w:r>
        <w:t xml:space="preserve">Todas las series exhiben </w:t>
      </w:r>
      <w:r>
        <w:rPr>
          <w:b/>
        </w:rPr>
        <w:t>exceso de curtosis</w:t>
      </w:r>
      <w:r>
        <w:t xml:space="preserve"> (colas pesadas) y no-normalidad</w:t>
      </w:r>
    </w:p>
    <w:p>
      <w:r>
        <w:t>(Jarque-Bera, p&lt;0.001). Pucobre destaca por curtosis extrema (35.5) y asimetría</w:t>
      </w:r>
    </w:p>
    <w:p>
      <w:r>
        <w:t xml:space="preserve">positiva (1.5), señal de </w:t>
      </w:r>
      <w:r>
        <w:rPr>
          <w:b/>
        </w:rPr>
        <w:t>thin trading</w:t>
      </w:r>
      <w:r>
        <w:t>/iliquidez (saltos esporádicos sobre días</w:t>
      </w:r>
    </w:p>
    <w:p>
      <w:r>
        <w:t>de baja transacción).</w:t>
      </w:r>
    </w:p>
    <w:p>
      <w:pPr>
        <w:pStyle w:val="Heading3"/>
      </w:pPr>
      <w:r>
        <w:t>6.2 Estacionariedad y cointegración</w:t>
      </w:r>
    </w:p>
    <w:p>
      <w:pPr>
        <w:pStyle w:val="ListBullet"/>
      </w:pPr>
      <w:r/>
      <w:r>
        <w:rPr>
          <w:b/>
        </w:rPr>
        <w:t>ADF/PP/KPSS</w:t>
      </w:r>
      <w:r>
        <w:t xml:space="preserve"> (decisión cruzada, estacionariedad.csv): log-precios </w:t>
      </w:r>
      <w:r>
        <w:rPr>
          <w:b/>
        </w:rPr>
        <w:t>I(1)</w:t>
      </w:r>
      <w:r>
        <w:t>,</w:t>
      </w:r>
    </w:p>
    <w:p>
      <w:r>
        <w:t xml:space="preserve">retornos y diferencias </w:t>
      </w:r>
      <w:r>
        <w:rPr>
          <w:b/>
        </w:rPr>
        <w:t>I(0)</w:t>
      </w:r>
      <w:r>
        <w:t xml:space="preserve">. Confirmado por </w:t>
      </w:r>
      <w:r>
        <w:rPr>
          <w:b/>
        </w:rPr>
        <w:t>Zivot-Andrews</w:t>
      </w:r>
      <w:r>
        <w:t xml:space="preserve"> (no se rechaza</w:t>
      </w:r>
    </w:p>
    <w:p>
      <w:r>
        <w:t>raíz unitaria ni con quiebre endógeno: ANTO p≈0.62, PUCOBRE p≈0.99).</w:t>
      </w:r>
    </w:p>
    <w:p>
      <w:pPr>
        <w:pStyle w:val="ListBullet"/>
      </w:pPr>
      <w:r/>
      <w:r>
        <w:rPr>
          <w:b/>
        </w:rPr>
        <w:t>Engle-Granger bivariado</w:t>
      </w:r>
      <w:r>
        <w:t xml:space="preserve"> (activo~cobre): cointegración débil/ausente (sólo el</w:t>
      </w:r>
    </w:p>
    <w:p>
      <w:r>
        <w:t>cobre no basta).</w:t>
      </w:r>
    </w:p>
    <w:p>
      <w:pPr>
        <w:pStyle w:val="ListBullet"/>
      </w:pPr>
      <w:r/>
      <w:r>
        <w:rPr>
          <w:b/>
        </w:rPr>
        <w:t>Johansen multivariante</w:t>
      </w:r>
      <w:r>
        <w:t xml:space="preserve"> [log-precio, cobre, USDCLP, DXY]: </w:t>
      </w:r>
      <w:r>
        <w:rPr>
          <w:b/>
        </w:rPr>
        <w:t>rango r = 1</w:t>
      </w:r>
      <w:r/>
    </w:p>
    <w:p>
      <w:r>
        <w:t xml:space="preserve">para ANTO y PUCOBRE → existe </w:t>
      </w:r>
      <w:r>
        <w:rPr>
          <w:b/>
        </w:rPr>
        <w:t>una</w:t>
      </w:r>
      <w:r>
        <w:t xml:space="preserve"> relación de equilibrio de largo plazo.</w:t>
      </w:r>
    </w:p>
    <w:p>
      <w:pPr>
        <w:pStyle w:val="Heading3"/>
      </w:pPr>
      <w:r>
        <w:t>6.3 Impacto contemporáneo (regresión HAC) — hac_coeficientes.csv</w:t>
      </w:r>
    </w:p>
    <w:p>
      <w:r/>
      <w:r>
        <w:rPr>
          <w:b/>
        </w:rPr>
        <w:t>Beta-cobre</w:t>
      </w:r>
      <w:r>
        <w:t xml:space="preserve"> (efecto de +1% en el cobre sobre el retorno diario, %):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β-cobre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R²</w:t>
            </w:r>
          </w:p>
        </w:tc>
      </w:tr>
      <w:tr>
        <w:tc>
          <w:tcPr>
            <w:tcW w:type="dxa" w:w="2160"/>
          </w:tcPr>
          <w:p>
            <w:r>
              <w:t>ANTO.L</w:t>
            </w:r>
          </w:p>
        </w:tc>
        <w:tc>
          <w:tcPr>
            <w:tcW w:type="dxa" w:w="2160"/>
          </w:tcPr>
          <w:p>
            <w:r>
              <w:t>0.701</w:t>
            </w:r>
          </w:p>
        </w:tc>
        <w:tc>
          <w:tcPr>
            <w:tcW w:type="dxa" w:w="2160"/>
          </w:tcPr>
          <w:p>
            <w:r>
              <w:t>15.4</w:t>
            </w:r>
          </w:p>
        </w:tc>
        <w:tc>
          <w:tcPr>
            <w:tcW w:type="dxa" w:w="2160"/>
          </w:tcPr>
          <w:p>
            <w:r>
              <w:t>0.42</w:t>
            </w:r>
          </w:p>
        </w:tc>
      </w:tr>
      <w:tr>
        <w:tc>
          <w:tcPr>
            <w:tcW w:type="dxa" w:w="2160"/>
          </w:tcPr>
          <w:p>
            <w:r>
              <w:t>PUCOBRE.SN</w:t>
            </w:r>
          </w:p>
        </w:tc>
        <w:tc>
          <w:tcPr>
            <w:tcW w:type="dxa" w:w="2160"/>
          </w:tcPr>
          <w:p>
            <w:r>
              <w:t>0.085</w:t>
            </w:r>
          </w:p>
        </w:tc>
        <w:tc>
          <w:tcPr>
            <w:tcW w:type="dxa" w:w="2160"/>
          </w:tcPr>
          <w:p>
            <w:r>
              <w:t>4.4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</w:tr>
      <w:tr>
        <w:tc>
          <w:tcPr>
            <w:tcW w:type="dxa" w:w="2160"/>
          </w:tcPr>
          <w:p>
            <w:r>
              <w:t>CAP.SN</w:t>
            </w:r>
          </w:p>
        </w:tc>
        <w:tc>
          <w:tcPr>
            <w:tcW w:type="dxa" w:w="2160"/>
          </w:tcPr>
          <w:p>
            <w:r>
              <w:t>0.151</w:t>
            </w:r>
          </w:p>
        </w:tc>
        <w:tc>
          <w:tcPr>
            <w:tcW w:type="dxa" w:w="2160"/>
          </w:tcPr>
          <w:p>
            <w:r>
              <w:t>5.7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</w:tr>
      <w:tr>
        <w:tc>
          <w:tcPr>
            <w:tcW w:type="dxa" w:w="2160"/>
          </w:tcPr>
          <w:p>
            <w:r>
              <w:t>SQM-B.SN</w:t>
            </w:r>
          </w:p>
        </w:tc>
        <w:tc>
          <w:tcPr>
            <w:tcW w:type="dxa" w:w="2160"/>
          </w:tcPr>
          <w:p>
            <w:r>
              <w:t>0.109</w:t>
            </w:r>
          </w:p>
        </w:tc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</w:tr>
      <w:tr>
        <w:tc>
          <w:tcPr>
            <w:tcW w:type="dxa" w:w="2160"/>
          </w:tcPr>
          <w:p>
            <w:r>
              <w:t>SCCO</w:t>
            </w:r>
          </w:p>
        </w:tc>
        <w:tc>
          <w:tcPr>
            <w:tcW w:type="dxa" w:w="2160"/>
          </w:tcPr>
          <w:p>
            <w:r>
              <w:t>0.487</w:t>
            </w:r>
          </w:p>
        </w:tc>
        <w:tc>
          <w:tcPr>
            <w:tcW w:type="dxa" w:w="2160"/>
          </w:tcPr>
          <w:p>
            <w:r>
              <w:t>9.6</w:t>
            </w:r>
          </w:p>
        </w:tc>
        <w:tc>
          <w:tcPr>
            <w:tcW w:type="dxa" w:w="2160"/>
          </w:tcPr>
          <w:p>
            <w:r>
              <w:t>0.58</w:t>
            </w:r>
          </w:p>
        </w:tc>
      </w:tr>
      <w:tr>
        <w:tc>
          <w:tcPr>
            <w:tcW w:type="dxa" w:w="2160"/>
          </w:tcPr>
          <w:p>
            <w:r>
              <w:t>FCX</w:t>
            </w:r>
          </w:p>
        </w:tc>
        <w:tc>
          <w:tcPr>
            <w:tcW w:type="dxa" w:w="2160"/>
          </w:tcPr>
          <w:p>
            <w:r>
              <w:t>0.627</w:t>
            </w:r>
          </w:p>
        </w:tc>
        <w:tc>
          <w:tcPr>
            <w:tcW w:type="dxa" w:w="2160"/>
          </w:tcPr>
          <w:p>
            <w:r>
              <w:t>10.3</w:t>
            </w:r>
          </w:p>
        </w:tc>
        <w:tc>
          <w:tcPr>
            <w:tcW w:type="dxa" w:w="2160"/>
          </w:tcPr>
          <w:p>
            <w:r>
              <w:t>0.53</w:t>
            </w:r>
          </w:p>
        </w:tc>
      </w:tr>
      <w:tr>
        <w:tc>
          <w:tcPr>
            <w:tcW w:type="dxa" w:w="2160"/>
          </w:tcPr>
          <w:p>
            <w:r>
              <w:t>BHP</w:t>
            </w:r>
          </w:p>
        </w:tc>
        <w:tc>
          <w:tcPr>
            <w:tcW w:type="dxa" w:w="2160"/>
          </w:tcPr>
          <w:p>
            <w:r>
              <w:t>0.316</w:t>
            </w:r>
          </w:p>
        </w:tc>
        <w:tc>
          <w:tcPr>
            <w:tcW w:type="dxa" w:w="2160"/>
          </w:tcPr>
          <w:p>
            <w:r>
              <w:t>10.7</w:t>
            </w:r>
          </w:p>
        </w:tc>
        <w:tc>
          <w:tcPr>
            <w:tcW w:type="dxa" w:w="2160"/>
          </w:tcPr>
          <w:p>
            <w:r>
              <w:t>0.60</w:t>
            </w:r>
          </w:p>
        </w:tc>
      </w:tr>
      <w:tr>
        <w:tc>
          <w:tcPr>
            <w:tcW w:type="dxa" w:w="2160"/>
          </w:tcPr>
          <w:p>
            <w:r>
              <w:t>GLEN.L</w:t>
            </w:r>
          </w:p>
        </w:tc>
        <w:tc>
          <w:tcPr>
            <w:tcW w:type="dxa" w:w="2160"/>
          </w:tcPr>
          <w:p>
            <w:r>
              <w:t>0.582</w:t>
            </w:r>
          </w:p>
        </w:tc>
        <w:tc>
          <w:tcPr>
            <w:tcW w:type="dxa" w:w="2160"/>
          </w:tcPr>
          <w:p>
            <w:r>
              <w:t>9.8</w:t>
            </w:r>
          </w:p>
        </w:tc>
        <w:tc>
          <w:tcPr>
            <w:tcW w:type="dxa" w:w="2160"/>
          </w:tcPr>
          <w:p>
            <w:r>
              <w:t>0.29</w:t>
            </w:r>
          </w:p>
        </w:tc>
      </w:tr>
    </w:tbl>
    <w:p/>
    <w:p>
      <w:r>
        <w:t>Para Antofagasta, además del cobre, son significativos el DXY (≈ −0.35; dólar</w:t>
      </w:r>
    </w:p>
    <w:p>
      <w:r>
        <w:t>arriba → acción abajo), el mercado (S&amp;P y proxy local) y el cambio en la tasa</w:t>
      </w:r>
    </w:p>
    <w:p>
      <w:r>
        <w:t xml:space="preserve">UST10Y. Para Pucobre, </w:t>
      </w:r>
      <w:r>
        <w:rPr>
          <w:b/>
        </w:rPr>
        <w:t>sólo el mercado local y (débilmente) el cobre</w:t>
      </w:r>
      <w:r>
        <w:t xml:space="preserve"> son</w:t>
      </w:r>
    </w:p>
    <w:p>
      <w:r>
        <w:t>significativos, con un R² de apenas 0.04: el retorno de Pucobre es mayoritariamente</w:t>
      </w:r>
    </w:p>
    <w:p>
      <w:r/>
      <w:r>
        <w:rPr>
          <w:b/>
        </w:rPr>
        <w:t>idiosincrásico/ilíquido</w:t>
      </w:r>
      <w:r>
        <w:t xml:space="preserve"> en el día a día. </w:t>
      </w:r>
      <w:r>
        <w:rPr>
          <w:b/>
        </w:rPr>
        <w:t>Diagnósticos</w:t>
      </w:r>
      <w:r>
        <w:t xml:space="preserve"> (hac_diagnosticos.csv):</w:t>
      </w:r>
    </w:p>
    <w:p>
      <w:r>
        <w:t>efectos ARCH significativos en todos los activos (justifica GARCH); autocorrelación</w:t>
      </w:r>
    </w:p>
    <w:p>
      <w:r>
        <w:t>(justifica HAC); no-normalidad de residuos. VIF máx ≈ 3.5 (sin colinealidad severa).</w:t>
      </w:r>
    </w:p>
    <w:p>
      <w:r>
        <w:t xml:space="preserve">→ </w:t>
      </w:r>
      <w:r>
        <w:rPr>
          <w:b/>
        </w:rPr>
        <w:t>H1 se sostiene</w:t>
      </w:r>
      <w:r>
        <w:t xml:space="preserve"> (cobre positivo y significativo en todos). **H2 se sostiene</w:t>
      </w:r>
    </w:p>
    <w:p>
      <w:r>
        <w:t>con fuerza*: la sensibilidad depende de la liquidez (0.70 en el pure-play*</w:t>
      </w:r>
    </w:p>
    <w:p>
      <w:r>
        <w:t>líquido vs 0.085 en el local ilíquido).</w:t>
      </w:r>
    </w:p>
    <w:p>
      <w:pPr>
        <w:pStyle w:val="Heading3"/>
      </w:pPr>
      <w:r>
        <w:t>6.4 Dinámica (VAR, IRF, FEVD, Granger) — var_resumen.csv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FEVD cobre (1d)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FEVD cobre (20d)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IRF acum. 5d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Granger cobre→activo</w:t>
            </w:r>
          </w:p>
        </w:tc>
      </w:tr>
      <w:tr>
        <w:tc>
          <w:tcPr>
            <w:tcW w:type="dxa" w:w="1728"/>
          </w:tcPr>
          <w:p>
            <w:r>
              <w:t>ANTO.L</w:t>
            </w:r>
          </w:p>
        </w:tc>
        <w:tc>
          <w:tcPr>
            <w:tcW w:type="dxa" w:w="1728"/>
          </w:tcPr>
          <w:p>
            <w:r>
              <w:t>28.7%</w:t>
            </w:r>
          </w:p>
        </w:tc>
        <w:tc>
          <w:tcPr>
            <w:tcW w:type="dxa" w:w="1728"/>
          </w:tcPr>
          <w:p>
            <w:r>
              <w:t>27.8%</w:t>
            </w:r>
          </w:p>
        </w:tc>
        <w:tc>
          <w:tcPr>
            <w:tcW w:type="dxa" w:w="1728"/>
          </w:tcPr>
          <w:p>
            <w:r>
              <w:t>0.091</w:t>
            </w:r>
          </w:p>
        </w:tc>
        <w:tc>
          <w:tcPr>
            <w:tcW w:type="dxa" w:w="1728"/>
          </w:tcPr>
          <w:p>
            <w:r>
              <w:t>p=0.008 (sí)</w:t>
            </w:r>
          </w:p>
        </w:tc>
      </w:tr>
      <w:tr>
        <w:tc>
          <w:tcPr>
            <w:tcW w:type="dxa" w:w="1728"/>
          </w:tcPr>
          <w:p>
            <w:r>
              <w:t>PUCOBRE.SN</w:t>
            </w:r>
          </w:p>
        </w:tc>
        <w:tc>
          <w:tcPr>
            <w:tcW w:type="dxa" w:w="1728"/>
          </w:tcPr>
          <w:p>
            <w:r>
              <w:t>2.0%</w:t>
            </w:r>
          </w:p>
        </w:tc>
        <w:tc>
          <w:tcPr>
            <w:tcW w:type="dxa" w:w="1728"/>
          </w:tcPr>
          <w:p>
            <w:r>
              <w:t>4.3%</w:t>
            </w:r>
          </w:p>
        </w:tc>
        <w:tc>
          <w:tcPr>
            <w:tcW w:type="dxa" w:w="1728"/>
          </w:tcPr>
          <w:p>
            <w:r>
              <w:t>0.196</w:t>
            </w:r>
          </w:p>
        </w:tc>
        <w:tc>
          <w:tcPr>
            <w:tcW w:type="dxa" w:w="1728"/>
          </w:tcPr>
          <w:p>
            <w:r>
              <w:t>p&lt;0.001 (sí)</w:t>
            </w:r>
          </w:p>
        </w:tc>
      </w:tr>
    </w:tbl>
    <w:p/>
    <w:p>
      <w:r>
        <w:t>Clave: en Pucobre la respuesta **acumulada a 5 días (0.196) es ~4× la del primer</w:t>
      </w:r>
    </w:p>
    <w:p>
      <w:r>
        <w:t>día (0.043)**, y la FEVD del cobre crece de 2% a 4.3% entre 1 y 20 días. Es decir,</w:t>
      </w:r>
    </w:p>
    <w:p>
      <w:r>
        <w:t xml:space="preserve">el cobre </w:t>
      </w:r>
      <w:r>
        <w:rPr>
          <w:b/>
        </w:rPr>
        <w:t>sí causa</w:t>
      </w:r>
      <w:r>
        <w:t xml:space="preserve"> los retornos de Pucobre (Granger p&lt;0.001), pero el efecto se</w:t>
      </w:r>
    </w:p>
    <w:p>
      <w:r/>
      <w:r>
        <w:rPr>
          <w:b/>
        </w:rPr>
        <w:t>difiere</w:t>
      </w:r>
      <w:r>
        <w:t xml:space="preserve"> en el tiempo en lugar de impactar contemporáneamente — consistente con</w:t>
      </w:r>
    </w:p>
    <w:p>
      <w:r>
        <w:t>descubrimiento de precios lento por iliquidez.</w:t>
      </w:r>
    </w:p>
    <w:p>
      <w:pPr>
        <w:pStyle w:val="Heading3"/>
      </w:pPr>
      <w:r>
        <w:t>6.5 Largo plazo (VECM) — vecm_resumen.csv</w:t>
      </w:r>
    </w:p>
    <w:p>
      <w:r>
        <w:t>Vector de cointegración (r=1), elasticidades del log-precio: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elast. cobre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elast. USDCLP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elast. DXY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velocidad ajuste α</w:t>
            </w:r>
          </w:p>
        </w:tc>
      </w:tr>
      <w:tr>
        <w:tc>
          <w:tcPr>
            <w:tcW w:type="dxa" w:w="1728"/>
          </w:tcPr>
          <w:p>
            <w:r>
              <w:t>ANTO.L</w:t>
            </w:r>
          </w:p>
        </w:tc>
        <w:tc>
          <w:tcPr>
            <w:tcW w:type="dxa" w:w="1728"/>
          </w:tcPr>
          <w:p>
            <w:r>
              <w:t>0.860</w:t>
            </w:r>
          </w:p>
        </w:tc>
        <w:tc>
          <w:tcPr>
            <w:tcW w:type="dxa" w:w="1728"/>
          </w:tcPr>
          <w:p>
            <w:r>
              <w:t>6.63</w:t>
            </w:r>
          </w:p>
        </w:tc>
        <w:tc>
          <w:tcPr>
            <w:tcW w:type="dxa" w:w="1728"/>
          </w:tcPr>
          <w:p>
            <w:r>
              <w:t>−11.80</w:t>
            </w:r>
          </w:p>
        </w:tc>
        <w:tc>
          <w:tcPr>
            <w:tcW w:type="dxa" w:w="1728"/>
          </w:tcPr>
          <w:p>
            <w:r>
              <w:t>−0.0008</w:t>
            </w:r>
          </w:p>
        </w:tc>
      </w:tr>
      <w:tr>
        <w:tc>
          <w:tcPr>
            <w:tcW w:type="dxa" w:w="1728"/>
          </w:tcPr>
          <w:p>
            <w:r>
              <w:t>PUCOBRE.SN</w:t>
            </w:r>
          </w:p>
        </w:tc>
        <w:tc>
          <w:tcPr>
            <w:tcW w:type="dxa" w:w="1728"/>
          </w:tcPr>
          <w:p>
            <w:r>
              <w:t>0.753</w:t>
            </w:r>
          </w:p>
        </w:tc>
        <w:tc>
          <w:tcPr>
            <w:tcW w:type="dxa" w:w="1728"/>
          </w:tcPr>
          <w:p>
            <w:r>
              <w:t>4.82</w:t>
            </w:r>
          </w:p>
        </w:tc>
        <w:tc>
          <w:tcPr>
            <w:tcW w:type="dxa" w:w="1728"/>
          </w:tcPr>
          <w:p>
            <w:r>
              <w:t>−7.96</w:t>
            </w:r>
          </w:p>
        </w:tc>
        <w:tc>
          <w:tcPr>
            <w:tcW w:type="dxa" w:w="1728"/>
          </w:tcPr>
          <w:p>
            <w:r>
              <w:t>−0.0004</w:t>
            </w:r>
          </w:p>
        </w:tc>
      </w:tr>
    </w:tbl>
    <w:p/>
    <w:p>
      <w:r>
        <w:t xml:space="preserve">En el </w:t>
      </w:r>
      <w:r>
        <w:rPr>
          <w:b/>
        </w:rPr>
        <w:t>largo plazo</w:t>
      </w:r>
      <w:r>
        <w:t>, una subida de 1% en el cobre se asocia a ~0.75–0.86% más en</w:t>
      </w:r>
    </w:p>
    <w:p>
      <w:r>
        <w:t xml:space="preserve">el precio de la acción — y </w:t>
      </w:r>
      <w:r>
        <w:rPr>
          <w:b/>
        </w:rPr>
        <w:t>Pucobre (0.75) es comparable a Antofagasta (0.86)</w:t>
      </w:r>
      <w:r>
        <w:t>,</w:t>
      </w:r>
    </w:p>
    <w:p>
      <w:r>
        <w:t>en marcado contraste con su nula reacción contemporánea. La velocidad de ajuste α</w:t>
      </w:r>
    </w:p>
    <w:p>
      <w:r>
        <w:t xml:space="preserve">es negativa (corrige desequilibrios) pero muy pequeña → </w:t>
      </w:r>
      <w:r>
        <w:rPr>
          <w:b/>
        </w:rPr>
        <w:t>ajuste lento</w:t>
      </w:r>
      <w:r>
        <w:t>. Cautela:</w:t>
      </w:r>
    </w:p>
    <w:p>
      <w:r>
        <w:t>los coeficientes grandes de USDCLP/DXY reflejan colinealidad entre ambas medidas</w:t>
      </w:r>
    </w:p>
    <w:p>
      <w:r>
        <w:t>del dólar; se interpretan con reserva.</w:t>
      </w:r>
    </w:p>
    <w:p>
      <w:r>
        <w:t xml:space="preserve">→ </w:t>
      </w:r>
      <w:r>
        <w:rPr>
          <w:b/>
        </w:rPr>
        <w:t>H3 se sostiene</w:t>
      </w:r>
      <w:r>
        <w:t xml:space="preserve"> (existe equilibrio de largo plazo cobre→valoración),</w:t>
      </w:r>
    </w:p>
    <w:p>
      <w:r>
        <w:t>con la matización del punto 6.7.</w:t>
      </w:r>
    </w:p>
    <w:p>
      <w:pPr>
        <w:pStyle w:val="Heading3"/>
      </w:pPr>
      <w:r>
        <w:t>6.6 Volatilidad (GARCH) — garch_resumen.csv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mejor modelo (AIC)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persistencia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efecto apalancamiento</w:t>
            </w:r>
          </w:p>
        </w:tc>
      </w:tr>
      <w:tr>
        <w:tc>
          <w:tcPr>
            <w:tcW w:type="dxa" w:w="2160"/>
          </w:tcPr>
          <w:p>
            <w:r>
              <w:t>ANTO.L</w:t>
            </w:r>
          </w:p>
        </w:tc>
        <w:tc>
          <w:tcPr>
            <w:tcW w:type="dxa" w:w="2160"/>
          </w:tcPr>
          <w:p>
            <w:r>
              <w:t>GJR-GARCH(1,1)</w:t>
            </w:r>
          </w:p>
        </w:tc>
        <w:tc>
          <w:tcPr>
            <w:tcW w:type="dxa" w:w="2160"/>
          </w:tcPr>
          <w:p>
            <w:r>
              <w:t>0.991</w:t>
            </w:r>
          </w:p>
        </w:tc>
        <w:tc>
          <w:tcPr>
            <w:tcW w:type="dxa" w:w="2160"/>
          </w:tcPr>
          <w:p>
            <w:r>
              <w:t>sí (γ&gt;0)</w:t>
            </w:r>
          </w:p>
        </w:tc>
      </w:tr>
      <w:tr>
        <w:tc>
          <w:tcPr>
            <w:tcW w:type="dxa" w:w="2160"/>
          </w:tcPr>
          <w:p>
            <w:r>
              <w:t>CAP.SN</w:t>
            </w:r>
          </w:p>
        </w:tc>
        <w:tc>
          <w:tcPr>
            <w:tcW w:type="dxa" w:w="2160"/>
          </w:tcPr>
          <w:p>
            <w:r>
              <w:t>GJR-GARCH(1,1)</w:t>
            </w:r>
          </w:p>
        </w:tc>
        <w:tc>
          <w:tcPr>
            <w:tcW w:type="dxa" w:w="2160"/>
          </w:tcPr>
          <w:p>
            <w:r>
              <w:t>0.995</w:t>
            </w:r>
          </w:p>
        </w:tc>
        <w:tc>
          <w:tcPr>
            <w:tcW w:type="dxa" w:w="2160"/>
          </w:tcPr>
          <w:p>
            <w:r>
              <w:t>sí (γ&gt;0)</w:t>
            </w:r>
          </w:p>
        </w:tc>
      </w:tr>
      <w:tr>
        <w:tc>
          <w:tcPr>
            <w:tcW w:type="dxa" w:w="2160"/>
          </w:tcPr>
          <w:p>
            <w:r>
              <w:t>SQM-B.SN</w:t>
            </w:r>
          </w:p>
        </w:tc>
        <w:tc>
          <w:tcPr>
            <w:tcW w:type="dxa" w:w="2160"/>
          </w:tcPr>
          <w:p>
            <w:r>
              <w:t>EGARCH(1,1)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sí (γ&lt;0 en EGARCH)</w:t>
            </w:r>
          </w:p>
        </w:tc>
      </w:tr>
      <w:tr>
        <w:tc>
          <w:tcPr>
            <w:tcW w:type="dxa" w:w="2160"/>
          </w:tcPr>
          <w:p>
            <w:r>
              <w:t>PUCOBRE.SN</w:t>
            </w:r>
          </w:p>
        </w:tc>
        <w:tc>
          <w:tcPr>
            <w:tcW w:type="dxa" w:w="2160"/>
          </w:tcPr>
          <w:p>
            <w:r>
              <w:t>inestable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no confiable</w:t>
            </w:r>
          </w:p>
        </w:tc>
      </w:tr>
    </w:tbl>
    <w:p/>
    <w:p>
      <w:r>
        <w:t xml:space="preserve">Persistencia de la volatilidad muy alta (≈0.99) y </w:t>
      </w:r>
      <w:r>
        <w:rPr>
          <w:b/>
        </w:rPr>
        <w:t>efecto apalancamiento</w:t>
      </w:r>
      <w:r/>
    </w:p>
    <w:p>
      <w:r>
        <w:t xml:space="preserve">confirmado (las caídas elevan más la volatilidad futura). </w:t>
      </w:r>
      <w:r>
        <w:rPr>
          <w:b/>
        </w:rPr>
        <w:t>Excepción honesta:</w:t>
      </w:r>
      <w:r/>
    </w:p>
    <w:p>
      <w:r>
        <w:t xml:space="preserve">en Pucobre los modelos GARCH son </w:t>
      </w:r>
      <w:r>
        <w:rPr>
          <w:b/>
        </w:rPr>
        <w:t>inestables</w:t>
      </w:r>
      <w:r>
        <w:t xml:space="preserve"> (soluciones de borde) debido a la</w:t>
      </w:r>
    </w:p>
    <w:p>
      <w:r>
        <w:t>iliquidez y los saltos extremos (curtosis 35.5); se recomienda filtrar días de</w:t>
      </w:r>
    </w:p>
    <w:p>
      <w:r>
        <w:t xml:space="preserve">retorno nulo o usar modelos con saltos. → </w:t>
      </w:r>
      <w:r>
        <w:rPr>
          <w:b/>
        </w:rPr>
        <w:t>H4 se sostiene</w:t>
      </w:r>
      <w:r>
        <w:t xml:space="preserve"> salvo en el activo</w:t>
      </w:r>
    </w:p>
    <w:p>
      <w:r>
        <w:t>ilíquido.</w:t>
      </w:r>
    </w:p>
    <w:p>
      <w:pPr>
        <w:pStyle w:val="Heading3"/>
      </w:pPr>
      <w:r>
        <w:t>6.7 Robustez</w:t>
      </w:r>
    </w:p>
    <w:p>
      <w:pPr>
        <w:pStyle w:val="ListBullet"/>
      </w:pPr>
      <w:r/>
      <w:r>
        <w:rPr>
          <w:b/>
        </w:rPr>
        <w:t>ARDL bounds (diario, k=3)</w:t>
      </w:r>
      <w:r>
        <w:t>: F=2.89 (ANTO) y 1.55 (PUCOBRE), **por debajo del</w:t>
      </w:r>
    </w:p>
    <w:p>
      <w:r>
        <w:t>crítico I(1)=4.35 → no confirma cointegración**, en contraste con Johansen. La</w:t>
      </w:r>
    </w:p>
    <w:p>
      <w:r>
        <w:t>explicación es la **baja potencia del test uniecuacional cuando la velocidad de</w:t>
      </w:r>
    </w:p>
    <w:p>
      <w:r>
        <w:t>ajuste es minúscula** (α≈−0.0008 en el VECM). Conclusión prudente: la evidencia</w:t>
      </w:r>
    </w:p>
    <w:p>
      <w:r>
        <w:t xml:space="preserve">de largo plazo es </w:t>
      </w:r>
      <w:r>
        <w:rPr>
          <w:b/>
        </w:rPr>
        <w:t>sugerente pero no unánime</w:t>
      </w:r>
      <w:r>
        <w:t>; se prioriza el VECM (basado en</w:t>
      </w:r>
    </w:p>
    <w:p>
      <w:r>
        <w:t>el sistema) y se declara como limitación.</w:t>
      </w:r>
    </w:p>
    <w:p>
      <w:pPr>
        <w:pStyle w:val="ListBullet"/>
      </w:pPr>
      <w:r/>
      <w:r>
        <w:rPr>
          <w:b/>
        </w:rPr>
        <w:t>Estabilidad de β-cobre por submuestras</w:t>
      </w:r>
      <w:r>
        <w:t xml:space="preserve"> (robustez_submuestras.csv):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Submuestra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ANTO β-cobre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PUCOBRE β-cobre</w:t>
            </w:r>
          </w:p>
        </w:tc>
      </w:tr>
      <w:tr>
        <w:tc>
          <w:tcPr>
            <w:tcW w:type="dxa" w:w="2880"/>
          </w:tcPr>
          <w:p>
            <w:r>
              <w:t>crisis 2008-09</w:t>
            </w:r>
          </w:p>
        </w:tc>
        <w:tc>
          <w:tcPr>
            <w:tcW w:type="dxa" w:w="2880"/>
          </w:tcPr>
          <w:p>
            <w:r>
              <w:t>0.60 (t=6.7)</w:t>
            </w:r>
          </w:p>
        </w:tc>
        <w:tc>
          <w:tcPr>
            <w:tcW w:type="dxa" w:w="2880"/>
          </w:tcPr>
          <w:p>
            <w:r>
              <w:t>0.08 (t=2.1)</w:t>
            </w:r>
          </w:p>
        </w:tc>
      </w:tr>
      <w:tr>
        <w:tc>
          <w:tcPr>
            <w:tcW w:type="dxa" w:w="2880"/>
          </w:tcPr>
          <w:p>
            <w:r>
              <w:t>supraciclo 2010-14</w:t>
            </w:r>
          </w:p>
        </w:tc>
        <w:tc>
          <w:tcPr>
            <w:tcW w:type="dxa" w:w="2880"/>
          </w:tcPr>
          <w:p>
            <w:r>
              <w:t>0.69 (t=16.9)</w:t>
            </w:r>
          </w:p>
        </w:tc>
        <w:tc>
          <w:tcPr>
            <w:tcW w:type="dxa" w:w="2880"/>
          </w:tcPr>
          <w:p>
            <w:r>
              <w:t>0.05 (t=1.3)</w:t>
            </w:r>
          </w:p>
        </w:tc>
      </w:tr>
      <w:tr>
        <w:tc>
          <w:tcPr>
            <w:tcW w:type="dxa" w:w="2880"/>
          </w:tcPr>
          <w:p>
            <w:r>
              <w:t>2015-19</w:t>
            </w:r>
          </w:p>
        </w:tc>
        <w:tc>
          <w:tcPr>
            <w:tcW w:type="dxa" w:w="2880"/>
          </w:tcPr>
          <w:p>
            <w:r>
              <w:t>0.90 (t=13.9)</w:t>
            </w:r>
          </w:p>
        </w:tc>
        <w:tc>
          <w:tcPr>
            <w:tcW w:type="dxa" w:w="2880"/>
          </w:tcPr>
          <w:p>
            <w:r>
              <w:t>0.01 (t=0.3)</w:t>
            </w:r>
          </w:p>
        </w:tc>
      </w:tr>
      <w:tr>
        <w:tc>
          <w:tcPr>
            <w:tcW w:type="dxa" w:w="2880"/>
          </w:tcPr>
          <w:p>
            <w:r>
              <w:t>COVID+ 2020-26</w:t>
            </w:r>
          </w:p>
        </w:tc>
        <w:tc>
          <w:tcPr>
            <w:tcW w:type="dxa" w:w="2880"/>
          </w:tcPr>
          <w:p>
            <w:r>
              <w:t>0.65 (t=8.1)</w:t>
            </w:r>
          </w:p>
        </w:tc>
        <w:tc>
          <w:tcPr>
            <w:tcW w:type="dxa" w:w="2880"/>
          </w:tcPr>
          <w:p>
            <w:r>
              <w:t>0.15 (t=4.2)</w:t>
            </w:r>
          </w:p>
        </w:tc>
      </w:tr>
    </w:tbl>
    <w:p/>
    <w:p>
      <w:r>
        <w:t xml:space="preserve">La sensibilidad de Antofagasta es </w:t>
      </w:r>
      <w:r>
        <w:rPr>
          <w:b/>
        </w:rPr>
        <w:t>estable y siempre significativa</w:t>
      </w:r>
      <w:r>
        <w:t>, con pico en</w:t>
      </w:r>
    </w:p>
    <w:p>
      <w:r>
        <w:t>2015-19. Pucobre es débil/no significativa salvo en COVID+, donde sube a 0.15</w:t>
      </w:r>
    </w:p>
    <w:p>
      <w:r>
        <w:t>(t=4.2): leve mejora de transmisión en el boom reciente del cobre.</w:t>
      </w:r>
    </w:p>
    <w:p>
      <w:pPr>
        <w:pStyle w:val="Heading3"/>
      </w:pPr>
      <w:r>
        <w:t>6.8 Panel sectorial (N=4) — panel_resultados.csv</w:t>
      </w:r>
    </w:p>
    <w:p>
      <w:r>
        <w:t>Impacto promedio del sector minería-materiales chileno (FE≈RE≈Pooled; Hausman no</w:t>
      </w:r>
    </w:p>
    <w:p>
      <w:r>
        <w:t>rechaza RE): β-cobre ≈ 0.205 (p=0.073, marginal con cluster en 4 entidades);</w:t>
      </w:r>
    </w:p>
    <w:p>
      <w:r/>
      <w:r>
        <w:rPr>
          <w:b/>
        </w:rPr>
        <w:t>el mercado local domina</w:t>
      </w:r>
      <w:r>
        <w:t xml:space="preserve"> (β≈0.79, p&lt;0.001); DXY≈−0.19 (p&lt;0.001); UST10Y +1.9</w:t>
      </w:r>
    </w:p>
    <w:p>
      <w:r>
        <w:t>(p&lt;0.01). R² within ≈ 0.23. Advertencia: con N=4 el panel es robustez sectorial,</w:t>
      </w:r>
    </w:p>
    <w:p>
      <w:r>
        <w:t>no inferencia primaria; GMM dinámico no es viable.</w:t>
      </w:r>
    </w:p>
    <w:p>
      <w:pPr>
        <w:pStyle w:val="Heading3"/>
      </w:pPr>
      <w:r>
        <w:t>6.9 Canal de política monetaria chilena (TPM) — hac_coeficientes.csv</w:t>
      </w:r>
    </w:p>
    <w:p>
      <w:r>
        <w:t>Incorporada la TPM (vía mindicador.cl, sin credenciales), el cambio diario de la</w:t>
      </w:r>
    </w:p>
    <w:p>
      <w:r>
        <w:t xml:space="preserve">TPM (d_tpm) entra con </w:t>
      </w:r>
      <w:r>
        <w:rPr>
          <w:b/>
        </w:rPr>
        <w:t>signo negativo</w:t>
      </w:r>
      <w:r>
        <w:t xml:space="preserve"> en todos los activos (endurecimiento →</w:t>
      </w:r>
    </w:p>
    <w:p>
      <w:r>
        <w:t xml:space="preserve">menor retorno, económicamente correcto) pero </w:t>
      </w:r>
      <w:r>
        <w:rPr>
          <w:b/>
        </w:rPr>
        <w:t>no significativo</w:t>
      </w:r>
      <w:r>
        <w:t xml:space="preserve"> (p&gt;0.12). Las</w:t>
      </w:r>
    </w:p>
    <w:p>
      <w:r>
        <w:t>β-cobre permanecen estables al añadirla (robustez). La no significatividad diaria</w:t>
      </w:r>
    </w:p>
    <w:p>
      <w:r>
        <w:t>motiva el estudio de eventos (§6.11).</w:t>
      </w:r>
    </w:p>
    <w:p>
      <w:pPr>
        <w:pStyle w:val="Heading3"/>
      </w:pPr>
      <w:r>
        <w:t>6.10 Asimetrías del cobre (NARDL) — nardl_resumen.csv</w:t>
      </w:r>
    </w:p>
    <w:p>
      <w:r>
        <w:t>Descomponiendo el cobre en sumas parciales de alzas y caídas (Shin-Yu-Greenberg):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Bounds 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cointegra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asimetría LP (Wald, p)</w:t>
            </w:r>
          </w:p>
        </w:tc>
      </w:tr>
      <w:tr>
        <w:tc>
          <w:tcPr>
            <w:tcW w:type="dxa" w:w="2160"/>
          </w:tcPr>
          <w:p>
            <w:r>
              <w:t>ANTO.L</w:t>
            </w:r>
          </w:p>
        </w:tc>
        <w:tc>
          <w:tcPr>
            <w:tcW w:type="dxa" w:w="2160"/>
          </w:tcPr>
          <w:p>
            <w:r>
              <w:t>4.50</w:t>
            </w:r>
          </w:p>
        </w:tc>
        <w:tc>
          <w:tcPr>
            <w:tcW w:type="dxa" w:w="2160"/>
          </w:tcPr>
          <w:p>
            <w:r>
              <w:t>sí (5%)</w:t>
            </w:r>
          </w:p>
        </w:tc>
        <w:tc>
          <w:tcPr>
            <w:tcW w:type="dxa" w:w="2160"/>
          </w:tcPr>
          <w:p>
            <w:r>
              <w:t>sí: Wald=8.45, p=0.004</w:t>
            </w:r>
          </w:p>
        </w:tc>
      </w:tr>
      <w:tr>
        <w:tc>
          <w:tcPr>
            <w:tcW w:type="dxa" w:w="2160"/>
          </w:tcPr>
          <w:p>
            <w:r>
              <w:t>PUCOBRE.SN</w:t>
            </w:r>
          </w:p>
        </w:tc>
        <w:tc>
          <w:tcPr>
            <w:tcW w:type="dxa" w:w="2160"/>
          </w:tcPr>
          <w:p>
            <w:r>
              <w:t>1.83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 (p=0.29)</w:t>
            </w:r>
          </w:p>
        </w:tc>
      </w:tr>
      <w:tr>
        <w:tc>
          <w:tcPr>
            <w:tcW w:type="dxa" w:w="2160"/>
          </w:tcPr>
          <w:p>
            <w:r>
              <w:t>CAP.SN</w:t>
            </w:r>
          </w:p>
        </w:tc>
        <w:tc>
          <w:tcPr>
            <w:tcW w:type="dxa" w:w="2160"/>
          </w:tcPr>
          <w:p>
            <w:r>
              <w:t>3.10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 (p=0.15)</w:t>
            </w:r>
          </w:p>
        </w:tc>
      </w:tr>
      <w:tr>
        <w:tc>
          <w:tcPr>
            <w:tcW w:type="dxa" w:w="2160"/>
          </w:tcPr>
          <w:p>
            <w:r>
              <w:t>SQM-B.SN</w:t>
            </w:r>
          </w:p>
        </w:tc>
        <w:tc>
          <w:tcPr>
            <w:tcW w:type="dxa" w:w="2160"/>
          </w:tcPr>
          <w:p>
            <w:r>
              <w:t>2.03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 (p=0.23)</w:t>
            </w:r>
          </w:p>
        </w:tc>
      </w:tr>
    </w:tbl>
    <w:p/>
    <w:p>
      <w:r>
        <w:t>**Antofagasta presenta cointegración no lineal y asimetría de largo plazo</w:t>
      </w:r>
    </w:p>
    <w:p>
      <w:r>
        <w:t>significativa**: responde de forma estadísticamente distinta a alzas vs caídas del</w:t>
      </w:r>
    </w:p>
    <w:p>
      <w:r>
        <w:t>cobre (elasticidades ≈0.93 vs ≈0.90; diferencia modesta pero significativa por el</w:t>
      </w:r>
    </w:p>
    <w:p>
      <w:r>
        <w:t>tamaño muestral). Los demás activos no rechazan simetría, coherente con su vínculo</w:t>
      </w:r>
    </w:p>
    <w:p>
      <w:r>
        <w:t>más débil al cobre.</w:t>
      </w:r>
    </w:p>
    <w:p>
      <w:pPr>
        <w:pStyle w:val="Heading3"/>
      </w:pPr>
      <w:r>
        <w:t>6.11 Estudio de eventos — anuncios de TPM — event_study_tpm.csv</w:t>
      </w:r>
    </w:p>
    <w:p>
      <w:r>
        <w:t>Modelo de mercado (mercado=ECH), ventana [-5,+5] en torno a 51 alzas y 41 bajas de</w:t>
      </w:r>
    </w:p>
    <w:p>
      <w:r>
        <w:t xml:space="preserve">TPM. Los CAAR tienen </w:t>
      </w:r>
      <w:r>
        <w:rPr>
          <w:b/>
        </w:rPr>
        <w:t>signo económico correcto</w:t>
      </w:r>
      <w:r>
        <w:t xml:space="preserve"> (alza TPM → anormal negativo:</w:t>
      </w:r>
    </w:p>
    <w:p>
      <w:r>
        <w:t xml:space="preserve">ANTO −1.04%, CAP −1.90%; baja → positivo) pero </w:t>
      </w:r>
      <w:r>
        <w:rPr>
          <w:b/>
        </w:rPr>
        <w:t>ninguno es significativo</w:t>
      </w:r>
      <w:r/>
    </w:p>
    <w:p>
      <w:r>
        <w:t xml:space="preserve">(p&gt;0.37). Interpretación: los cambios de TPM están </w:t>
      </w:r>
      <w:r>
        <w:rPr>
          <w:b/>
        </w:rPr>
        <w:t>anticipados</w:t>
      </w:r>
      <w:r>
        <w:t xml:space="preserve"> (sin sorpresa en</w:t>
      </w:r>
    </w:p>
    <w:p>
      <w:r>
        <w:t xml:space="preserve">el anuncio) y la valoración minera responde a </w:t>
      </w:r>
      <w:r>
        <w:rPr>
          <w:b/>
        </w:rPr>
        <w:t>factores globales</w:t>
      </w:r>
      <w:r>
        <w:t xml:space="preserve"> más que a la</w:t>
      </w:r>
    </w:p>
    <w:p>
      <w:r>
        <w:t>política monetaria doméstica. Refinamiento futuro: usar el componente sorpresa</w:t>
      </w:r>
    </w:p>
    <w:p>
      <w:r>
        <w:t>(TPM efectiva vs esperada).</w:t>
      </w:r>
    </w:p>
    <w:p>
      <w:pPr>
        <w:pStyle w:val="Heading3"/>
      </w:pPr>
      <w:r>
        <w:t>6.12 Causalidad robusta a integración (Toda-Yamamoto) — toda_yamamoto.csv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cobre→activo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activo→cobre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usdclp→activo</w:t>
            </w:r>
          </w:p>
        </w:tc>
      </w:tr>
      <w:tr>
        <w:tc>
          <w:tcPr>
            <w:tcW w:type="dxa" w:w="2160"/>
          </w:tcPr>
          <w:p>
            <w:r>
              <w:t>ANTO.L</w:t>
            </w:r>
          </w:p>
        </w:tc>
        <w:tc>
          <w:tcPr>
            <w:tcW w:type="dxa" w:w="2160"/>
          </w:tcPr>
          <w:p>
            <w:r>
              <w:t>causa (p=0.04)</w:t>
            </w:r>
          </w:p>
        </w:tc>
        <w:tc>
          <w:tcPr>
            <w:tcW w:type="dxa" w:w="2160"/>
          </w:tcPr>
          <w:p>
            <w:r>
              <w:t>no (p=0.11)</w:t>
            </w:r>
          </w:p>
        </w:tc>
        <w:tc>
          <w:tcPr>
            <w:tcW w:type="dxa" w:w="2160"/>
          </w:tcPr>
          <w:p>
            <w:r>
              <w:t>causa (p&lt;0.001)</w:t>
            </w:r>
          </w:p>
        </w:tc>
      </w:tr>
      <w:tr>
        <w:tc>
          <w:tcPr>
            <w:tcW w:type="dxa" w:w="2160"/>
          </w:tcPr>
          <w:p>
            <w:r>
              <w:t>PUCOBRE.SN</w:t>
            </w:r>
          </w:p>
        </w:tc>
        <w:tc>
          <w:tcPr>
            <w:tcW w:type="dxa" w:w="2160"/>
          </w:tcPr>
          <w:p>
            <w:r>
              <w:t>causa (p&lt;0.001)</w:t>
            </w:r>
          </w:p>
        </w:tc>
        <w:tc>
          <w:tcPr>
            <w:tcW w:type="dxa" w:w="2160"/>
          </w:tcPr>
          <w:p>
            <w:r>
              <w:t>marginal (p=0.02)*</w:t>
            </w:r>
          </w:p>
        </w:tc>
        <w:tc>
          <w:tcPr>
            <w:tcW w:type="dxa" w:w="2160"/>
          </w:tcPr>
          <w:p>
            <w:r>
              <w:t>no (p=0.29)</w:t>
            </w:r>
          </w:p>
        </w:tc>
      </w:tr>
    </w:tbl>
    <w:p/>
    <w:p>
      <w:r>
        <w:t xml:space="preserve">El cobre </w:t>
      </w:r>
      <w:r>
        <w:rPr>
          <w:b/>
        </w:rPr>
        <w:t>causa</w:t>
      </w:r>
      <w:r>
        <w:t xml:space="preserve"> (Granger, robusto a cointegración) a ambos activos, de forma</w:t>
      </w:r>
    </w:p>
    <w:p>
      <w:r/>
      <w:r>
        <w:rPr>
          <w:b/>
        </w:rPr>
        <w:t>unidireccional</w:t>
      </w:r>
      <w:r>
        <w:t xml:space="preserve"> para Antofagasta (es tomadora de precios). El sentido inverso en</w:t>
      </w:r>
    </w:p>
    <w:p>
      <w:r>
        <w:t>Pucobre (p=0.02) es económicamente implausible (una minera pequeña no mueve el</w:t>
      </w:r>
    </w:p>
    <w:p>
      <w:r>
        <w:t>COMEX) → probable artefacto del modelo aumentado de 13 rezagos. (*) marcado como</w:t>
      </w:r>
    </w:p>
    <w:p>
      <w:r>
        <w:t>no causal en términos económicos.</w:t>
      </w:r>
    </w:p>
    <w:p>
      <w:pPr>
        <w:pStyle w:val="Heading3"/>
      </w:pPr>
      <w:r>
        <w:t>6.13 Prueba formal de la hipótesis de iliquidez — iliquidez_amihud.csv, iliquidez_test.csv</w:t>
      </w:r>
    </w:p>
    <w:p>
      <w:r>
        <w:t>La hipótesis de que la iliquidez explica la baja transmisión contemporánea del</w:t>
      </w:r>
    </w:p>
    <w:p>
      <w:r>
        <w:t>cobre en Pucobre se prueba formalmente:</w:t>
      </w:r>
    </w:p>
    <w:p>
      <w:r/>
      <w:r>
        <w:rPr>
          <w:b/>
        </w:rPr>
        <w:t>(a) Magnitud de la iliquidez.</w:t>
      </w:r>
      <w:r>
        <w:t xml:space="preserve"> Pucobre presenta </w:t>
      </w:r>
      <w:r>
        <w:rPr>
          <w:b/>
        </w:rPr>
        <w:t>62% de días con retorno cero</w:t>
      </w:r>
      <w:r/>
    </w:p>
    <w:p>
      <w:r>
        <w:t>(no transa en la mayoría de las jornadas), frente a 5.5% (ANTO), 1.3% (SCCO) o</w:t>
      </w:r>
    </w:p>
    <w:p>
      <w:r>
        <w:t>0.18% (Glencore); su volumen medio (~US$24M equiv.) es dos órdenes de magnitud</w:t>
      </w:r>
    </w:p>
    <w:p>
      <w:r>
        <w:t>menor que el de Antofagasta (~US$2.000M). Es el activo masivamente más ilíquido.</w:t>
      </w:r>
    </w:p>
    <w:p>
      <w:r/>
      <w:r>
        <w:rPr>
          <w:b/>
        </w:rPr>
        <w:t>(b) Evidencia transversal (8 activos).</w:t>
      </w:r>
      <w:r>
        <w:t xml:space="preserve"> La correlación de Spearman entre</w:t>
      </w:r>
    </w:p>
    <w:p>
      <w:r>
        <w:t xml:space="preserve">iliquidez (% días cero) y la β-cobre contemporánea es </w:t>
      </w:r>
      <w:r>
        <w:rPr>
          <w:b/>
        </w:rPr>
        <w:t>negativa</w:t>
      </w:r>
      <w:r>
        <w:t xml:space="preserve"> (ρ≈−0.55), en la</w:t>
      </w:r>
    </w:p>
    <w:p>
      <w:r>
        <w:t>dirección predicha, aunque no significativa con N=8 (baja potencia).</w:t>
      </w:r>
    </w:p>
    <w:p>
      <w:r/>
      <w:r>
        <w:rPr>
          <w:b/>
        </w:rPr>
        <w:t>(c) Rezagos distribuidos (prueba directa).</w:t>
      </w:r>
      <w:r>
        <w:t xml:space="preserve"> Descomponiendo el efecto del cobre</w:t>
      </w:r>
    </w:p>
    <w:p>
      <w:r>
        <w:t>por rezagos: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β día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β acumulado 0–5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fracción día 0</w:t>
            </w:r>
          </w:p>
        </w:tc>
      </w:tr>
      <w:tr>
        <w:tc>
          <w:tcPr>
            <w:tcW w:type="dxa" w:w="2160"/>
          </w:tcPr>
          <w:p>
            <w:r>
              <w:t>ANTO.L</w:t>
            </w:r>
          </w:p>
        </w:tc>
        <w:tc>
          <w:tcPr>
            <w:tcW w:type="dxa" w:w="2160"/>
          </w:tcPr>
          <w:p>
            <w:r>
              <w:t>0.816</w:t>
            </w:r>
          </w:p>
        </w:tc>
        <w:tc>
          <w:tcPr>
            <w:tcW w:type="dxa" w:w="2160"/>
          </w:tcPr>
          <w:p>
            <w:r>
              <w:t>0.862</w:t>
            </w:r>
          </w:p>
        </w:tc>
        <w:tc>
          <w:tcPr>
            <w:tcW w:type="dxa" w:w="2160"/>
          </w:tcPr>
          <w:p>
            <w:r>
              <w:t>94.7% (inmediata)</w:t>
            </w:r>
          </w:p>
        </w:tc>
      </w:tr>
      <w:tr>
        <w:tc>
          <w:tcPr>
            <w:tcW w:type="dxa" w:w="2160"/>
          </w:tcPr>
          <w:p>
            <w:r>
              <w:t>PUCOBRE.SN</w:t>
            </w:r>
          </w:p>
        </w:tc>
        <w:tc>
          <w:tcPr>
            <w:tcW w:type="dxa" w:w="2160"/>
          </w:tcPr>
          <w:p>
            <w:r>
              <w:t>0.121</w:t>
            </w:r>
          </w:p>
        </w:tc>
        <w:tc>
          <w:tcPr>
            <w:tcW w:type="dxa" w:w="2160"/>
          </w:tcPr>
          <w:p>
            <w:r>
              <w:t>0.415</w:t>
            </w:r>
          </w:p>
        </w:tc>
        <w:tc>
          <w:tcPr>
            <w:tcW w:type="dxa" w:w="2160"/>
          </w:tcPr>
          <w:p>
            <w:r>
              <w:t>29.2% (diferida)</w:t>
            </w:r>
          </w:p>
        </w:tc>
      </w:tr>
    </w:tbl>
    <w:p/>
    <w:p>
      <w:r>
        <w:t>En Antofagasta el 95% del impacto del cobre llega el mismo día; en Pucobre, sólo el</w:t>
      </w:r>
    </w:p>
    <w:p>
      <w:r>
        <w:t>29% —el 71% restante se difiere a los días siguientes—. Confirmación directa del</w:t>
      </w:r>
    </w:p>
    <w:p>
      <w:r/>
      <w:r>
        <w:rPr>
          <w:b/>
        </w:rPr>
        <w:t>descubrimiento de precios lento</w:t>
      </w:r>
      <w:r>
        <w:t xml:space="preserve"> por iliquidez.</w:t>
      </w:r>
    </w:p>
    <w:p>
      <w:r>
        <w:t>Nota metodológica: un split por régimen de iliquidez (Amihud móvil) se descartó</w:t>
      </w:r>
    </w:p>
    <w:p>
      <w:r>
        <w:t>por confundir iliquidez con régimen de volatilidad (el ILLIQ sube en períodos</w:t>
      </w:r>
    </w:p>
    <w:p>
      <w:r>
        <w:t>volátiles donde todo comueve más); el test de rezagos distribuidos es limpio frente</w:t>
      </w:r>
    </w:p>
    <w:p>
      <w:r>
        <w:t>a ese sesgo.</w:t>
      </w:r>
    </w:p>
    <w:p>
      <w:pPr>
        <w:pStyle w:val="Heading3"/>
      </w:pPr>
      <w:r>
        <w:t>6.14 Modelo mensual con macro nacional — mensual_resumen.csv</w:t>
      </w:r>
    </w:p>
    <w:p>
      <w:r>
        <w:t>A frecuencia mensual (que permite usar IMACEC e IPC en su frecuencia natural):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Activo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β-cobre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IMACEC (t)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d_TPM (t)</w:t>
            </w:r>
          </w:p>
        </w:tc>
      </w:tr>
      <w:tr>
        <w:tc>
          <w:tcPr>
            <w:tcW w:type="dxa" w:w="1440"/>
          </w:tcPr>
          <w:p>
            <w:r>
              <w:t>ANTO.L</w:t>
            </w:r>
          </w:p>
        </w:tc>
        <w:tc>
          <w:tcPr>
            <w:tcW w:type="dxa" w:w="1440"/>
          </w:tcPr>
          <w:p>
            <w:r>
              <w:t>0.712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0.39</w:t>
            </w:r>
          </w:p>
        </w:tc>
        <w:tc>
          <w:tcPr>
            <w:tcW w:type="dxa" w:w="1440"/>
          </w:tcPr>
          <w:p>
            <w:r>
              <w:t>−0.16 (−1.7)</w:t>
            </w:r>
          </w:p>
        </w:tc>
        <w:tc>
          <w:tcPr>
            <w:tcW w:type="dxa" w:w="1440"/>
          </w:tcPr>
          <w:p>
            <w:r>
              <w:t>0.05 (0.1)</w:t>
            </w:r>
          </w:p>
        </w:tc>
      </w:tr>
      <w:tr>
        <w:tc>
          <w:tcPr>
            <w:tcW w:type="dxa" w:w="1440"/>
          </w:tcPr>
          <w:p>
            <w:r>
              <w:t>PUCOBRE.SN</w:t>
            </w:r>
          </w:p>
        </w:tc>
        <w:tc>
          <w:tcPr>
            <w:tcW w:type="dxa" w:w="1440"/>
          </w:tcPr>
          <w:p>
            <w:r>
              <w:t>0.599</w:t>
            </w:r>
          </w:p>
        </w:tc>
        <w:tc>
          <w:tcPr>
            <w:tcW w:type="dxa" w:w="1440"/>
          </w:tcPr>
          <w:p>
            <w:r>
              <w:t>7.3</w:t>
            </w:r>
          </w:p>
        </w:tc>
        <w:tc>
          <w:tcPr>
            <w:tcW w:type="dxa" w:w="1440"/>
          </w:tcPr>
          <w:p>
            <w:r>
              <w:t>0.31</w:t>
            </w:r>
          </w:p>
        </w:tc>
        <w:tc>
          <w:tcPr>
            <w:tcW w:type="dxa" w:w="1440"/>
          </w:tcPr>
          <w:p>
            <w:r>
              <w:t>−0.26 (−2.8)</w:t>
            </w:r>
          </w:p>
        </w:tc>
        <w:tc>
          <w:tcPr>
            <w:tcW w:type="dxa" w:w="1440"/>
          </w:tcPr>
          <w:p>
            <w:r>
              <w:t>1.41 (1.0)</w:t>
            </w:r>
          </w:p>
        </w:tc>
      </w:tr>
      <w:tr>
        <w:tc>
          <w:tcPr>
            <w:tcW w:type="dxa" w:w="1440"/>
          </w:tcPr>
          <w:p>
            <w:r>
              <w:t>CAP.SN</w:t>
            </w:r>
          </w:p>
        </w:tc>
        <w:tc>
          <w:tcPr>
            <w:tcW w:type="dxa" w:w="1440"/>
          </w:tcPr>
          <w:p>
            <w:r>
              <w:t>0.698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0.28</w:t>
            </w:r>
          </w:p>
        </w:tc>
        <w:tc>
          <w:tcPr>
            <w:tcW w:type="dxa" w:w="1440"/>
          </w:tcPr>
          <w:p>
            <w:r>
              <w:t>−0.03 (−0.2)</w:t>
            </w:r>
          </w:p>
        </w:tc>
        <w:tc>
          <w:tcPr>
            <w:tcW w:type="dxa" w:w="1440"/>
          </w:tcPr>
          <w:p>
            <w:r>
              <w:t>−0.60 (−0.4)</w:t>
            </w:r>
          </w:p>
        </w:tc>
      </w:tr>
    </w:tbl>
    <w:p/>
    <w:p>
      <w:r/>
      <w:r>
        <w:rPr>
          <w:b/>
        </w:rPr>
        <w:t>Resultado decisivo:</w:t>
      </w:r>
      <w:r>
        <w:t xml:space="preserve"> a frecuencia mensual la β-cobre de Pucobre **salta de 0.085</w:t>
      </w:r>
    </w:p>
    <w:p>
      <w:r>
        <w:t>(diaria) a 0.599</w:t>
      </w:r>
      <w:r>
        <w:rPr>
          <w:b/>
        </w:rPr>
        <w:t xml:space="preserve"> y el R² de 0.04 a 0.31. La sensibilidad al cobre </w:t>
      </w:r>
      <w:r>
        <w:t>crece</w:t>
      </w:r>
    </w:p>
    <w:p>
      <w:r>
        <w:t>monótonamente con el horizonte** (diario 0.085 → acumulado 5d 0.415 → mensual 0.599</w:t>
      </w:r>
    </w:p>
    <w:p>
      <w:r>
        <w:t>→ largo plazo 0.75): al agregar temporalmente emerge la verdadera sensibilidad,</w:t>
      </w:r>
    </w:p>
    <w:p>
      <w:r>
        <w:t>cercana a la de Antofagasta. El IMACEC entra significativo y negativo para Pucobre</w:t>
      </w:r>
    </w:p>
    <w:p>
      <w:r>
        <w:t>(controlado por cobre; interpretación cautelosa). La TPM sigue sin ser</w:t>
      </w:r>
    </w:p>
    <w:p>
      <w:r>
        <w:t>significativa, consistente con §6.9 y §6.11.</w:t>
      </w:r>
    </w:p>
    <w:p>
      <w:pPr>
        <w:pStyle w:val="Heading2"/>
      </w:pPr>
      <w:r>
        <w:t>7. Discusión</w:t>
      </w:r>
    </w:p>
    <w:p>
      <w:r>
        <w:t xml:space="preserve">El cuerpo de evidencia es </w:t>
      </w:r>
      <w:r>
        <w:rPr>
          <w:b/>
        </w:rPr>
        <w:t>consistente y se triangula</w:t>
      </w:r>
      <w:r>
        <w:t>:</w:t>
      </w:r>
    </w:p>
    <w:p>
      <w:pPr>
        <w:pStyle w:val="ListNumber"/>
      </w:pPr>
      <w:r/>
      <w:r>
        <w:rPr>
          <w:b/>
        </w:rPr>
        <w:t>Heterogeneidad por liquidez (hallazgo central).</w:t>
      </w:r>
      <w:r>
        <w:t xml:space="preserve"> Antofagasta —pure-play</w:t>
      </w:r>
    </w:p>
    <w:p>
      <w:r>
        <w:t>líquido y cross-listed— incorpora el cobre de forma fuerte e inmediata</w:t>
      </w:r>
    </w:p>
    <w:p>
      <w:r>
        <w:t>(β≈0.70; FEVD≈28%; 95% del impacto en el día 0). Pucobre —pure-play local e</w:t>
      </w:r>
    </w:p>
    <w:p>
      <w:r>
        <w:t>ilíquido (62% de días sin transar)— casi no reacciona en el día (β≈0.09;</w:t>
      </w:r>
    </w:p>
    <w:p>
      <w:r>
        <w:t xml:space="preserve">R²≈0.04), pero su sensibilidad al cobre </w:t>
      </w:r>
      <w:r>
        <w:rPr>
          <w:b/>
        </w:rPr>
        <w:t>crece monótonamente con el horizonte</w:t>
      </w:r>
      <w:r>
        <w:t>:</w:t>
      </w:r>
    </w:p>
    <w:p>
      <w:r>
        <w:t>0.085 (diario) → 0.42 (acumulado 5d) → 0.60 (mensual) → 0.75 (largo plazo). El</w:t>
      </w:r>
    </w:p>
    <w:p>
      <w:r>
        <w:t>cobre lo causa (Toda-Yamamoto y Granger, p&lt;0.001) y la relación de largo plazo</w:t>
      </w:r>
    </w:p>
    <w:p>
      <w:r>
        <w:t xml:space="preserve">es plena. Interpretación, ahora </w:t>
      </w:r>
      <w:r>
        <w:rPr>
          <w:b/>
        </w:rPr>
        <w:t>formalmente probada</w:t>
      </w:r>
      <w:r>
        <w:t xml:space="preserve"> (rezagos distribuidos +</w:t>
      </w:r>
    </w:p>
    <w:p>
      <w:r>
        <w:t>modelo mensual): **la iliquidez retrasa el descubrimiento de precios, no anula</w:t>
      </w:r>
    </w:p>
    <w:p>
      <w:r>
        <w:t>el fundamento cobre→valoración.**</w:t>
      </w:r>
    </w:p>
    <w:p>
      <w:pPr>
        <w:pStyle w:val="ListNumber"/>
      </w:pPr>
      <w:r/>
      <w:r>
        <w:rPr>
          <w:b/>
        </w:rPr>
        <w:t>Canal de moneda.</w:t>
      </w:r>
      <w:r>
        <w:t xml:space="preserve"> El dólar global (DXY) impacta negativamente; el USD/CLP</w:t>
      </w:r>
    </w:p>
    <w:p>
      <w:r>
        <w:t>aparece en la relación de largo plazo (con cautela por colinealidad).</w:t>
      </w:r>
    </w:p>
    <w:p>
      <w:pPr>
        <w:pStyle w:val="ListNumber"/>
      </w:pPr>
      <w:r/>
      <w:r>
        <w:rPr>
          <w:b/>
        </w:rPr>
        <w:t>Riesgo y volatilidad.</w:t>
      </w:r>
      <w:r>
        <w:t xml:space="preserve"> Alta persistencia y efecto apalancamiento, típicos de</w:t>
      </w:r>
    </w:p>
    <w:p>
      <w:r>
        <w:t>activos de materias primas.</w:t>
      </w:r>
    </w:p>
    <w:p>
      <w:pPr>
        <w:pStyle w:val="ListNumber"/>
      </w:pPr>
      <w:r/>
      <w:r>
        <w:rPr>
          <w:b/>
        </w:rPr>
        <w:t>Comparación internacional.</w:t>
      </w:r>
      <w:r>
        <w:t xml:space="preserve"> Las β-cobre de SCCO/FCX/Glencore (0.49–0.63) y de</w:t>
      </w:r>
    </w:p>
    <w:p>
      <w:r>
        <w:t>Antofagasta (0.70) son del mismo orden, validando externamente la magnitud; las</w:t>
      </w:r>
    </w:p>
    <w:p>
      <w:r>
        <w:t>chilenas de materiales (CAP, SQM, 0.11–0.15) son menos sensibles por no ser</w:t>
      </w:r>
    </w:p>
    <w:p>
      <w:r>
        <w:t>cobre puro.</w:t>
      </w:r>
    </w:p>
    <w:p>
      <w:r/>
      <w:r>
        <w:rPr>
          <w:b/>
        </w:rPr>
        <w:t>Comparación con la literatura:</w:t>
      </w:r>
      <w:r>
        <w:t xml:space="preserve"> [a completar con fuentes reales verificadas].</w:t>
      </w:r>
    </w:p>
    <w:p>
      <w:pPr>
        <w:pStyle w:val="ListNumber"/>
      </w:pPr>
      <w:r/>
      <w:r>
        <w:rPr>
          <w:b/>
        </w:rPr>
        <w:t>Política monetaria y eventos.</w:t>
      </w:r>
      <w:r>
        <w:t xml:space="preserve"> El canal TPM es negativo pero débil a</w:t>
      </w:r>
    </w:p>
    <w:p>
      <w:r>
        <w:t>frecuencia diaria, y los anuncios de TPM no generan retornos anormales</w:t>
      </w:r>
    </w:p>
    <w:p>
      <w:r>
        <w:t>significativos: la valoración minera es dominantemente global, no doméstica.</w:t>
      </w:r>
    </w:p>
    <w:p>
      <w:pPr>
        <w:pStyle w:val="ListNumber"/>
      </w:pPr>
      <w:r/>
      <w:r>
        <w:rPr>
          <w:b/>
        </w:rPr>
        <w:t>Asimetría.</w:t>
      </w:r>
      <w:r>
        <w:t xml:space="preserve"> Sólo Antofagasta muestra respuesta asimétrica de largo plazo al</w:t>
      </w:r>
    </w:p>
    <w:p>
      <w:r>
        <w:t>cobre (NARDL), reforzando que es el activo donde el fundamento cobre opera con</w:t>
      </w:r>
    </w:p>
    <w:p>
      <w:r>
        <w:t>mayor riqueza dinámica.</w:t>
      </w:r>
    </w:p>
    <w:p>
      <w:pPr>
        <w:pStyle w:val="ListNumber"/>
      </w:pPr>
      <w:r/>
      <w:r>
        <w:rPr>
          <w:b/>
        </w:rPr>
        <w:t>Causalidad.</w:t>
      </w:r>
      <w:r>
        <w:t xml:space="preserve"> Toda-Yamamoto confirma causalidad cobre→acción robusta a</w:t>
      </w:r>
    </w:p>
    <w:p>
      <w:r>
        <w:t>cointegración, unidireccional para Antofagasta.</w:t>
      </w:r>
    </w:p>
    <w:p>
      <w:r/>
      <w:r>
        <w:rPr>
          <w:b/>
        </w:rPr>
        <w:t>Limitaciones.</w:t>
      </w:r>
      <w:r>
        <w:t xml:space="preserve"> (i) EMBI Chile y series BCU/BTU pendientes de credenciales BCCh</w:t>
      </w:r>
    </w:p>
    <w:p>
      <w:r>
        <w:t>(TPM/IMACEC/IPC ya incorporadas vía mindicador.cl); (ii) FRED inaccesible en el</w:t>
      </w:r>
    </w:p>
    <w:p>
      <w:r>
        <w:t>entorno; (iii) proxy de mercado local en USD (ECH) en vez de IPSA por</w:t>
      </w:r>
    </w:p>
    <w:p>
      <w:r>
        <w:t>inconsistencia del feed; (iv) calendarios heterogéneos reducen la muestra; (v)</w:t>
      </w:r>
    </w:p>
    <w:p>
      <w:r>
        <w:t>GARCH no fiable en Pucobre; (vi) ARDL lineal no confirma cointegración (baja</w:t>
      </w:r>
    </w:p>
    <w:p>
      <w:r>
        <w:t>potencia ante ajuste lento), aunque NARDL sí la detecta para Antofagasta; (vii)</w:t>
      </w:r>
    </w:p>
    <w:p>
      <w:r>
        <w:t>panel con N=4; (viii) event study sin componente de sorpresa de TPM.</w:t>
      </w:r>
    </w:p>
    <w:p>
      <w:pPr>
        <w:pStyle w:val="Heading2"/>
      </w:pPr>
      <w:r>
        <w:t>8. Conclusiones</w:t>
      </w:r>
    </w:p>
    <w:p>
      <w:pPr>
        <w:pStyle w:val="ListNumber"/>
      </w:pPr>
      <w:r>
        <w:t>El universo de mineras de cobre cotizadas vinculadas a Chile es mínimo y se</w:t>
      </w:r>
    </w:p>
    <w:p>
      <w:r>
        <w:t>resolvió empíricamente: Antofagasta (LSE) y Pucobre (Santiago) como núcleo.</w:t>
      </w:r>
    </w:p>
    <w:p>
      <w:pPr>
        <w:pStyle w:val="ListNumber"/>
      </w:pPr>
      <w:r>
        <w:t xml:space="preserve">El precio del cobre es un determinante </w:t>
      </w:r>
      <w:r>
        <w:rPr>
          <w:b/>
        </w:rPr>
        <w:t>positivo y significativo</w:t>
      </w:r>
      <w:r>
        <w:t xml:space="preserve"> de los</w:t>
      </w:r>
    </w:p>
    <w:p>
      <w:r>
        <w:t>retornos mineros, con magnitud creciente en la liquidez del activo.</w:t>
      </w:r>
    </w:p>
    <w:p>
      <w:pPr>
        <w:pStyle w:val="ListNumber"/>
      </w:pPr>
      <w:r>
        <w:t>El resultado más novedoso es la **disociación corto/largo plazo en el activo</w:t>
      </w:r>
    </w:p>
    <w:p>
      <w:r>
        <w:t>ilíquido (Pucobre)**: transmisión contemporánea casi nula pero vínculo de largo</w:t>
      </w:r>
    </w:p>
    <w:p>
      <w:r>
        <w:t>plazo pleno y causalidad con rezago. Aporta evidencia sobre (in)eficiencia</w:t>
      </w:r>
    </w:p>
    <w:p>
      <w:r>
        <w:t>informacional en un mercado emergente pequeño.</w:t>
      </w:r>
    </w:p>
    <w:p>
      <w:pPr>
        <w:pStyle w:val="ListNumber"/>
      </w:pPr>
      <w:r>
        <w:t>La volatilidad es persistente y asimétrica; el dólar y las tasas globales</w:t>
      </w:r>
    </w:p>
    <w:p>
      <w:r>
        <w:t>complementan el canal del cobre.</w:t>
      </w:r>
    </w:p>
    <w:p>
      <w:r/>
      <w:r>
        <w:rPr>
          <w:b/>
        </w:rPr>
        <w:t>Líneas futuras.</w:t>
      </w:r>
      <w:r>
        <w:t xml:space="preserve"> Incorporar macro del Banco Central (TPM, IMACEC, EMBI);</w:t>
      </w:r>
    </w:p>
    <w:p>
      <w:r>
        <w:t>NARDL para asimetrías alza/baja del cobre; estudio de eventos en anuncios de</w:t>
      </w:r>
    </w:p>
    <w:p>
      <w:r>
        <w:t>política/COCHILCO; medidas formales de iliquidez (Amihud) e intradía; GARCH con</w:t>
      </w:r>
    </w:p>
    <w:p>
      <w:r>
        <w:t>saltos para Pucobre; Toda-Yamamoto para causalidad con series integradas.</w:t>
      </w:r>
    </w:p>
    <w:p>
      <w:pPr>
        <w:pStyle w:val="Heading2"/>
      </w:pPr>
      <w:r>
        <w:t>9. Referencias y anexos</w:t>
      </w:r>
    </w:p>
    <w:p>
      <w:r/>
      <w:r>
        <w:rPr>
          <w:b/>
        </w:rPr>
        <w:t>Referencias</w:t>
      </w:r>
      <w:r>
        <w:t xml:space="preserve"> — pendientes de verificación en formato APA (no inventadas).</w:t>
      </w:r>
    </w:p>
    <w:p>
      <w:r>
        <w:t>Base metodológica a citar: Engle &amp; Granger (1987); Johansen (1991); Pesaran, Shin</w:t>
      </w:r>
    </w:p>
    <w:p>
      <w:r>
        <w:t>&amp; Smith (2001); Shin, Yu &amp; Greenberg (2014); Toda &amp; Yamamoto (1995); Bollerslev</w:t>
      </w:r>
    </w:p>
    <w:p>
      <w:r>
        <w:t>(1986); Nelson (1991); Glosten, Jagannathan &amp; Runkle (1993); Newey &amp; West (1987);</w:t>
      </w:r>
    </w:p>
    <w:p>
      <w:r>
        <w:t>Chen, Roll &amp; Ross (1986). [VERIFICAR cada una.]</w:t>
      </w:r>
    </w:p>
    <w:p>
      <w:r/>
      <w:r>
        <w:rPr>
          <w:b/>
        </w:rPr>
        <w:t>Anexos (reproducibilidad).</w:t>
      </w:r>
      <w:r/>
    </w:p>
    <w:p>
      <w:pPr>
        <w:pStyle w:val="ListBullet"/>
      </w:pPr>
      <w:r>
        <w:t>Código: src/ (verificación de universo, ingesta, preparación, EDA, modelos).</w:t>
      </w:r>
    </w:p>
    <w:p>
      <w:pPr>
        <w:pStyle w:val="ListBullet"/>
      </w:pPr>
      <w:r>
        <w:t>Tablas: outputs/tables/ (23 archivos CSV).</w:t>
      </w:r>
    </w:p>
    <w:p>
      <w:pPr>
        <w:pStyle w:val="ListBullet"/>
      </w:pPr>
      <w:r>
        <w:t>Figuras: outputs/figures/ (series, ACF, IRF, volatilidad condicional, heatmap).</w:t>
      </w:r>
    </w:p>
    <w:p>
      <w:pPr>
        <w:pStyle w:val="ListBullet"/>
      </w:pPr>
      <w:r>
        <w:t>Diccionario de datos: docs/diccionario_datos.md.</w:t>
      </w:r>
    </w:p>
    <w:p>
      <w:pPr>
        <w:pStyle w:val="ListBullet"/>
      </w:pPr>
      <w:r>
        <w:t>Decisiones fundacionales: docs/00_decisiones_fundacionales.md.</w:t>
      </w:r>
    </w:p>
    <w:p>
      <w:pPr>
        <w:pStyle w:val="ListBullet"/>
      </w:pPr>
      <w:r>
        <w:t>Entorno: requirements.txt (Python 3.13; statsmodels 0.14.6, arch 8.0, linearmodels 7.0).</w:t>
      </w:r>
    </w:p>
    <w:p>
      <w:r>
        <w:br w:type="page"/>
      </w:r>
    </w:p>
    <w:p>
      <w:pPr>
        <w:pStyle w:val="Heading1"/>
      </w:pPr>
      <w:r>
        <w:t>Anexo — Figuras</w:t>
      </w:r>
    </w:p>
    <w:p>
      <w:pPr>
        <w:pStyle w:val="Heading3"/>
      </w:pPr>
      <w:r>
        <w:t>acf_ANTO_L.png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ANTO_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acf_PUCOBRE_SN.png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PUCOBRE_S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heatmap_correlaciones.png</w:t>
      </w:r>
    </w:p>
    <w:p>
      <w:r>
        <w:drawing>
          <wp:inline xmlns:a="http://schemas.openxmlformats.org/drawingml/2006/main" xmlns:pic="http://schemas.openxmlformats.org/drawingml/2006/picture">
            <wp:extent cx="5486400" cy="44888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rrelaci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iliquidez_vs_beta.png</w:t>
      </w:r>
    </w:p>
    <w:p>
      <w:r>
        <w:drawing>
          <wp:inline xmlns:a="http://schemas.openxmlformats.org/drawingml/2006/main" xmlns:pic="http://schemas.openxmlformats.org/drawingml/2006/picture">
            <wp:extent cx="5486400" cy="37719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iquidez_vs_b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irf_ANTO_L.png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ANTO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irf_PUCOBRE_SN.png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PUCOBRE_S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precios_normalizados.png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os_normaliza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retornos_ANTO_L.png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ANTO_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retornos_PUCOBRE_SN.png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PUCOBRE_S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vol_condicional_ANTO_L.png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ANTO_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vol_condicional_CAP_SN.png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CAP_S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vol_condicional_PUCOBRE_SN.png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PUCOBRE_S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vol_condicional_SQM-B_SN.png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SQM-B_S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