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11562" w14:textId="77777777" w:rsidR="00442749" w:rsidRDefault="00442749">
      <w:pPr>
        <w:spacing w:after="0"/>
        <w:rPr>
          <w:rFonts w:hint="eastAsia"/>
        </w:rPr>
      </w:pPr>
    </w:p>
    <w:p w14:paraId="0F2E1457" w14:textId="77777777" w:rsidR="00442749" w:rsidRDefault="00442749">
      <w:pPr>
        <w:spacing w:after="0"/>
        <w:rPr>
          <w:rFonts w:hint="eastAsia"/>
        </w:rPr>
      </w:pPr>
    </w:p>
    <w:p w14:paraId="75CF08DF" w14:textId="77777777" w:rsidR="00442749" w:rsidRDefault="00442749">
      <w:pPr>
        <w:spacing w:after="0"/>
        <w:rPr>
          <w:rFonts w:hint="eastAsia"/>
        </w:rPr>
      </w:pPr>
    </w:p>
    <w:p w14:paraId="229446DA" w14:textId="77777777" w:rsidR="00442749" w:rsidRDefault="00442749">
      <w:pPr>
        <w:spacing w:after="0"/>
        <w:rPr>
          <w:rFonts w:hint="eastAsia"/>
        </w:rPr>
      </w:pPr>
    </w:p>
    <w:p w14:paraId="2D6EEC24" w14:textId="77777777" w:rsidR="00442749" w:rsidRDefault="00F64CE5">
      <w:pPr>
        <w:spacing w:after="120"/>
        <w:rPr>
          <w:rFonts w:hint="eastAsia"/>
        </w:rPr>
      </w:pPr>
      <w:r>
        <w:rPr>
          <w:rFonts w:ascii="Segoe UI Semibold" w:hAnsi="Segoe UI Semibold"/>
          <w:color w:val="0071E3"/>
          <w:spacing w:val="40"/>
          <w:sz w:val="24"/>
        </w:rPr>
        <w:t>INVESTIGACIÓN · TESIS F. RIETTA</w:t>
      </w:r>
    </w:p>
    <w:p w14:paraId="1365FDD8" w14:textId="77777777" w:rsidR="00442749" w:rsidRDefault="00F64CE5">
      <w:pPr>
        <w:spacing w:after="160" w:line="245" w:lineRule="auto"/>
        <w:rPr>
          <w:rFonts w:hint="eastAsia"/>
        </w:rPr>
      </w:pPr>
      <w:r>
        <w:rPr>
          <w:rFonts w:ascii="Segoe UI Semibold" w:hAnsi="Segoe UI Semibold"/>
          <w:sz w:val="68"/>
        </w:rPr>
        <w:t>Historia del Cobre</w:t>
      </w:r>
    </w:p>
    <w:p w14:paraId="4AC7F600" w14:textId="77777777" w:rsidR="00442749" w:rsidRDefault="00F64CE5">
      <w:pPr>
        <w:spacing w:after="0" w:line="288" w:lineRule="auto"/>
        <w:rPr>
          <w:rFonts w:hint="eastAsia"/>
        </w:rPr>
      </w:pPr>
      <w:r>
        <w:rPr>
          <w:color w:val="6E6E73"/>
          <w:sz w:val="30"/>
        </w:rPr>
        <w:t>Historia económica del cobre y de la minería en Chile, 2004–2024</w:t>
      </w:r>
    </w:p>
    <w:p w14:paraId="7435301E" w14:textId="77777777" w:rsidR="00442749" w:rsidRDefault="00442749">
      <w:pPr>
        <w:spacing w:after="0"/>
        <w:rPr>
          <w:rFonts w:hint="eastAsia"/>
        </w:rPr>
      </w:pPr>
    </w:p>
    <w:p w14:paraId="3783F219" w14:textId="77777777" w:rsidR="00442749" w:rsidRDefault="00442749">
      <w:pPr>
        <w:pBdr>
          <w:bottom w:val="single" w:sz="6" w:space="1" w:color="D2D2D7"/>
        </w:pBdr>
        <w:spacing w:before="160" w:after="280"/>
        <w:rPr>
          <w:rFonts w:hint="eastAsia"/>
        </w:rPr>
      </w:pPr>
    </w:p>
    <w:p w14:paraId="5BEB8505" w14:textId="77777777" w:rsidR="00442749" w:rsidRDefault="00F64CE5">
      <w:pPr>
        <w:spacing w:after="40"/>
        <w:rPr>
          <w:rFonts w:hint="eastAsia"/>
        </w:rPr>
      </w:pPr>
      <w:r>
        <w:rPr>
          <w:rFonts w:ascii="Segoe UI Semibold" w:hAnsi="Segoe UI Semibold"/>
          <w:sz w:val="21"/>
        </w:rPr>
        <w:t xml:space="preserve">Proyecto   </w:t>
      </w:r>
      <w:r>
        <w:rPr>
          <w:color w:val="6E6E73"/>
          <w:sz w:val="21"/>
        </w:rPr>
        <w:t>Macroeconomía y retornos del sector cobre en Chile (2004–2024)</w:t>
      </w:r>
    </w:p>
    <w:p w14:paraId="755AE5C8" w14:textId="77777777" w:rsidR="00442749" w:rsidRDefault="00F64CE5">
      <w:pPr>
        <w:spacing w:after="40"/>
        <w:rPr>
          <w:rFonts w:hint="eastAsia"/>
        </w:rPr>
      </w:pPr>
      <w:r>
        <w:rPr>
          <w:rFonts w:ascii="Segoe UI Semibold" w:hAnsi="Segoe UI Semibold"/>
          <w:sz w:val="21"/>
        </w:rPr>
        <w:t xml:space="preserve">Documento   </w:t>
      </w:r>
      <w:r>
        <w:rPr>
          <w:color w:val="6E6E73"/>
          <w:sz w:val="21"/>
        </w:rPr>
        <w:t>Historia del Cobre</w:t>
      </w:r>
    </w:p>
    <w:p w14:paraId="3B2E291C" w14:textId="77777777" w:rsidR="00442749" w:rsidRDefault="00F64CE5">
      <w:pPr>
        <w:spacing w:after="40"/>
        <w:rPr>
          <w:rFonts w:hint="eastAsia"/>
        </w:rPr>
      </w:pPr>
      <w:r>
        <w:rPr>
          <w:rFonts w:ascii="Segoe UI Semibold" w:hAnsi="Segoe UI Semibold"/>
          <w:sz w:val="21"/>
        </w:rPr>
        <w:t xml:space="preserve">Formato   </w:t>
      </w:r>
      <w:r>
        <w:rPr>
          <w:color w:val="6E6E73"/>
          <w:sz w:val="21"/>
        </w:rPr>
        <w:t xml:space="preserve">Estilo Apple · </w:t>
      </w:r>
      <w:r>
        <w:rPr>
          <w:color w:val="6E6E73"/>
          <w:sz w:val="21"/>
        </w:rPr>
        <w:t>sugerencias MIT (sans serif, índice, enlaces)</w:t>
      </w:r>
    </w:p>
    <w:p w14:paraId="74EBEFF6" w14:textId="77777777" w:rsidR="00442749" w:rsidRDefault="00F64CE5">
      <w:pPr>
        <w:rPr>
          <w:rFonts w:hint="eastAsia"/>
        </w:rPr>
      </w:pPr>
      <w:r>
        <w:br w:type="page"/>
      </w:r>
    </w:p>
    <w:p w14:paraId="1A619393" w14:textId="77777777" w:rsidR="00442749" w:rsidRDefault="00F64CE5">
      <w:pPr>
        <w:pStyle w:val="Ttulo1"/>
      </w:pPr>
      <w:r>
        <w:lastRenderedPageBreak/>
        <w:t>Historia económica del cobre en Chile</w:t>
      </w:r>
    </w:p>
    <w:p w14:paraId="2C6734C3" w14:textId="77777777" w:rsidR="00442749" w:rsidRDefault="00F64CE5">
      <w:pPr>
        <w:pStyle w:val="Ttulo2"/>
      </w:pPr>
      <w:r>
        <w:t>1. Resumen e importancia para la tesis</w:t>
      </w:r>
    </w:p>
    <w:p w14:paraId="0E5FE5D3" w14:textId="77777777" w:rsidR="00442749" w:rsidRDefault="00F64CE5">
      <w:pPr>
        <w:rPr>
          <w:rFonts w:hint="eastAsia"/>
        </w:rPr>
      </w:pPr>
      <w:r>
        <w:t xml:space="preserve">El cobre es, en la expresión popularizada por Salvador Allende, </w:t>
      </w:r>
      <w:r>
        <w:rPr>
          <w:i/>
        </w:rPr>
        <w:t>"el sueldo de Chile"</w:t>
      </w:r>
      <w:r>
        <w:t>. Su precio internacional —fijado en mercados como la Bolsa de Metales de Londres— se transmite a la economía chilena a través de las exportaciones, la recaudación fiscal, el tipo de cambio y los resultados de las empresas mineras que cotizan o que dependen del sector. Comprender la trayectoria histórica del cobre permite interpretar por qué las acciones de empresas vinculadas al metal en Chile son tan sensibles a las condiciones macroeconómicas globales (demanda china, ciclos de precios</w:t>
      </w:r>
      <w:r>
        <w:t>, política tributaria y minera). Esta nota traza esa trayectoria desde la colonia hasta la transición energética.</w:t>
      </w:r>
    </w:p>
    <w:p w14:paraId="10007FFC" w14:textId="77777777" w:rsidR="00442749" w:rsidRDefault="00F64CE5">
      <w:pPr>
        <w:pStyle w:val="Ttulo2"/>
      </w:pPr>
      <w:r>
        <w:t>2. El cobre colonial y el ciclo del siglo XIX (Norte Chico)</w:t>
      </w:r>
    </w:p>
    <w:p w14:paraId="7E3AA017" w14:textId="77777777" w:rsidR="00442749" w:rsidRDefault="00F64CE5">
      <w:pPr>
        <w:rPr>
          <w:rFonts w:hint="eastAsia"/>
        </w:rPr>
      </w:pPr>
      <w:r>
        <w:t>La minería del cobre y la plata fue el motor de la economía chilena del siglo XIX, especialmente en el Norte Chico (regiones de Atacama y Coquimbo). Dos innovaciones y descubrimientos marcaron el auge:</w:t>
      </w:r>
    </w:p>
    <w:p w14:paraId="2A1C7F61" w14:textId="77777777" w:rsidR="00442749" w:rsidRDefault="00F64CE5">
      <w:pPr>
        <w:pStyle w:val="Listaconvietas"/>
        <w:rPr>
          <w:rFonts w:hint="eastAsia"/>
        </w:rPr>
      </w:pPr>
      <w:r>
        <w:t xml:space="preserve">En </w:t>
      </w:r>
      <w:r>
        <w:rPr>
          <w:b/>
        </w:rPr>
        <w:t>1831</w:t>
      </w:r>
      <w:r>
        <w:t xml:space="preserve">, el empresario Charles (Carlos) Lambert introdujo el </w:t>
      </w:r>
      <w:r>
        <w:rPr>
          <w:b/>
        </w:rPr>
        <w:t>horno de reverbero</w:t>
      </w:r>
      <w:r>
        <w:t>, que revolucionó la fundición al permitir aprovechar los sulfuros de cobre que antes se descartaban (Memoria Chilena).</w:t>
      </w:r>
    </w:p>
    <w:p w14:paraId="224F6ACE" w14:textId="77777777" w:rsidR="00442749" w:rsidRDefault="00F64CE5">
      <w:pPr>
        <w:pStyle w:val="Listaconvietas"/>
        <w:rPr>
          <w:rFonts w:hint="eastAsia"/>
        </w:rPr>
      </w:pPr>
      <w:r>
        <w:t xml:space="preserve">En </w:t>
      </w:r>
      <w:r>
        <w:rPr>
          <w:b/>
        </w:rPr>
        <w:t>1832</w:t>
      </w:r>
      <w:r>
        <w:t xml:space="preserve">, Juan Godoy descubrió el yacimiento de plata de </w:t>
      </w:r>
      <w:r>
        <w:rPr>
          <w:b/>
        </w:rPr>
        <w:t>Chañarcillo</w:t>
      </w:r>
      <w:r>
        <w:t>, al sur de Copiapó, que atrajo a miles de buscadores (Memoria Chilena).</w:t>
      </w:r>
    </w:p>
    <w:p w14:paraId="5BC12E03" w14:textId="77777777" w:rsidR="00442749" w:rsidRDefault="00F64CE5">
      <w:pPr>
        <w:pStyle w:val="Listaconvietas"/>
        <w:rPr>
          <w:rFonts w:hint="eastAsia"/>
        </w:rPr>
      </w:pPr>
      <w:r>
        <w:t xml:space="preserve">En </w:t>
      </w:r>
      <w:r>
        <w:rPr>
          <w:b/>
        </w:rPr>
        <w:t>1852</w:t>
      </w:r>
      <w:r>
        <w:t xml:space="preserve">, José Tomás Urmeneta descubrió el rico mineral de cobre de </w:t>
      </w:r>
      <w:r>
        <w:rPr>
          <w:b/>
        </w:rPr>
        <w:t>Tamaya</w:t>
      </w:r>
      <w:r>
        <w:t xml:space="preserve">, cerca de Ovalle (Región de Coquimbo), con vetas de ley extraordinariamente alta, y estableció fundiciones en Guayacán y Tongoy (Memoria Chilena; Wikipedia, </w:t>
      </w:r>
      <w:r>
        <w:rPr>
          <w:i/>
        </w:rPr>
        <w:t>Mineral de Tamaya</w:t>
      </w:r>
      <w:r>
        <w:t>).</w:t>
      </w:r>
    </w:p>
    <w:p w14:paraId="1D0F0661" w14:textId="77777777" w:rsidR="00442749" w:rsidRDefault="00F64CE5">
      <w:pPr>
        <w:rPr>
          <w:rFonts w:hint="eastAsia"/>
        </w:rPr>
      </w:pPr>
      <w:r>
        <w:t xml:space="preserve">El dinamismo del sector quedó reflejado en obras como el </w:t>
      </w:r>
      <w:r>
        <w:rPr>
          <w:b/>
        </w:rPr>
        <w:t>ferrocarril Copiapó–Caldera (1851)</w:t>
      </w:r>
      <w:r>
        <w:t xml:space="preserve">, financiado con capital regional. Hacia la </w:t>
      </w:r>
      <w:r>
        <w:rPr>
          <w:b/>
        </w:rPr>
        <w:t xml:space="preserve">década de 1870, Chile </w:t>
      </w:r>
      <w:r>
        <w:rPr>
          <w:b/>
        </w:rPr>
        <w:lastRenderedPageBreak/>
        <w:t>llegó a ser el primer exportador de cobre del mundo</w:t>
      </w:r>
      <w:r>
        <w:t xml:space="preserve"> (Memoria Chilena). La crisis internacional de precios iniciada hacia </w:t>
      </w:r>
      <w:r>
        <w:rPr>
          <w:b/>
        </w:rPr>
        <w:t>1874</w:t>
      </w:r>
      <w:r>
        <w:t xml:space="preserve"> abrió una recesión prolongada, y a fines del siglo la producción cuprífera chilena cayó fuertemente: según CODELCO, la producción había descendido a unas </w:t>
      </w:r>
      <w:r>
        <w:rPr>
          <w:b/>
        </w:rPr>
        <w:t>21.000 toneladas en 1897</w:t>
      </w:r>
      <w:r>
        <w:t>, tras haber sido protagonista mundial durante buena parte del siglo.</w:t>
      </w:r>
    </w:p>
    <w:p w14:paraId="6474702F" w14:textId="77777777" w:rsidR="00442749" w:rsidRDefault="00F64CE5">
      <w:pPr>
        <w:pStyle w:val="Ttulo2"/>
      </w:pPr>
      <w:r>
        <w:t>3. La Gran Minería del siglo XX: El Teniente, Chuquicamata y el capital estadounidense</w:t>
      </w:r>
    </w:p>
    <w:p w14:paraId="620096B6" w14:textId="77777777" w:rsidR="00442749" w:rsidRDefault="00F64CE5">
      <w:pPr>
        <w:rPr>
          <w:rFonts w:hint="eastAsia"/>
        </w:rPr>
      </w:pPr>
      <w:r>
        <w:t xml:space="preserve">A comienzos del siglo XX, la explotación de yacimientos de baja ley a gran escala requirió capital y tecnología que aportaron consorcios estadounidenses, dando origen a la </w:t>
      </w:r>
      <w:r>
        <w:rPr>
          <w:b/>
        </w:rPr>
        <w:t>Gran Minería del Cobre</w:t>
      </w:r>
      <w:r>
        <w:t>:</w:t>
      </w:r>
    </w:p>
    <w:p w14:paraId="4BA2A393" w14:textId="77777777" w:rsidR="00442749" w:rsidRDefault="00F64CE5">
      <w:pPr>
        <w:pStyle w:val="Listaconvietas"/>
        <w:rPr>
          <w:rFonts w:hint="eastAsia"/>
        </w:rPr>
      </w:pPr>
      <w:r>
        <w:rPr>
          <w:b/>
        </w:rPr>
        <w:t>El Teniente</w:t>
      </w:r>
      <w:r>
        <w:t xml:space="preserve"> (Región de O'Higgins): operaciones iniciadas en </w:t>
      </w:r>
      <w:r>
        <w:rPr>
          <w:b/>
        </w:rPr>
        <w:t>1904</w:t>
      </w:r>
      <w:r>
        <w:t xml:space="preserve"> por la </w:t>
      </w:r>
      <w:r>
        <w:rPr>
          <w:b/>
        </w:rPr>
        <w:t>Braden Copper Company</w:t>
      </w:r>
      <w:r>
        <w:t xml:space="preserve">, posteriormente filial de </w:t>
      </w:r>
      <w:r>
        <w:rPr>
          <w:b/>
        </w:rPr>
        <w:t>Kennecott Copper Corporation</w:t>
      </w:r>
      <w:r>
        <w:t xml:space="preserve"> (CODELCO).</w:t>
      </w:r>
    </w:p>
    <w:p w14:paraId="396A27FA" w14:textId="77777777" w:rsidR="00442749" w:rsidRDefault="00F64CE5">
      <w:pPr>
        <w:pStyle w:val="Listaconvietas"/>
        <w:rPr>
          <w:rFonts w:hint="eastAsia"/>
        </w:rPr>
      </w:pPr>
      <w:r>
        <w:rPr>
          <w:b/>
        </w:rPr>
        <w:t>Chuquicamata</w:t>
      </w:r>
      <w:r>
        <w:t xml:space="preserve"> (Región de Antofagasta): explotación a gran escala iniciada en </w:t>
      </w:r>
      <w:r>
        <w:rPr>
          <w:b/>
        </w:rPr>
        <w:t>1910–1915</w:t>
      </w:r>
      <w:r>
        <w:t xml:space="preserve"> por la </w:t>
      </w:r>
      <w:r>
        <w:rPr>
          <w:b/>
        </w:rPr>
        <w:t>Chile Exploration Company</w:t>
      </w:r>
      <w:r>
        <w:t xml:space="preserve">, ligada al grupo </w:t>
      </w:r>
      <w:r>
        <w:rPr>
          <w:b/>
        </w:rPr>
        <w:t>Anaconda Copper</w:t>
      </w:r>
      <w:r>
        <w:t xml:space="preserve"> (CODELCO).</w:t>
      </w:r>
    </w:p>
    <w:p w14:paraId="388C790A" w14:textId="77777777" w:rsidR="00442749" w:rsidRDefault="00F64CE5">
      <w:pPr>
        <w:pStyle w:val="Listaconvietas"/>
        <w:rPr>
          <w:rFonts w:hint="eastAsia"/>
        </w:rPr>
      </w:pPr>
      <w:r>
        <w:rPr>
          <w:b/>
        </w:rPr>
        <w:t>Potrerillos / El Salvador</w:t>
      </w:r>
      <w:r>
        <w:t xml:space="preserve">: operados por la </w:t>
      </w:r>
      <w:r>
        <w:rPr>
          <w:b/>
        </w:rPr>
        <w:t>Andes Copper Mining Company</w:t>
      </w:r>
      <w:r>
        <w:t>, también del grupo Anaconda.</w:t>
      </w:r>
    </w:p>
    <w:p w14:paraId="000C3899" w14:textId="77777777" w:rsidR="00442749" w:rsidRDefault="00F64CE5">
      <w:pPr>
        <w:rPr>
          <w:rFonts w:hint="eastAsia"/>
        </w:rPr>
      </w:pPr>
      <w:r>
        <w:t>Durante décadas, las utilidades de estas operaciones fueron mayoritariamente remitidas al exterior, lo que alimentó un creciente debate político-económico sobre la captación de la renta del cobre por parte del Estado chileno.</w:t>
      </w:r>
    </w:p>
    <w:p w14:paraId="6FE3EF64" w14:textId="77777777" w:rsidR="00442749" w:rsidRDefault="00F64CE5">
      <w:pPr>
        <w:pStyle w:val="Ttulo2"/>
      </w:pPr>
      <w:r>
        <w:t>4. La "chilenización" del cobre (1966–1969)</w:t>
      </w:r>
    </w:p>
    <w:p w14:paraId="1663B6CF" w14:textId="77777777" w:rsidR="00442749" w:rsidRDefault="00F64CE5">
      <w:pPr>
        <w:rPr>
          <w:rFonts w:hint="eastAsia"/>
        </w:rPr>
      </w:pPr>
      <w:r>
        <w:t xml:space="preserve">Bajo el gobierno de </w:t>
      </w:r>
      <w:r>
        <w:rPr>
          <w:b/>
        </w:rPr>
        <w:t>Eduardo Frei Montalva</w:t>
      </w:r>
      <w:r>
        <w:t xml:space="preserve">, la </w:t>
      </w:r>
      <w:r>
        <w:rPr>
          <w:b/>
        </w:rPr>
        <w:t>Ley N° 16.425 (25 de enero de 1966)</w:t>
      </w:r>
      <w:r>
        <w:t xml:space="preserve"> dio inicio a la </w:t>
      </w:r>
      <w:r>
        <w:rPr>
          <w:i/>
        </w:rPr>
        <w:t>chilenización</w:t>
      </w:r>
      <w:r>
        <w:t xml:space="preserve">: la adquisición por el Estado de una participación accionaria en las grandes compañías extranjeras mediante "contratos-ley" (Casa Museo Eduardo Frei Montalva; Wikipedia, </w:t>
      </w:r>
      <w:r>
        <w:rPr>
          <w:i/>
        </w:rPr>
        <w:t>Chilenización del cobre</w:t>
      </w:r>
      <w:r>
        <w:t xml:space="preserve">). En </w:t>
      </w:r>
      <w:r>
        <w:rPr>
          <w:b/>
        </w:rPr>
        <w:t>1967</w:t>
      </w:r>
      <w:r>
        <w:t xml:space="preserve"> se </w:t>
      </w:r>
      <w:r>
        <w:lastRenderedPageBreak/>
        <w:t xml:space="preserve">constituyeron sociedades mixtas: el Estado adquirió el </w:t>
      </w:r>
      <w:r>
        <w:rPr>
          <w:b/>
        </w:rPr>
        <w:t>51% de El Teniente</w:t>
      </w:r>
      <w:r>
        <w:t xml:space="preserve"> (sociedad con Braden/Kennecott) y participaciones menores (en torno al 25%) en las nuevas compañías </w:t>
      </w:r>
      <w:r>
        <w:rPr>
          <w:b/>
        </w:rPr>
        <w:t>Andina</w:t>
      </w:r>
      <w:r>
        <w:t xml:space="preserve"> y </w:t>
      </w:r>
      <w:r>
        <w:rPr>
          <w:b/>
        </w:rPr>
        <w:t>Exótica</w:t>
      </w:r>
      <w:r>
        <w:t>. Hacia 1969 el proceso</w:t>
      </w:r>
      <w:r>
        <w:t xml:space="preserve"> avanzó hacia la "nacionalización pactada", elevando la participación estatal en las filiales de Anaconda.</w:t>
      </w:r>
    </w:p>
    <w:p w14:paraId="0A68DE79" w14:textId="77777777" w:rsidR="00442749" w:rsidRDefault="00F64CE5">
      <w:pPr>
        <w:pStyle w:val="Ttulo2"/>
      </w:pPr>
      <w:r>
        <w:t>5. La nacionalización del cobre (1971)</w:t>
      </w:r>
    </w:p>
    <w:p w14:paraId="742B6F11" w14:textId="77777777" w:rsidR="00442749" w:rsidRDefault="00F64CE5">
      <w:pPr>
        <w:rPr>
          <w:rFonts w:hint="eastAsia"/>
        </w:rPr>
      </w:pPr>
      <w:r>
        <w:t xml:space="preserve">El </w:t>
      </w:r>
      <w:r>
        <w:rPr>
          <w:b/>
        </w:rPr>
        <w:t>11 de julio de 1971</w:t>
      </w:r>
      <w:r>
        <w:t xml:space="preserve">, el Congreso Nacional aprobó </w:t>
      </w:r>
      <w:r>
        <w:rPr>
          <w:b/>
        </w:rPr>
        <w:t>por unanimidad</w:t>
      </w:r>
      <w:r>
        <w:t xml:space="preserve"> la reforma constitucional </w:t>
      </w:r>
      <w:r>
        <w:rPr>
          <w:b/>
        </w:rPr>
        <w:t>Ley N° 17.450</w:t>
      </w:r>
      <w:r>
        <w:t xml:space="preserve"> (que modificó el artículo 10 de la Constitución de 1925), nacionalizando los yacimientos de la Gran Minería del Cobre durante el gobierno de </w:t>
      </w:r>
      <w:r>
        <w:rPr>
          <w:b/>
        </w:rPr>
        <w:t>Salvador Allende</w:t>
      </w:r>
      <w:r>
        <w:t xml:space="preserve"> (BCN; Memoria Chilena; Wikipedia). Ese día Allende pronunció su discurso en Rancagua, ante mineros de El Teniente, calificando el hecho como la </w:t>
      </w:r>
      <w:r>
        <w:rPr>
          <w:i/>
        </w:rPr>
        <w:t>"segunda independencia"</w:t>
      </w:r>
      <w:r>
        <w:t xml:space="preserve"> y </w:t>
      </w:r>
      <w:r>
        <w:rPr>
          <w:i/>
        </w:rPr>
        <w:t>"el Día de la Dignidad Nacional"</w:t>
      </w:r>
      <w:r>
        <w:t>. En esa época el cobre concentraba alrededor de</w:t>
      </w:r>
      <w:r>
        <w:t>l 80% de las exportaciones chilenas, y la nacionalización buscó recuperar el control estatal sobre el recurso. La medida generó tensiones internacionales por el descuento de "utilidades excesivas" en las indemnizaciones a las empresas estadounidenses.</w:t>
      </w:r>
    </w:p>
    <w:p w14:paraId="4150D856" w14:textId="77777777" w:rsidR="00442749" w:rsidRDefault="00F64CE5">
      <w:pPr>
        <w:pStyle w:val="Ttulo2"/>
      </w:pPr>
      <w:r>
        <w:t>6. La creación de CODELCO (1976)</w:t>
      </w:r>
    </w:p>
    <w:p w14:paraId="55882A24" w14:textId="77777777" w:rsidR="00442749" w:rsidRDefault="00F64CE5">
      <w:pPr>
        <w:rPr>
          <w:rFonts w:hint="eastAsia"/>
        </w:rPr>
      </w:pPr>
      <w:r>
        <w:t xml:space="preserve">La operación de los yacimientos nacionalizados se consolidó en una sola empresa estatal mediante los </w:t>
      </w:r>
      <w:r>
        <w:rPr>
          <w:b/>
        </w:rPr>
        <w:t>Decretos Ley N° 1.349 y N° 1.350</w:t>
      </w:r>
      <w:r>
        <w:t xml:space="preserve">, publicados el </w:t>
      </w:r>
      <w:r>
        <w:rPr>
          <w:b/>
        </w:rPr>
        <w:t>1 de abril de 1976</w:t>
      </w:r>
      <w:r>
        <w:t xml:space="preserve"> durante el régimen militar, que crearon la </w:t>
      </w:r>
      <w:r>
        <w:rPr>
          <w:b/>
        </w:rPr>
        <w:t>Corporación Nacional del Cobre de Chile (CODELCO)</w:t>
      </w:r>
      <w:r>
        <w:t xml:space="preserve"> (BCN, </w:t>
      </w:r>
      <w:r>
        <w:rPr>
          <w:i/>
        </w:rPr>
        <w:t>DL 1350</w:t>
      </w:r>
      <w:r>
        <w:t xml:space="preserve">; CODELCO). CODELCO agrupó los yacimientos (Chuquicamata, El Teniente, Andina, El Salvador, entre otros) y se convirtió en el principal productor de cobre del mundo y en uno de los mayores aportantes al erario nacional. En 2009 la </w:t>
      </w:r>
      <w:r>
        <w:rPr>
          <w:b/>
        </w:rPr>
        <w:t>Ley N° 20.392</w:t>
      </w:r>
      <w:r>
        <w:t xml:space="preserve"> reformó su gobierno corporativo (vigente desde marzo de 2010).</w:t>
      </w:r>
    </w:p>
    <w:p w14:paraId="63C58B2E" w14:textId="77777777" w:rsidR="00442749" w:rsidRDefault="00F64CE5">
      <w:pPr>
        <w:pStyle w:val="Ttulo2"/>
      </w:pPr>
      <w:r>
        <w:lastRenderedPageBreak/>
        <w:t>7. La Ley Reservada del Cobre y su derogación (2019)</w:t>
      </w:r>
    </w:p>
    <w:p w14:paraId="2C795754" w14:textId="77777777" w:rsidR="00442749" w:rsidRDefault="00F64CE5">
      <w:pPr>
        <w:rPr>
          <w:rFonts w:hint="eastAsia"/>
        </w:rPr>
      </w:pPr>
      <w:r>
        <w:t xml:space="preserve">La </w:t>
      </w:r>
      <w:r>
        <w:rPr>
          <w:b/>
        </w:rPr>
        <w:t>Ley N° 13.196 ("Ley Reservada del Cobre")</w:t>
      </w:r>
      <w:r>
        <w:t xml:space="preserve"> establecía que el </w:t>
      </w:r>
      <w:r>
        <w:rPr>
          <w:b/>
        </w:rPr>
        <w:t>10% de las ventas de CODELCO</w:t>
      </w:r>
      <w:r>
        <w:t xml:space="preserve"> (en cobre y subproductos) se destinaba a financiar compras de material bélico de las Fuerzas Armadas. Tras décadas de cuestionamientos por su falta de transparencia, en </w:t>
      </w:r>
      <w:r>
        <w:rPr>
          <w:b/>
        </w:rPr>
        <w:t>julio de 2019</w:t>
      </w:r>
      <w:r>
        <w:t xml:space="preserve"> el Congreso aprobó su </w:t>
      </w:r>
      <w:r>
        <w:rPr>
          <w:b/>
        </w:rPr>
        <w:t>derogación (Ley N° 21.174)</w:t>
      </w:r>
      <w:r>
        <w:t xml:space="preserve">, reemplazándola por un </w:t>
      </w:r>
      <w:r>
        <w:rPr>
          <w:b/>
        </w:rPr>
        <w:t>Fondo Plurianual para las Capacidades Estratégicas de la Defensa</w:t>
      </w:r>
      <w:r>
        <w:t>, con control de la Contraloría y el Congreso. La ley contempló una transición: el aporte del 10% se man</w:t>
      </w:r>
      <w:r>
        <w:t xml:space="preserve">tiene varios años y se reduce gradualmente hasta extinguirse (El Mostrador; BioBioChile; Wikipedia, </w:t>
      </w:r>
      <w:r>
        <w:rPr>
          <w:i/>
        </w:rPr>
        <w:t>Ley Reservada del Cobre</w:t>
      </w:r>
      <w:r>
        <w:t>).</w:t>
      </w:r>
    </w:p>
    <w:p w14:paraId="4617EF68" w14:textId="77777777" w:rsidR="00442749" w:rsidRDefault="00F64CE5">
      <w:pPr>
        <w:pStyle w:val="Ttulo2"/>
      </w:pPr>
      <w:r>
        <w:t>8. El royalty minero (2023)</w:t>
      </w:r>
    </w:p>
    <w:p w14:paraId="1F4843F9" w14:textId="77777777" w:rsidR="00442749" w:rsidRDefault="00F64CE5">
      <w:pPr>
        <w:rPr>
          <w:rFonts w:hint="eastAsia"/>
        </w:rPr>
      </w:pPr>
      <w:r>
        <w:t xml:space="preserve">Tras un largo debate sobre la captación de la renta minera, la </w:t>
      </w:r>
      <w:r>
        <w:rPr>
          <w:b/>
        </w:rPr>
        <w:t>Ley N° 21.591 sobre Royalty a la Minería</w:t>
      </w:r>
      <w:r>
        <w:t xml:space="preserve"> fue publicada el </w:t>
      </w:r>
      <w:r>
        <w:rPr>
          <w:b/>
        </w:rPr>
        <w:t>10 de agosto de 2023</w:t>
      </w:r>
      <w:r>
        <w:t xml:space="preserve"> y entró en vigor el </w:t>
      </w:r>
      <w:r>
        <w:rPr>
          <w:b/>
        </w:rPr>
        <w:t>1 de enero de 2024</w:t>
      </w:r>
      <w:r>
        <w:t xml:space="preserve"> (BCN; Ministerio de Hacienda). Reemplazó el antiguo Impuesto Específico a la Actividad Minera por un gravamen con dos componentes para grandes operadores (ventas anuales sobre el equivalente a 50.000 toneladas de cobre fino):</w:t>
      </w:r>
    </w:p>
    <w:p w14:paraId="32645D1B" w14:textId="77777777" w:rsidR="00442749" w:rsidRDefault="00F64CE5">
      <w:pPr>
        <w:pStyle w:val="Listaconvietas"/>
        <w:rPr>
          <w:rFonts w:hint="eastAsia"/>
        </w:rPr>
      </w:pPr>
      <w:r>
        <w:t xml:space="preserve">Un </w:t>
      </w:r>
      <w:r>
        <w:rPr>
          <w:b/>
        </w:rPr>
        <w:t>componente ad valorem</w:t>
      </w:r>
      <w:r>
        <w:t xml:space="preserve"> de </w:t>
      </w:r>
      <w:r>
        <w:rPr>
          <w:b/>
        </w:rPr>
        <w:t>1%</w:t>
      </w:r>
      <w:r>
        <w:t xml:space="preserve"> sobre las ventas anuales de cobre.</w:t>
      </w:r>
    </w:p>
    <w:p w14:paraId="4F54B0BF" w14:textId="77777777" w:rsidR="00442749" w:rsidRDefault="00F64CE5">
      <w:pPr>
        <w:pStyle w:val="Listaconvietas"/>
        <w:rPr>
          <w:rFonts w:hint="eastAsia"/>
        </w:rPr>
      </w:pPr>
      <w:r>
        <w:t xml:space="preserve">Un </w:t>
      </w:r>
      <w:r>
        <w:rPr>
          <w:b/>
        </w:rPr>
        <w:t>componente sobre el margen minero</w:t>
      </w:r>
      <w:r>
        <w:t xml:space="preserve"> con tasas progresivas (desde 5% hasta tramos superiores según el margen operacional ajustado).</w:t>
      </w:r>
    </w:p>
    <w:p w14:paraId="7F0D645A" w14:textId="77777777" w:rsidR="00442749" w:rsidRDefault="00F64CE5">
      <w:pPr>
        <w:rPr>
          <w:rFonts w:hint="eastAsia"/>
        </w:rPr>
      </w:pPr>
      <w:r>
        <w:t>La ley estableció además la distribución de recursos hacia las regiones y comunas (Cooperativa; EY Chile).</w:t>
      </w:r>
    </w:p>
    <w:p w14:paraId="3FCFD026" w14:textId="77777777" w:rsidR="00442749" w:rsidRDefault="00F64CE5">
      <w:pPr>
        <w:pStyle w:val="Ttulo2"/>
      </w:pPr>
      <w:r>
        <w:t>9. El súper-ciclo del cobre (2003–2013) y la demanda china</w:t>
      </w:r>
    </w:p>
    <w:p w14:paraId="22711A99" w14:textId="77777777" w:rsidR="00442749" w:rsidRDefault="00F64CE5">
      <w:pPr>
        <w:rPr>
          <w:rFonts w:hint="eastAsia"/>
        </w:rPr>
      </w:pPr>
      <w:r>
        <w:t xml:space="preserve">El llamado </w:t>
      </w:r>
      <w:r>
        <w:rPr>
          <w:i/>
        </w:rPr>
        <w:t>súper-ciclo</w:t>
      </w:r>
      <w:r>
        <w:t xml:space="preserve"> del cobre se inició hacia </w:t>
      </w:r>
      <w:r>
        <w:rPr>
          <w:b/>
        </w:rPr>
        <w:t>diciembre de 2003</w:t>
      </w:r>
      <w:r>
        <w:t xml:space="preserve">, cuando el precio recuperó el umbral de </w:t>
      </w:r>
      <w:r>
        <w:rPr>
          <w:b/>
        </w:rPr>
        <w:t>US$1 por libra</w:t>
      </w:r>
      <w:r>
        <w:t xml:space="preserve"> por primera vez en seis años (Emol). El metal superó </w:t>
      </w:r>
      <w:r>
        <w:rPr>
          <w:b/>
        </w:rPr>
        <w:t>US$2</w:t>
      </w:r>
      <w:r>
        <w:t xml:space="preserve">, luego </w:t>
      </w:r>
      <w:r>
        <w:rPr>
          <w:b/>
        </w:rPr>
        <w:t>US$3</w:t>
      </w:r>
      <w:r>
        <w:t xml:space="preserve">, y en </w:t>
      </w:r>
      <w:r>
        <w:rPr>
          <w:b/>
        </w:rPr>
        <w:t>2008 superó por primera vez los US$4 por libra</w:t>
      </w:r>
      <w:r>
        <w:t xml:space="preserve">. </w:t>
      </w:r>
      <w:r>
        <w:lastRenderedPageBreak/>
        <w:t xml:space="preserve">La quiebra de </w:t>
      </w:r>
      <w:r>
        <w:rPr>
          <w:b/>
        </w:rPr>
        <w:t>Lehman Brothers</w:t>
      </w:r>
      <w:r>
        <w:t xml:space="preserve"> y la crisis subprime arrastraron el precio bajo US</w:t>
      </w:r>
      <w:r>
        <w:rPr>
          <w:i/>
        </w:rPr>
        <w:t>2 en octubre de 2008, pero se recuperó con fuerza: el **máximo histórico del período se alcanzó el 14 de febrero de 2011, con ~US</w:t>
      </w:r>
      <w:r>
        <w:t>4,60 por libra</w:t>
      </w:r>
      <w:r>
        <w:rPr>
          <w:b/>
        </w:rPr>
        <w:t xml:space="preserve"> (Emol). El principal motor fue la </w:t>
      </w:r>
      <w:r>
        <w:t>demanda china</w:t>
      </w:r>
      <w:r>
        <w:rPr>
          <w:b/>
        </w:rPr>
        <w:t>: entr</w:t>
      </w:r>
      <w:r>
        <w:rPr>
          <w:b/>
        </w:rPr>
        <w:t xml:space="preserve">e 2003 y 2012 el consumo chino de cobre se multiplicó aproximadamente </w:t>
      </w:r>
      <w:r>
        <w:t>2,7 veces** (Emol). Este ciclo es central para la tesis, pues representa el episodio de mayor transmisión del shock externo de precios a la economía y a las empresas mineras chilenas.</w:t>
      </w:r>
    </w:p>
    <w:p w14:paraId="68161C6C" w14:textId="77777777" w:rsidR="00442749" w:rsidRDefault="00F64CE5">
      <w:pPr>
        <w:pStyle w:val="Ttulo2"/>
      </w:pPr>
      <w:r>
        <w:t>10. Relevancia actual y transición energética</w:t>
      </w:r>
    </w:p>
    <w:p w14:paraId="334D47F5" w14:textId="77777777" w:rsidR="00442749" w:rsidRDefault="00F64CE5">
      <w:pPr>
        <w:pStyle w:val="Listaconvietas"/>
        <w:rPr>
          <w:rFonts w:hint="eastAsia"/>
        </w:rPr>
      </w:pPr>
      <w:r>
        <w:rPr>
          <w:b/>
        </w:rPr>
        <w:t>Producción mundial.</w:t>
      </w:r>
      <w:r>
        <w:t xml:space="preserve"> En </w:t>
      </w:r>
      <w:r>
        <w:rPr>
          <w:b/>
        </w:rPr>
        <w:t>2024</w:t>
      </w:r>
      <w:r>
        <w:t xml:space="preserve"> Chile se mantuvo como </w:t>
      </w:r>
      <w:r>
        <w:rPr>
          <w:b/>
        </w:rPr>
        <w:t>primer productor mundial de cobre</w:t>
      </w:r>
      <w:r>
        <w:t xml:space="preserve">, con </w:t>
      </w:r>
      <w:r>
        <w:rPr>
          <w:b/>
        </w:rPr>
        <w:t>5,5 millones de toneladas</w:t>
      </w:r>
      <w:r>
        <w:t xml:space="preserve"> (alza de 4,9% respecto a 2023), aunque su participación mundial bajó a alrededor del </w:t>
      </w:r>
      <w:r>
        <w:rPr>
          <w:b/>
        </w:rPr>
        <w:t>24%</w:t>
      </w:r>
      <w:r>
        <w:t xml:space="preserve">, desde cerca del </w:t>
      </w:r>
      <w:r>
        <w:rPr>
          <w:b/>
        </w:rPr>
        <w:t>30% en 2015</w:t>
      </w:r>
      <w:r>
        <w:t xml:space="preserve"> (Cochilco; plusmining). Cochilco proyecta que la participación de Chile podría aumentar nuevamente hacia 2034 [verificar magnitud exacta].</w:t>
      </w:r>
    </w:p>
    <w:p w14:paraId="36CE4AFC" w14:textId="77777777" w:rsidR="00442749" w:rsidRDefault="00F64CE5">
      <w:pPr>
        <w:pStyle w:val="Listaconvietas"/>
        <w:rPr>
          <w:rFonts w:hint="eastAsia"/>
        </w:rPr>
      </w:pPr>
      <w:r>
        <w:rPr>
          <w:b/>
        </w:rPr>
        <w:t>Peso en la economía.</w:t>
      </w:r>
      <w:r>
        <w:t xml:space="preserve"> El sector minero representó cerca del </w:t>
      </w:r>
      <w:r>
        <w:rPr>
          <w:b/>
        </w:rPr>
        <w:t>10% del PIB</w:t>
      </w:r>
      <w:r>
        <w:t xml:space="preserve"> y más del </w:t>
      </w:r>
      <w:r>
        <w:rPr>
          <w:b/>
        </w:rPr>
        <w:t>50% de las exportaciones de bienes</w:t>
      </w:r>
      <w:r>
        <w:t xml:space="preserve"> del país, cifra que se eleva considerando encadenamientos indirectos (Consejo Minero / InvestChile) [verificar año exacto de cada cifra].</w:t>
      </w:r>
    </w:p>
    <w:p w14:paraId="231F7C3E" w14:textId="77777777" w:rsidR="00442749" w:rsidRDefault="00F64CE5">
      <w:pPr>
        <w:pStyle w:val="Listaconvietas"/>
        <w:rPr>
          <w:rFonts w:hint="eastAsia"/>
        </w:rPr>
      </w:pPr>
      <w:r>
        <w:rPr>
          <w:b/>
        </w:rPr>
        <w:t>CODELCO.</w:t>
      </w:r>
      <w:r>
        <w:t xml:space="preserve"> Sigue siendo uno de los mayores productores mundiales: en 2024 produjo cerca de </w:t>
      </w:r>
      <w:r>
        <w:rPr>
          <w:b/>
        </w:rPr>
        <w:t>1,44 millones de toneladas</w:t>
      </w:r>
      <w:r>
        <w:t>, disputando el liderazgo con BHP, y mantiene un aporte fiscal directo relevante (US$ 1.778 millones de aporte al Fisco según su reporte de resultados 2024, +16% interanual) (CODELCO; BioBioChile).</w:t>
      </w:r>
    </w:p>
    <w:p w14:paraId="09EE1012" w14:textId="77777777" w:rsidR="00442749" w:rsidRDefault="00F64CE5">
      <w:pPr>
        <w:pStyle w:val="Listaconvietas"/>
        <w:rPr>
          <w:rFonts w:hint="eastAsia"/>
        </w:rPr>
      </w:pPr>
      <w:r>
        <w:rPr>
          <w:b/>
        </w:rPr>
        <w:t>Transición energética.</w:t>
      </w:r>
      <w:r>
        <w:t xml:space="preserve"> El cobre es insumo esencial de la electromovilidad, las redes eléctricas, la energía solar y eólica y las baterías, lo que sustenta proyecciones de demanda estructural creciente. CODELCO ha sumado además un rol estratégico en litio, reforzando la posición de Chile en la cadena de minerales críticos para la transición global.</w:t>
      </w:r>
    </w:p>
    <w:p w14:paraId="0CEB4933" w14:textId="77777777" w:rsidR="00442749" w:rsidRDefault="00F64CE5">
      <w:pPr>
        <w:pStyle w:val="Ttulo2"/>
      </w:pPr>
      <w:r>
        <w:lastRenderedPageBreak/>
        <w:t>11. Tabla de hitos cronológicos</w:t>
      </w:r>
    </w:p>
    <w:tbl>
      <w:tblPr>
        <w:tblW w:w="0" w:type="auto"/>
        <w:tblLook w:val="04A0" w:firstRow="1" w:lastRow="0" w:firstColumn="1" w:lastColumn="0" w:noHBand="0" w:noVBand="1"/>
      </w:tblPr>
      <w:tblGrid>
        <w:gridCol w:w="2871"/>
        <w:gridCol w:w="2871"/>
        <w:gridCol w:w="2871"/>
      </w:tblGrid>
      <w:tr w:rsidR="00442749" w14:paraId="126E626E" w14:textId="77777777">
        <w:tc>
          <w:tcPr>
            <w:tcW w:w="2871" w:type="dxa"/>
            <w:tcBorders>
              <w:bottom w:val="single" w:sz="6" w:space="0" w:color="D2D2D7"/>
            </w:tcBorders>
            <w:shd w:val="clear" w:color="auto" w:fill="F5F5F7"/>
            <w:tcMar>
              <w:top w:w="80" w:type="dxa"/>
              <w:left w:w="110" w:type="dxa"/>
              <w:bottom w:w="80" w:type="dxa"/>
              <w:right w:w="110" w:type="dxa"/>
            </w:tcMar>
          </w:tcPr>
          <w:p w14:paraId="3963E805" w14:textId="77777777" w:rsidR="00442749" w:rsidRDefault="00F64CE5">
            <w:pPr>
              <w:spacing w:after="40" w:line="252" w:lineRule="auto"/>
              <w:rPr>
                <w:rFonts w:hint="eastAsia"/>
              </w:rPr>
            </w:pPr>
            <w:r>
              <w:rPr>
                <w:b/>
                <w:sz w:val="20"/>
              </w:rPr>
              <w:t>Año</w:t>
            </w:r>
          </w:p>
        </w:tc>
        <w:tc>
          <w:tcPr>
            <w:tcW w:w="2871" w:type="dxa"/>
            <w:tcBorders>
              <w:bottom w:val="single" w:sz="6" w:space="0" w:color="D2D2D7"/>
            </w:tcBorders>
            <w:shd w:val="clear" w:color="auto" w:fill="F5F5F7"/>
            <w:tcMar>
              <w:top w:w="80" w:type="dxa"/>
              <w:left w:w="110" w:type="dxa"/>
              <w:bottom w:w="80" w:type="dxa"/>
              <w:right w:w="110" w:type="dxa"/>
            </w:tcMar>
          </w:tcPr>
          <w:p w14:paraId="48C8CE06" w14:textId="77777777" w:rsidR="00442749" w:rsidRDefault="00F64CE5">
            <w:pPr>
              <w:spacing w:after="40" w:line="252" w:lineRule="auto"/>
              <w:rPr>
                <w:rFonts w:hint="eastAsia"/>
              </w:rPr>
            </w:pPr>
            <w:r>
              <w:rPr>
                <w:b/>
                <w:sz w:val="20"/>
              </w:rPr>
              <w:t>Hito</w:t>
            </w:r>
          </w:p>
        </w:tc>
        <w:tc>
          <w:tcPr>
            <w:tcW w:w="2871" w:type="dxa"/>
            <w:tcBorders>
              <w:bottom w:val="single" w:sz="6" w:space="0" w:color="D2D2D7"/>
            </w:tcBorders>
            <w:shd w:val="clear" w:color="auto" w:fill="F5F5F7"/>
            <w:tcMar>
              <w:top w:w="80" w:type="dxa"/>
              <w:left w:w="110" w:type="dxa"/>
              <w:bottom w:w="80" w:type="dxa"/>
              <w:right w:w="110" w:type="dxa"/>
            </w:tcMar>
          </w:tcPr>
          <w:p w14:paraId="5A949D96" w14:textId="77777777" w:rsidR="00442749" w:rsidRDefault="00F64CE5">
            <w:pPr>
              <w:spacing w:after="40" w:line="252" w:lineRule="auto"/>
              <w:rPr>
                <w:rFonts w:hint="eastAsia"/>
              </w:rPr>
            </w:pPr>
            <w:r>
              <w:rPr>
                <w:b/>
                <w:sz w:val="20"/>
              </w:rPr>
              <w:t>Fuente principal</w:t>
            </w:r>
          </w:p>
        </w:tc>
      </w:tr>
      <w:tr w:rsidR="00442749" w14:paraId="23D4E930" w14:textId="77777777">
        <w:tc>
          <w:tcPr>
            <w:tcW w:w="2871" w:type="dxa"/>
            <w:tcBorders>
              <w:bottom w:val="single" w:sz="4" w:space="0" w:color="D2D2D7"/>
            </w:tcBorders>
            <w:tcMar>
              <w:top w:w="80" w:type="dxa"/>
              <w:left w:w="110" w:type="dxa"/>
              <w:bottom w:w="80" w:type="dxa"/>
              <w:right w:w="110" w:type="dxa"/>
            </w:tcMar>
          </w:tcPr>
          <w:p w14:paraId="2FC2CEC2" w14:textId="77777777" w:rsidR="00442749" w:rsidRDefault="00F64CE5">
            <w:pPr>
              <w:spacing w:after="40" w:line="252" w:lineRule="auto"/>
              <w:rPr>
                <w:rFonts w:hint="eastAsia"/>
              </w:rPr>
            </w:pPr>
            <w:r>
              <w:rPr>
                <w:sz w:val="20"/>
              </w:rPr>
              <w:t>1831</w:t>
            </w:r>
          </w:p>
        </w:tc>
        <w:tc>
          <w:tcPr>
            <w:tcW w:w="2871" w:type="dxa"/>
            <w:tcBorders>
              <w:bottom w:val="single" w:sz="4" w:space="0" w:color="D2D2D7"/>
            </w:tcBorders>
            <w:tcMar>
              <w:top w:w="80" w:type="dxa"/>
              <w:left w:w="110" w:type="dxa"/>
              <w:bottom w:w="80" w:type="dxa"/>
              <w:right w:w="110" w:type="dxa"/>
            </w:tcMar>
          </w:tcPr>
          <w:p w14:paraId="5F82B62D" w14:textId="77777777" w:rsidR="00442749" w:rsidRDefault="00F64CE5">
            <w:pPr>
              <w:spacing w:after="40" w:line="252" w:lineRule="auto"/>
              <w:rPr>
                <w:rFonts w:hint="eastAsia"/>
              </w:rPr>
            </w:pPr>
            <w:r>
              <w:rPr>
                <w:sz w:val="20"/>
              </w:rPr>
              <w:t>Charles Lambert introduce el horno de reverbero</w:t>
            </w:r>
          </w:p>
        </w:tc>
        <w:tc>
          <w:tcPr>
            <w:tcW w:w="2871" w:type="dxa"/>
            <w:tcBorders>
              <w:bottom w:val="single" w:sz="4" w:space="0" w:color="D2D2D7"/>
            </w:tcBorders>
            <w:tcMar>
              <w:top w:w="80" w:type="dxa"/>
              <w:left w:w="110" w:type="dxa"/>
              <w:bottom w:w="80" w:type="dxa"/>
              <w:right w:w="110" w:type="dxa"/>
            </w:tcMar>
          </w:tcPr>
          <w:p w14:paraId="3493C40D" w14:textId="77777777" w:rsidR="00442749" w:rsidRDefault="00F64CE5">
            <w:pPr>
              <w:spacing w:after="40" w:line="252" w:lineRule="auto"/>
              <w:rPr>
                <w:rFonts w:hint="eastAsia"/>
              </w:rPr>
            </w:pPr>
            <w:r>
              <w:rPr>
                <w:sz w:val="20"/>
              </w:rPr>
              <w:t>Memoria Chilena</w:t>
            </w:r>
          </w:p>
        </w:tc>
      </w:tr>
      <w:tr w:rsidR="00442749" w14:paraId="5A6D3922" w14:textId="77777777">
        <w:tc>
          <w:tcPr>
            <w:tcW w:w="2871" w:type="dxa"/>
            <w:tcBorders>
              <w:bottom w:val="single" w:sz="4" w:space="0" w:color="D2D2D7"/>
            </w:tcBorders>
            <w:tcMar>
              <w:top w:w="80" w:type="dxa"/>
              <w:left w:w="110" w:type="dxa"/>
              <w:bottom w:w="80" w:type="dxa"/>
              <w:right w:w="110" w:type="dxa"/>
            </w:tcMar>
          </w:tcPr>
          <w:p w14:paraId="3A028E56" w14:textId="77777777" w:rsidR="00442749" w:rsidRDefault="00F64CE5">
            <w:pPr>
              <w:spacing w:after="40" w:line="252" w:lineRule="auto"/>
              <w:rPr>
                <w:rFonts w:hint="eastAsia"/>
              </w:rPr>
            </w:pPr>
            <w:r>
              <w:rPr>
                <w:sz w:val="20"/>
              </w:rPr>
              <w:t>1832</w:t>
            </w:r>
          </w:p>
        </w:tc>
        <w:tc>
          <w:tcPr>
            <w:tcW w:w="2871" w:type="dxa"/>
            <w:tcBorders>
              <w:bottom w:val="single" w:sz="4" w:space="0" w:color="D2D2D7"/>
            </w:tcBorders>
            <w:tcMar>
              <w:top w:w="80" w:type="dxa"/>
              <w:left w:w="110" w:type="dxa"/>
              <w:bottom w:w="80" w:type="dxa"/>
              <w:right w:w="110" w:type="dxa"/>
            </w:tcMar>
          </w:tcPr>
          <w:p w14:paraId="0F1B400E" w14:textId="77777777" w:rsidR="00442749" w:rsidRDefault="00F64CE5">
            <w:pPr>
              <w:spacing w:after="40" w:line="252" w:lineRule="auto"/>
              <w:rPr>
                <w:rFonts w:hint="eastAsia"/>
              </w:rPr>
            </w:pPr>
            <w:r>
              <w:rPr>
                <w:sz w:val="20"/>
              </w:rPr>
              <w:t>Descubrimiento de plata de Chañarcillo</w:t>
            </w:r>
          </w:p>
        </w:tc>
        <w:tc>
          <w:tcPr>
            <w:tcW w:w="2871" w:type="dxa"/>
            <w:tcBorders>
              <w:bottom w:val="single" w:sz="4" w:space="0" w:color="D2D2D7"/>
            </w:tcBorders>
            <w:tcMar>
              <w:top w:w="80" w:type="dxa"/>
              <w:left w:w="110" w:type="dxa"/>
              <w:bottom w:w="80" w:type="dxa"/>
              <w:right w:w="110" w:type="dxa"/>
            </w:tcMar>
          </w:tcPr>
          <w:p w14:paraId="2374FF27" w14:textId="77777777" w:rsidR="00442749" w:rsidRDefault="00F64CE5">
            <w:pPr>
              <w:spacing w:after="40" w:line="252" w:lineRule="auto"/>
              <w:rPr>
                <w:rFonts w:hint="eastAsia"/>
              </w:rPr>
            </w:pPr>
            <w:r>
              <w:rPr>
                <w:sz w:val="20"/>
              </w:rPr>
              <w:t>Memoria Chilena</w:t>
            </w:r>
          </w:p>
        </w:tc>
      </w:tr>
      <w:tr w:rsidR="00442749" w14:paraId="20518E11" w14:textId="77777777">
        <w:tc>
          <w:tcPr>
            <w:tcW w:w="2871" w:type="dxa"/>
            <w:tcBorders>
              <w:bottom w:val="single" w:sz="4" w:space="0" w:color="D2D2D7"/>
            </w:tcBorders>
            <w:tcMar>
              <w:top w:w="80" w:type="dxa"/>
              <w:left w:w="110" w:type="dxa"/>
              <w:bottom w:w="80" w:type="dxa"/>
              <w:right w:w="110" w:type="dxa"/>
            </w:tcMar>
          </w:tcPr>
          <w:p w14:paraId="2B35AF82" w14:textId="77777777" w:rsidR="00442749" w:rsidRDefault="00F64CE5">
            <w:pPr>
              <w:spacing w:after="40" w:line="252" w:lineRule="auto"/>
              <w:rPr>
                <w:rFonts w:hint="eastAsia"/>
              </w:rPr>
            </w:pPr>
            <w:r>
              <w:rPr>
                <w:sz w:val="20"/>
              </w:rPr>
              <w:t>1851</w:t>
            </w:r>
          </w:p>
        </w:tc>
        <w:tc>
          <w:tcPr>
            <w:tcW w:w="2871" w:type="dxa"/>
            <w:tcBorders>
              <w:bottom w:val="single" w:sz="4" w:space="0" w:color="D2D2D7"/>
            </w:tcBorders>
            <w:tcMar>
              <w:top w:w="80" w:type="dxa"/>
              <w:left w:w="110" w:type="dxa"/>
              <w:bottom w:w="80" w:type="dxa"/>
              <w:right w:w="110" w:type="dxa"/>
            </w:tcMar>
          </w:tcPr>
          <w:p w14:paraId="459AE61E" w14:textId="77777777" w:rsidR="00442749" w:rsidRDefault="00F64CE5">
            <w:pPr>
              <w:spacing w:after="40" w:line="252" w:lineRule="auto"/>
              <w:rPr>
                <w:rFonts w:hint="eastAsia"/>
              </w:rPr>
            </w:pPr>
            <w:r>
              <w:rPr>
                <w:sz w:val="20"/>
              </w:rPr>
              <w:t>Ferrocarril Copiapó–Caldera</w:t>
            </w:r>
          </w:p>
        </w:tc>
        <w:tc>
          <w:tcPr>
            <w:tcW w:w="2871" w:type="dxa"/>
            <w:tcBorders>
              <w:bottom w:val="single" w:sz="4" w:space="0" w:color="D2D2D7"/>
            </w:tcBorders>
            <w:tcMar>
              <w:top w:w="80" w:type="dxa"/>
              <w:left w:w="110" w:type="dxa"/>
              <w:bottom w:w="80" w:type="dxa"/>
              <w:right w:w="110" w:type="dxa"/>
            </w:tcMar>
          </w:tcPr>
          <w:p w14:paraId="627AE935" w14:textId="77777777" w:rsidR="00442749" w:rsidRDefault="00F64CE5">
            <w:pPr>
              <w:spacing w:after="40" w:line="252" w:lineRule="auto"/>
              <w:rPr>
                <w:rFonts w:hint="eastAsia"/>
              </w:rPr>
            </w:pPr>
            <w:r>
              <w:rPr>
                <w:sz w:val="20"/>
              </w:rPr>
              <w:t>Memoria Chilena</w:t>
            </w:r>
          </w:p>
        </w:tc>
      </w:tr>
      <w:tr w:rsidR="00442749" w14:paraId="713DDDC2" w14:textId="77777777">
        <w:tc>
          <w:tcPr>
            <w:tcW w:w="2871" w:type="dxa"/>
            <w:tcBorders>
              <w:bottom w:val="single" w:sz="4" w:space="0" w:color="D2D2D7"/>
            </w:tcBorders>
            <w:tcMar>
              <w:top w:w="80" w:type="dxa"/>
              <w:left w:w="110" w:type="dxa"/>
              <w:bottom w:w="80" w:type="dxa"/>
              <w:right w:w="110" w:type="dxa"/>
            </w:tcMar>
          </w:tcPr>
          <w:p w14:paraId="73C3E6A8" w14:textId="77777777" w:rsidR="00442749" w:rsidRDefault="00F64CE5">
            <w:pPr>
              <w:spacing w:after="40" w:line="252" w:lineRule="auto"/>
              <w:rPr>
                <w:rFonts w:hint="eastAsia"/>
              </w:rPr>
            </w:pPr>
            <w:r>
              <w:rPr>
                <w:sz w:val="20"/>
              </w:rPr>
              <w:t>1852</w:t>
            </w:r>
          </w:p>
        </w:tc>
        <w:tc>
          <w:tcPr>
            <w:tcW w:w="2871" w:type="dxa"/>
            <w:tcBorders>
              <w:bottom w:val="single" w:sz="4" w:space="0" w:color="D2D2D7"/>
            </w:tcBorders>
            <w:tcMar>
              <w:top w:w="80" w:type="dxa"/>
              <w:left w:w="110" w:type="dxa"/>
              <w:bottom w:w="80" w:type="dxa"/>
              <w:right w:w="110" w:type="dxa"/>
            </w:tcMar>
          </w:tcPr>
          <w:p w14:paraId="3D74BBFC" w14:textId="77777777" w:rsidR="00442749" w:rsidRDefault="00F64CE5">
            <w:pPr>
              <w:spacing w:after="40" w:line="252" w:lineRule="auto"/>
              <w:rPr>
                <w:rFonts w:hint="eastAsia"/>
              </w:rPr>
            </w:pPr>
            <w:r>
              <w:rPr>
                <w:sz w:val="20"/>
              </w:rPr>
              <w:t>José Tomás Urmeneta descubre el mineral de Tamaya</w:t>
            </w:r>
          </w:p>
        </w:tc>
        <w:tc>
          <w:tcPr>
            <w:tcW w:w="2871" w:type="dxa"/>
            <w:tcBorders>
              <w:bottom w:val="single" w:sz="4" w:space="0" w:color="D2D2D7"/>
            </w:tcBorders>
            <w:tcMar>
              <w:top w:w="80" w:type="dxa"/>
              <w:left w:w="110" w:type="dxa"/>
              <w:bottom w:w="80" w:type="dxa"/>
              <w:right w:w="110" w:type="dxa"/>
            </w:tcMar>
          </w:tcPr>
          <w:p w14:paraId="425C7D40" w14:textId="77777777" w:rsidR="00442749" w:rsidRDefault="00F64CE5">
            <w:pPr>
              <w:spacing w:after="40" w:line="252" w:lineRule="auto"/>
              <w:rPr>
                <w:rFonts w:hint="eastAsia"/>
              </w:rPr>
            </w:pPr>
            <w:r>
              <w:rPr>
                <w:sz w:val="20"/>
              </w:rPr>
              <w:t>Memoria Chilena / Wikipedia</w:t>
            </w:r>
          </w:p>
        </w:tc>
      </w:tr>
      <w:tr w:rsidR="00442749" w14:paraId="20051F52" w14:textId="77777777">
        <w:tc>
          <w:tcPr>
            <w:tcW w:w="2871" w:type="dxa"/>
            <w:tcBorders>
              <w:bottom w:val="single" w:sz="4" w:space="0" w:color="D2D2D7"/>
            </w:tcBorders>
            <w:tcMar>
              <w:top w:w="80" w:type="dxa"/>
              <w:left w:w="110" w:type="dxa"/>
              <w:bottom w:w="80" w:type="dxa"/>
              <w:right w:w="110" w:type="dxa"/>
            </w:tcMar>
          </w:tcPr>
          <w:p w14:paraId="6D714FB0" w14:textId="77777777" w:rsidR="00442749" w:rsidRDefault="00F64CE5">
            <w:pPr>
              <w:spacing w:after="40" w:line="252" w:lineRule="auto"/>
              <w:rPr>
                <w:rFonts w:hint="eastAsia"/>
              </w:rPr>
            </w:pPr>
            <w:r>
              <w:rPr>
                <w:sz w:val="20"/>
              </w:rPr>
              <w:t>~1870s</w:t>
            </w:r>
          </w:p>
        </w:tc>
        <w:tc>
          <w:tcPr>
            <w:tcW w:w="2871" w:type="dxa"/>
            <w:tcBorders>
              <w:bottom w:val="single" w:sz="4" w:space="0" w:color="D2D2D7"/>
            </w:tcBorders>
            <w:tcMar>
              <w:top w:w="80" w:type="dxa"/>
              <w:left w:w="110" w:type="dxa"/>
              <w:bottom w:w="80" w:type="dxa"/>
              <w:right w:w="110" w:type="dxa"/>
            </w:tcMar>
          </w:tcPr>
          <w:p w14:paraId="2F0B08A7" w14:textId="77777777" w:rsidR="00442749" w:rsidRDefault="00F64CE5">
            <w:pPr>
              <w:spacing w:after="40" w:line="252" w:lineRule="auto"/>
              <w:rPr>
                <w:rFonts w:hint="eastAsia"/>
              </w:rPr>
            </w:pPr>
            <w:r>
              <w:rPr>
                <w:sz w:val="20"/>
              </w:rPr>
              <w:t>Chile, primer exportador mundial de cobre</w:t>
            </w:r>
          </w:p>
        </w:tc>
        <w:tc>
          <w:tcPr>
            <w:tcW w:w="2871" w:type="dxa"/>
            <w:tcBorders>
              <w:bottom w:val="single" w:sz="4" w:space="0" w:color="D2D2D7"/>
            </w:tcBorders>
            <w:tcMar>
              <w:top w:w="80" w:type="dxa"/>
              <w:left w:w="110" w:type="dxa"/>
              <w:bottom w:w="80" w:type="dxa"/>
              <w:right w:w="110" w:type="dxa"/>
            </w:tcMar>
          </w:tcPr>
          <w:p w14:paraId="5557AFEE" w14:textId="77777777" w:rsidR="00442749" w:rsidRDefault="00F64CE5">
            <w:pPr>
              <w:spacing w:after="40" w:line="252" w:lineRule="auto"/>
              <w:rPr>
                <w:rFonts w:hint="eastAsia"/>
              </w:rPr>
            </w:pPr>
            <w:r>
              <w:rPr>
                <w:sz w:val="20"/>
              </w:rPr>
              <w:t>Memoria Chilena</w:t>
            </w:r>
          </w:p>
        </w:tc>
      </w:tr>
      <w:tr w:rsidR="00442749" w14:paraId="5E36540B" w14:textId="77777777">
        <w:tc>
          <w:tcPr>
            <w:tcW w:w="2871" w:type="dxa"/>
            <w:tcBorders>
              <w:bottom w:val="single" w:sz="4" w:space="0" w:color="D2D2D7"/>
            </w:tcBorders>
            <w:tcMar>
              <w:top w:w="80" w:type="dxa"/>
              <w:left w:w="110" w:type="dxa"/>
              <w:bottom w:w="80" w:type="dxa"/>
              <w:right w:w="110" w:type="dxa"/>
            </w:tcMar>
          </w:tcPr>
          <w:p w14:paraId="7F8F48CE" w14:textId="77777777" w:rsidR="00442749" w:rsidRDefault="00F64CE5">
            <w:pPr>
              <w:spacing w:after="40" w:line="252" w:lineRule="auto"/>
              <w:rPr>
                <w:rFonts w:hint="eastAsia"/>
              </w:rPr>
            </w:pPr>
            <w:r>
              <w:rPr>
                <w:sz w:val="20"/>
              </w:rPr>
              <w:t>1874</w:t>
            </w:r>
          </w:p>
        </w:tc>
        <w:tc>
          <w:tcPr>
            <w:tcW w:w="2871" w:type="dxa"/>
            <w:tcBorders>
              <w:bottom w:val="single" w:sz="4" w:space="0" w:color="D2D2D7"/>
            </w:tcBorders>
            <w:tcMar>
              <w:top w:w="80" w:type="dxa"/>
              <w:left w:w="110" w:type="dxa"/>
              <w:bottom w:w="80" w:type="dxa"/>
              <w:right w:w="110" w:type="dxa"/>
            </w:tcMar>
          </w:tcPr>
          <w:p w14:paraId="36E8F3A2" w14:textId="77777777" w:rsidR="00442749" w:rsidRDefault="00F64CE5">
            <w:pPr>
              <w:spacing w:after="40" w:line="252" w:lineRule="auto"/>
              <w:rPr>
                <w:rFonts w:hint="eastAsia"/>
              </w:rPr>
            </w:pPr>
            <w:r>
              <w:rPr>
                <w:sz w:val="20"/>
              </w:rPr>
              <w:t xml:space="preserve">Colapso de precios e inicio de </w:t>
            </w:r>
            <w:r>
              <w:rPr>
                <w:sz w:val="20"/>
              </w:rPr>
              <w:t>recesión minera</w:t>
            </w:r>
          </w:p>
        </w:tc>
        <w:tc>
          <w:tcPr>
            <w:tcW w:w="2871" w:type="dxa"/>
            <w:tcBorders>
              <w:bottom w:val="single" w:sz="4" w:space="0" w:color="D2D2D7"/>
            </w:tcBorders>
            <w:tcMar>
              <w:top w:w="80" w:type="dxa"/>
              <w:left w:w="110" w:type="dxa"/>
              <w:bottom w:w="80" w:type="dxa"/>
              <w:right w:w="110" w:type="dxa"/>
            </w:tcMar>
          </w:tcPr>
          <w:p w14:paraId="21D75DCD" w14:textId="77777777" w:rsidR="00442749" w:rsidRDefault="00F64CE5">
            <w:pPr>
              <w:spacing w:after="40" w:line="252" w:lineRule="auto"/>
              <w:rPr>
                <w:rFonts w:hint="eastAsia"/>
              </w:rPr>
            </w:pPr>
            <w:r>
              <w:rPr>
                <w:sz w:val="20"/>
              </w:rPr>
              <w:t>Memoria Chilena</w:t>
            </w:r>
          </w:p>
        </w:tc>
      </w:tr>
      <w:tr w:rsidR="00442749" w14:paraId="78807037" w14:textId="77777777">
        <w:tc>
          <w:tcPr>
            <w:tcW w:w="2871" w:type="dxa"/>
            <w:tcBorders>
              <w:bottom w:val="single" w:sz="4" w:space="0" w:color="D2D2D7"/>
            </w:tcBorders>
            <w:tcMar>
              <w:top w:w="80" w:type="dxa"/>
              <w:left w:w="110" w:type="dxa"/>
              <w:bottom w:w="80" w:type="dxa"/>
              <w:right w:w="110" w:type="dxa"/>
            </w:tcMar>
          </w:tcPr>
          <w:p w14:paraId="65430A47" w14:textId="77777777" w:rsidR="00442749" w:rsidRDefault="00F64CE5">
            <w:pPr>
              <w:spacing w:after="40" w:line="252" w:lineRule="auto"/>
              <w:rPr>
                <w:rFonts w:hint="eastAsia"/>
              </w:rPr>
            </w:pPr>
            <w:r>
              <w:rPr>
                <w:sz w:val="20"/>
              </w:rPr>
              <w:t>1904</w:t>
            </w:r>
          </w:p>
        </w:tc>
        <w:tc>
          <w:tcPr>
            <w:tcW w:w="2871" w:type="dxa"/>
            <w:tcBorders>
              <w:bottom w:val="single" w:sz="4" w:space="0" w:color="D2D2D7"/>
            </w:tcBorders>
            <w:tcMar>
              <w:top w:w="80" w:type="dxa"/>
              <w:left w:w="110" w:type="dxa"/>
              <w:bottom w:w="80" w:type="dxa"/>
              <w:right w:w="110" w:type="dxa"/>
            </w:tcMar>
          </w:tcPr>
          <w:p w14:paraId="57EE2F4A" w14:textId="77777777" w:rsidR="00442749" w:rsidRDefault="00F64CE5">
            <w:pPr>
              <w:spacing w:after="40" w:line="252" w:lineRule="auto"/>
              <w:rPr>
                <w:rFonts w:hint="eastAsia"/>
              </w:rPr>
            </w:pPr>
            <w:r>
              <w:rPr>
                <w:sz w:val="20"/>
              </w:rPr>
              <w:t>Inicio de operaciones de El Teniente (Braden / Kennecott)</w:t>
            </w:r>
          </w:p>
        </w:tc>
        <w:tc>
          <w:tcPr>
            <w:tcW w:w="2871" w:type="dxa"/>
            <w:tcBorders>
              <w:bottom w:val="single" w:sz="4" w:space="0" w:color="D2D2D7"/>
            </w:tcBorders>
            <w:tcMar>
              <w:top w:w="80" w:type="dxa"/>
              <w:left w:w="110" w:type="dxa"/>
              <w:bottom w:w="80" w:type="dxa"/>
              <w:right w:w="110" w:type="dxa"/>
            </w:tcMar>
          </w:tcPr>
          <w:p w14:paraId="6799207E" w14:textId="77777777" w:rsidR="00442749" w:rsidRDefault="00F64CE5">
            <w:pPr>
              <w:spacing w:after="40" w:line="252" w:lineRule="auto"/>
              <w:rPr>
                <w:rFonts w:hint="eastAsia"/>
              </w:rPr>
            </w:pPr>
            <w:r>
              <w:rPr>
                <w:sz w:val="20"/>
              </w:rPr>
              <w:t>CODELCO</w:t>
            </w:r>
          </w:p>
        </w:tc>
      </w:tr>
      <w:tr w:rsidR="00442749" w14:paraId="2D2BE91C" w14:textId="77777777">
        <w:tc>
          <w:tcPr>
            <w:tcW w:w="2871" w:type="dxa"/>
            <w:tcBorders>
              <w:bottom w:val="single" w:sz="4" w:space="0" w:color="D2D2D7"/>
            </w:tcBorders>
            <w:tcMar>
              <w:top w:w="80" w:type="dxa"/>
              <w:left w:w="110" w:type="dxa"/>
              <w:bottom w:w="80" w:type="dxa"/>
              <w:right w:w="110" w:type="dxa"/>
            </w:tcMar>
          </w:tcPr>
          <w:p w14:paraId="725DE424" w14:textId="77777777" w:rsidR="00442749" w:rsidRDefault="00F64CE5">
            <w:pPr>
              <w:spacing w:after="40" w:line="252" w:lineRule="auto"/>
              <w:rPr>
                <w:rFonts w:hint="eastAsia"/>
              </w:rPr>
            </w:pPr>
            <w:r>
              <w:rPr>
                <w:sz w:val="20"/>
              </w:rPr>
              <w:t>1910–1915</w:t>
            </w:r>
          </w:p>
        </w:tc>
        <w:tc>
          <w:tcPr>
            <w:tcW w:w="2871" w:type="dxa"/>
            <w:tcBorders>
              <w:bottom w:val="single" w:sz="4" w:space="0" w:color="D2D2D7"/>
            </w:tcBorders>
            <w:tcMar>
              <w:top w:w="80" w:type="dxa"/>
              <w:left w:w="110" w:type="dxa"/>
              <w:bottom w:w="80" w:type="dxa"/>
              <w:right w:w="110" w:type="dxa"/>
            </w:tcMar>
          </w:tcPr>
          <w:p w14:paraId="17062427" w14:textId="77777777" w:rsidR="00442749" w:rsidRDefault="00F64CE5">
            <w:pPr>
              <w:spacing w:after="40" w:line="252" w:lineRule="auto"/>
              <w:rPr>
                <w:rFonts w:hint="eastAsia"/>
              </w:rPr>
            </w:pPr>
            <w:r>
              <w:rPr>
                <w:sz w:val="20"/>
              </w:rPr>
              <w:t>Explotación a gran escala de Chuquicamata (Anaconda)</w:t>
            </w:r>
          </w:p>
        </w:tc>
        <w:tc>
          <w:tcPr>
            <w:tcW w:w="2871" w:type="dxa"/>
            <w:tcBorders>
              <w:bottom w:val="single" w:sz="4" w:space="0" w:color="D2D2D7"/>
            </w:tcBorders>
            <w:tcMar>
              <w:top w:w="80" w:type="dxa"/>
              <w:left w:w="110" w:type="dxa"/>
              <w:bottom w:w="80" w:type="dxa"/>
              <w:right w:w="110" w:type="dxa"/>
            </w:tcMar>
          </w:tcPr>
          <w:p w14:paraId="61A5B55F" w14:textId="77777777" w:rsidR="00442749" w:rsidRDefault="00F64CE5">
            <w:pPr>
              <w:spacing w:after="40" w:line="252" w:lineRule="auto"/>
              <w:rPr>
                <w:rFonts w:hint="eastAsia"/>
              </w:rPr>
            </w:pPr>
            <w:r>
              <w:rPr>
                <w:sz w:val="20"/>
              </w:rPr>
              <w:t>CODELCO</w:t>
            </w:r>
          </w:p>
        </w:tc>
      </w:tr>
      <w:tr w:rsidR="00442749" w14:paraId="4FEBB7A0" w14:textId="77777777">
        <w:tc>
          <w:tcPr>
            <w:tcW w:w="2871" w:type="dxa"/>
            <w:tcBorders>
              <w:bottom w:val="single" w:sz="4" w:space="0" w:color="D2D2D7"/>
            </w:tcBorders>
            <w:tcMar>
              <w:top w:w="80" w:type="dxa"/>
              <w:left w:w="110" w:type="dxa"/>
              <w:bottom w:w="80" w:type="dxa"/>
              <w:right w:w="110" w:type="dxa"/>
            </w:tcMar>
          </w:tcPr>
          <w:p w14:paraId="089AAAB8" w14:textId="77777777" w:rsidR="00442749" w:rsidRDefault="00F64CE5">
            <w:pPr>
              <w:spacing w:after="40" w:line="252" w:lineRule="auto"/>
              <w:rPr>
                <w:rFonts w:hint="eastAsia"/>
              </w:rPr>
            </w:pPr>
            <w:r>
              <w:rPr>
                <w:sz w:val="20"/>
              </w:rPr>
              <w:t>1966</w:t>
            </w:r>
          </w:p>
        </w:tc>
        <w:tc>
          <w:tcPr>
            <w:tcW w:w="2871" w:type="dxa"/>
            <w:tcBorders>
              <w:bottom w:val="single" w:sz="4" w:space="0" w:color="D2D2D7"/>
            </w:tcBorders>
            <w:tcMar>
              <w:top w:w="80" w:type="dxa"/>
              <w:left w:w="110" w:type="dxa"/>
              <w:bottom w:w="80" w:type="dxa"/>
              <w:right w:w="110" w:type="dxa"/>
            </w:tcMar>
          </w:tcPr>
          <w:p w14:paraId="30941CA0" w14:textId="77777777" w:rsidR="00442749" w:rsidRDefault="00F64CE5">
            <w:pPr>
              <w:spacing w:after="40" w:line="252" w:lineRule="auto"/>
              <w:rPr>
                <w:rFonts w:hint="eastAsia"/>
              </w:rPr>
            </w:pPr>
            <w:r>
              <w:rPr>
                <w:sz w:val="20"/>
              </w:rPr>
              <w:t>Ley N° 16.425: "chilenización" del cobre (Frei Montalva)</w:t>
            </w:r>
          </w:p>
        </w:tc>
        <w:tc>
          <w:tcPr>
            <w:tcW w:w="2871" w:type="dxa"/>
            <w:tcBorders>
              <w:bottom w:val="single" w:sz="4" w:space="0" w:color="D2D2D7"/>
            </w:tcBorders>
            <w:tcMar>
              <w:top w:w="80" w:type="dxa"/>
              <w:left w:w="110" w:type="dxa"/>
              <w:bottom w:w="80" w:type="dxa"/>
              <w:right w:w="110" w:type="dxa"/>
            </w:tcMar>
          </w:tcPr>
          <w:p w14:paraId="3D1B006A" w14:textId="77777777" w:rsidR="00442749" w:rsidRDefault="00F64CE5">
            <w:pPr>
              <w:spacing w:after="40" w:line="252" w:lineRule="auto"/>
              <w:rPr>
                <w:rFonts w:hint="eastAsia"/>
              </w:rPr>
            </w:pPr>
            <w:r>
              <w:rPr>
                <w:sz w:val="20"/>
              </w:rPr>
              <w:t xml:space="preserve">Casa Museo E. </w:t>
            </w:r>
            <w:r>
              <w:rPr>
                <w:sz w:val="20"/>
              </w:rPr>
              <w:t>Frei / Wikipedia</w:t>
            </w:r>
          </w:p>
        </w:tc>
      </w:tr>
      <w:tr w:rsidR="00442749" w14:paraId="269BE21D" w14:textId="77777777">
        <w:tc>
          <w:tcPr>
            <w:tcW w:w="2871" w:type="dxa"/>
            <w:tcBorders>
              <w:bottom w:val="single" w:sz="4" w:space="0" w:color="D2D2D7"/>
            </w:tcBorders>
            <w:tcMar>
              <w:top w:w="80" w:type="dxa"/>
              <w:left w:w="110" w:type="dxa"/>
              <w:bottom w:w="80" w:type="dxa"/>
              <w:right w:w="110" w:type="dxa"/>
            </w:tcMar>
          </w:tcPr>
          <w:p w14:paraId="20F05C27" w14:textId="77777777" w:rsidR="00442749" w:rsidRDefault="00F64CE5">
            <w:pPr>
              <w:spacing w:after="40" w:line="252" w:lineRule="auto"/>
              <w:rPr>
                <w:rFonts w:hint="eastAsia"/>
              </w:rPr>
            </w:pPr>
            <w:r>
              <w:rPr>
                <w:sz w:val="20"/>
              </w:rPr>
              <w:t>1967</w:t>
            </w:r>
          </w:p>
        </w:tc>
        <w:tc>
          <w:tcPr>
            <w:tcW w:w="2871" w:type="dxa"/>
            <w:tcBorders>
              <w:bottom w:val="single" w:sz="4" w:space="0" w:color="D2D2D7"/>
            </w:tcBorders>
            <w:tcMar>
              <w:top w:w="80" w:type="dxa"/>
              <w:left w:w="110" w:type="dxa"/>
              <w:bottom w:w="80" w:type="dxa"/>
              <w:right w:w="110" w:type="dxa"/>
            </w:tcMar>
          </w:tcPr>
          <w:p w14:paraId="400C14A4" w14:textId="77777777" w:rsidR="00442749" w:rsidRDefault="00F64CE5">
            <w:pPr>
              <w:spacing w:after="40" w:line="252" w:lineRule="auto"/>
              <w:rPr>
                <w:rFonts w:hint="eastAsia"/>
              </w:rPr>
            </w:pPr>
            <w:r>
              <w:rPr>
                <w:sz w:val="20"/>
              </w:rPr>
              <w:t>Estado adquiere 51% de El Teniente; participación en Andina y Exótica</w:t>
            </w:r>
          </w:p>
        </w:tc>
        <w:tc>
          <w:tcPr>
            <w:tcW w:w="2871" w:type="dxa"/>
            <w:tcBorders>
              <w:bottom w:val="single" w:sz="4" w:space="0" w:color="D2D2D7"/>
            </w:tcBorders>
            <w:tcMar>
              <w:top w:w="80" w:type="dxa"/>
              <w:left w:w="110" w:type="dxa"/>
              <w:bottom w:w="80" w:type="dxa"/>
              <w:right w:w="110" w:type="dxa"/>
            </w:tcMar>
          </w:tcPr>
          <w:p w14:paraId="2A80B491" w14:textId="77777777" w:rsidR="00442749" w:rsidRDefault="00F64CE5">
            <w:pPr>
              <w:spacing w:after="40" w:line="252" w:lineRule="auto"/>
              <w:rPr>
                <w:rFonts w:hint="eastAsia"/>
              </w:rPr>
            </w:pPr>
            <w:r>
              <w:rPr>
                <w:sz w:val="20"/>
              </w:rPr>
              <w:t>Wikipedia</w:t>
            </w:r>
          </w:p>
        </w:tc>
      </w:tr>
      <w:tr w:rsidR="00442749" w14:paraId="5B4BC335" w14:textId="77777777">
        <w:tc>
          <w:tcPr>
            <w:tcW w:w="2871" w:type="dxa"/>
            <w:tcBorders>
              <w:bottom w:val="single" w:sz="4" w:space="0" w:color="D2D2D7"/>
            </w:tcBorders>
            <w:tcMar>
              <w:top w:w="80" w:type="dxa"/>
              <w:left w:w="110" w:type="dxa"/>
              <w:bottom w:w="80" w:type="dxa"/>
              <w:right w:w="110" w:type="dxa"/>
            </w:tcMar>
          </w:tcPr>
          <w:p w14:paraId="453E384B" w14:textId="77777777" w:rsidR="00442749" w:rsidRDefault="00F64CE5">
            <w:pPr>
              <w:spacing w:after="40" w:line="252" w:lineRule="auto"/>
              <w:rPr>
                <w:rFonts w:hint="eastAsia"/>
              </w:rPr>
            </w:pPr>
            <w:r>
              <w:rPr>
                <w:sz w:val="20"/>
              </w:rPr>
              <w:t>1971</w:t>
            </w:r>
          </w:p>
        </w:tc>
        <w:tc>
          <w:tcPr>
            <w:tcW w:w="2871" w:type="dxa"/>
            <w:tcBorders>
              <w:bottom w:val="single" w:sz="4" w:space="0" w:color="D2D2D7"/>
            </w:tcBorders>
            <w:tcMar>
              <w:top w:w="80" w:type="dxa"/>
              <w:left w:w="110" w:type="dxa"/>
              <w:bottom w:w="80" w:type="dxa"/>
              <w:right w:w="110" w:type="dxa"/>
            </w:tcMar>
          </w:tcPr>
          <w:p w14:paraId="7F027334" w14:textId="77777777" w:rsidR="00442749" w:rsidRDefault="00F64CE5">
            <w:pPr>
              <w:spacing w:after="40" w:line="252" w:lineRule="auto"/>
              <w:rPr>
                <w:rFonts w:hint="eastAsia"/>
              </w:rPr>
            </w:pPr>
            <w:r>
              <w:rPr>
                <w:sz w:val="20"/>
              </w:rPr>
              <w:t>Nacionalización del cobre, Ley N° 17.450 (11 de julio, Allende)</w:t>
            </w:r>
          </w:p>
        </w:tc>
        <w:tc>
          <w:tcPr>
            <w:tcW w:w="2871" w:type="dxa"/>
            <w:tcBorders>
              <w:bottom w:val="single" w:sz="4" w:space="0" w:color="D2D2D7"/>
            </w:tcBorders>
            <w:tcMar>
              <w:top w:w="80" w:type="dxa"/>
              <w:left w:w="110" w:type="dxa"/>
              <w:bottom w:w="80" w:type="dxa"/>
              <w:right w:w="110" w:type="dxa"/>
            </w:tcMar>
          </w:tcPr>
          <w:p w14:paraId="1C0A898E" w14:textId="77777777" w:rsidR="00442749" w:rsidRDefault="00F64CE5">
            <w:pPr>
              <w:spacing w:after="40" w:line="252" w:lineRule="auto"/>
              <w:rPr>
                <w:rFonts w:hint="eastAsia"/>
              </w:rPr>
            </w:pPr>
            <w:r>
              <w:rPr>
                <w:sz w:val="20"/>
              </w:rPr>
              <w:t>BCN / Memoria Chilena</w:t>
            </w:r>
          </w:p>
        </w:tc>
      </w:tr>
      <w:tr w:rsidR="00442749" w14:paraId="43D5E142" w14:textId="77777777">
        <w:tc>
          <w:tcPr>
            <w:tcW w:w="2871" w:type="dxa"/>
            <w:tcBorders>
              <w:bottom w:val="single" w:sz="4" w:space="0" w:color="D2D2D7"/>
            </w:tcBorders>
            <w:tcMar>
              <w:top w:w="80" w:type="dxa"/>
              <w:left w:w="110" w:type="dxa"/>
              <w:bottom w:w="80" w:type="dxa"/>
              <w:right w:w="110" w:type="dxa"/>
            </w:tcMar>
          </w:tcPr>
          <w:p w14:paraId="048CB20E" w14:textId="77777777" w:rsidR="00442749" w:rsidRDefault="00F64CE5">
            <w:pPr>
              <w:spacing w:after="40" w:line="252" w:lineRule="auto"/>
              <w:rPr>
                <w:rFonts w:hint="eastAsia"/>
              </w:rPr>
            </w:pPr>
            <w:r>
              <w:rPr>
                <w:sz w:val="20"/>
              </w:rPr>
              <w:t>1976</w:t>
            </w:r>
          </w:p>
        </w:tc>
        <w:tc>
          <w:tcPr>
            <w:tcW w:w="2871" w:type="dxa"/>
            <w:tcBorders>
              <w:bottom w:val="single" w:sz="4" w:space="0" w:color="D2D2D7"/>
            </w:tcBorders>
            <w:tcMar>
              <w:top w:w="80" w:type="dxa"/>
              <w:left w:w="110" w:type="dxa"/>
              <w:bottom w:w="80" w:type="dxa"/>
              <w:right w:w="110" w:type="dxa"/>
            </w:tcMar>
          </w:tcPr>
          <w:p w14:paraId="249788D9" w14:textId="77777777" w:rsidR="00442749" w:rsidRDefault="00F64CE5">
            <w:pPr>
              <w:spacing w:after="40" w:line="252" w:lineRule="auto"/>
              <w:rPr>
                <w:rFonts w:hint="eastAsia"/>
              </w:rPr>
            </w:pPr>
            <w:r>
              <w:rPr>
                <w:sz w:val="20"/>
              </w:rPr>
              <w:t>Creación de CODELCO, DL N° 1.349 y N° 1.350 (1 de abril)</w:t>
            </w:r>
          </w:p>
        </w:tc>
        <w:tc>
          <w:tcPr>
            <w:tcW w:w="2871" w:type="dxa"/>
            <w:tcBorders>
              <w:bottom w:val="single" w:sz="4" w:space="0" w:color="D2D2D7"/>
            </w:tcBorders>
            <w:tcMar>
              <w:top w:w="80" w:type="dxa"/>
              <w:left w:w="110" w:type="dxa"/>
              <w:bottom w:w="80" w:type="dxa"/>
              <w:right w:w="110" w:type="dxa"/>
            </w:tcMar>
          </w:tcPr>
          <w:p w14:paraId="6469A46D" w14:textId="77777777" w:rsidR="00442749" w:rsidRDefault="00F64CE5">
            <w:pPr>
              <w:spacing w:after="40" w:line="252" w:lineRule="auto"/>
              <w:rPr>
                <w:rFonts w:hint="eastAsia"/>
              </w:rPr>
            </w:pPr>
            <w:r>
              <w:rPr>
                <w:sz w:val="20"/>
              </w:rPr>
              <w:t>BCN / CODELCO</w:t>
            </w:r>
          </w:p>
        </w:tc>
      </w:tr>
      <w:tr w:rsidR="00442749" w14:paraId="778CA1DD" w14:textId="77777777">
        <w:tc>
          <w:tcPr>
            <w:tcW w:w="2871" w:type="dxa"/>
            <w:tcBorders>
              <w:bottom w:val="single" w:sz="4" w:space="0" w:color="D2D2D7"/>
            </w:tcBorders>
            <w:tcMar>
              <w:top w:w="80" w:type="dxa"/>
              <w:left w:w="110" w:type="dxa"/>
              <w:bottom w:w="80" w:type="dxa"/>
              <w:right w:w="110" w:type="dxa"/>
            </w:tcMar>
          </w:tcPr>
          <w:p w14:paraId="7F2F7DE2" w14:textId="77777777" w:rsidR="00442749" w:rsidRDefault="00F64CE5">
            <w:pPr>
              <w:spacing w:after="40" w:line="252" w:lineRule="auto"/>
              <w:rPr>
                <w:rFonts w:hint="eastAsia"/>
              </w:rPr>
            </w:pPr>
            <w:r>
              <w:rPr>
                <w:sz w:val="20"/>
              </w:rPr>
              <w:t>2003</w:t>
            </w:r>
          </w:p>
        </w:tc>
        <w:tc>
          <w:tcPr>
            <w:tcW w:w="2871" w:type="dxa"/>
            <w:tcBorders>
              <w:bottom w:val="single" w:sz="4" w:space="0" w:color="D2D2D7"/>
            </w:tcBorders>
            <w:tcMar>
              <w:top w:w="80" w:type="dxa"/>
              <w:left w:w="110" w:type="dxa"/>
              <w:bottom w:w="80" w:type="dxa"/>
              <w:right w:w="110" w:type="dxa"/>
            </w:tcMar>
          </w:tcPr>
          <w:p w14:paraId="5BFD504B" w14:textId="77777777" w:rsidR="00442749" w:rsidRDefault="00F64CE5">
            <w:pPr>
              <w:spacing w:after="40" w:line="252" w:lineRule="auto"/>
              <w:rPr>
                <w:rFonts w:hint="eastAsia"/>
              </w:rPr>
            </w:pPr>
            <w:r>
              <w:rPr>
                <w:sz w:val="20"/>
              </w:rPr>
              <w:t>Inicio del súper-ciclo (cobre vuelve a US$1/lb en diciembre)</w:t>
            </w:r>
          </w:p>
        </w:tc>
        <w:tc>
          <w:tcPr>
            <w:tcW w:w="2871" w:type="dxa"/>
            <w:tcBorders>
              <w:bottom w:val="single" w:sz="4" w:space="0" w:color="D2D2D7"/>
            </w:tcBorders>
            <w:tcMar>
              <w:top w:w="80" w:type="dxa"/>
              <w:left w:w="110" w:type="dxa"/>
              <w:bottom w:w="80" w:type="dxa"/>
              <w:right w:w="110" w:type="dxa"/>
            </w:tcMar>
          </w:tcPr>
          <w:p w14:paraId="1FFE3D91" w14:textId="77777777" w:rsidR="00442749" w:rsidRDefault="00F64CE5">
            <w:pPr>
              <w:spacing w:after="40" w:line="252" w:lineRule="auto"/>
              <w:rPr>
                <w:rFonts w:hint="eastAsia"/>
              </w:rPr>
            </w:pPr>
            <w:r>
              <w:rPr>
                <w:sz w:val="20"/>
              </w:rPr>
              <w:t>Emol</w:t>
            </w:r>
          </w:p>
        </w:tc>
      </w:tr>
      <w:tr w:rsidR="00442749" w14:paraId="0D6B1E33" w14:textId="77777777">
        <w:tc>
          <w:tcPr>
            <w:tcW w:w="2871" w:type="dxa"/>
            <w:tcBorders>
              <w:bottom w:val="single" w:sz="4" w:space="0" w:color="D2D2D7"/>
            </w:tcBorders>
            <w:tcMar>
              <w:top w:w="80" w:type="dxa"/>
              <w:left w:w="110" w:type="dxa"/>
              <w:bottom w:w="80" w:type="dxa"/>
              <w:right w:w="110" w:type="dxa"/>
            </w:tcMar>
          </w:tcPr>
          <w:p w14:paraId="692A9258" w14:textId="77777777" w:rsidR="00442749" w:rsidRDefault="00F64CE5">
            <w:pPr>
              <w:spacing w:after="40" w:line="252" w:lineRule="auto"/>
              <w:rPr>
                <w:rFonts w:hint="eastAsia"/>
              </w:rPr>
            </w:pPr>
            <w:r>
              <w:rPr>
                <w:sz w:val="20"/>
              </w:rPr>
              <w:t>2011</w:t>
            </w:r>
          </w:p>
        </w:tc>
        <w:tc>
          <w:tcPr>
            <w:tcW w:w="2871" w:type="dxa"/>
            <w:tcBorders>
              <w:bottom w:val="single" w:sz="4" w:space="0" w:color="D2D2D7"/>
            </w:tcBorders>
            <w:tcMar>
              <w:top w:w="80" w:type="dxa"/>
              <w:left w:w="110" w:type="dxa"/>
              <w:bottom w:w="80" w:type="dxa"/>
              <w:right w:w="110" w:type="dxa"/>
            </w:tcMar>
          </w:tcPr>
          <w:p w14:paraId="213D2BF0" w14:textId="77777777" w:rsidR="00442749" w:rsidRDefault="00F64CE5">
            <w:pPr>
              <w:spacing w:after="40" w:line="252" w:lineRule="auto"/>
              <w:rPr>
                <w:rFonts w:hint="eastAsia"/>
              </w:rPr>
            </w:pPr>
            <w:r>
              <w:rPr>
                <w:sz w:val="20"/>
              </w:rPr>
              <w:t>Máximo histórico del período: ~US$4,60/lb (14 de febrero)</w:t>
            </w:r>
          </w:p>
        </w:tc>
        <w:tc>
          <w:tcPr>
            <w:tcW w:w="2871" w:type="dxa"/>
            <w:tcBorders>
              <w:bottom w:val="single" w:sz="4" w:space="0" w:color="D2D2D7"/>
            </w:tcBorders>
            <w:tcMar>
              <w:top w:w="80" w:type="dxa"/>
              <w:left w:w="110" w:type="dxa"/>
              <w:bottom w:w="80" w:type="dxa"/>
              <w:right w:w="110" w:type="dxa"/>
            </w:tcMar>
          </w:tcPr>
          <w:p w14:paraId="42CB543A" w14:textId="77777777" w:rsidR="00442749" w:rsidRDefault="00F64CE5">
            <w:pPr>
              <w:spacing w:after="40" w:line="252" w:lineRule="auto"/>
              <w:rPr>
                <w:rFonts w:hint="eastAsia"/>
              </w:rPr>
            </w:pPr>
            <w:r>
              <w:rPr>
                <w:sz w:val="20"/>
              </w:rPr>
              <w:t>Emol</w:t>
            </w:r>
          </w:p>
        </w:tc>
      </w:tr>
      <w:tr w:rsidR="00442749" w14:paraId="1986D933" w14:textId="77777777">
        <w:tc>
          <w:tcPr>
            <w:tcW w:w="2871" w:type="dxa"/>
            <w:tcBorders>
              <w:bottom w:val="single" w:sz="4" w:space="0" w:color="D2D2D7"/>
            </w:tcBorders>
            <w:tcMar>
              <w:top w:w="80" w:type="dxa"/>
              <w:left w:w="110" w:type="dxa"/>
              <w:bottom w:w="80" w:type="dxa"/>
              <w:right w:w="110" w:type="dxa"/>
            </w:tcMar>
          </w:tcPr>
          <w:p w14:paraId="617237EF" w14:textId="77777777" w:rsidR="00442749" w:rsidRDefault="00F64CE5">
            <w:pPr>
              <w:spacing w:after="40" w:line="252" w:lineRule="auto"/>
              <w:rPr>
                <w:rFonts w:hint="eastAsia"/>
              </w:rPr>
            </w:pPr>
            <w:r>
              <w:rPr>
                <w:sz w:val="20"/>
              </w:rPr>
              <w:lastRenderedPageBreak/>
              <w:t>2019</w:t>
            </w:r>
          </w:p>
        </w:tc>
        <w:tc>
          <w:tcPr>
            <w:tcW w:w="2871" w:type="dxa"/>
            <w:tcBorders>
              <w:bottom w:val="single" w:sz="4" w:space="0" w:color="D2D2D7"/>
            </w:tcBorders>
            <w:tcMar>
              <w:top w:w="80" w:type="dxa"/>
              <w:left w:w="110" w:type="dxa"/>
              <w:bottom w:w="80" w:type="dxa"/>
              <w:right w:w="110" w:type="dxa"/>
            </w:tcMar>
          </w:tcPr>
          <w:p w14:paraId="75D8A882" w14:textId="77777777" w:rsidR="00442749" w:rsidRDefault="00F64CE5">
            <w:pPr>
              <w:spacing w:after="40" w:line="252" w:lineRule="auto"/>
              <w:rPr>
                <w:rFonts w:hint="eastAsia"/>
              </w:rPr>
            </w:pPr>
            <w:r>
              <w:rPr>
                <w:sz w:val="20"/>
              </w:rPr>
              <w:t>Derogación de la Ley Reservada del Cobre, Ley N° 21.174 (julio)</w:t>
            </w:r>
          </w:p>
        </w:tc>
        <w:tc>
          <w:tcPr>
            <w:tcW w:w="2871" w:type="dxa"/>
            <w:tcBorders>
              <w:bottom w:val="single" w:sz="4" w:space="0" w:color="D2D2D7"/>
            </w:tcBorders>
            <w:tcMar>
              <w:top w:w="80" w:type="dxa"/>
              <w:left w:w="110" w:type="dxa"/>
              <w:bottom w:w="80" w:type="dxa"/>
              <w:right w:w="110" w:type="dxa"/>
            </w:tcMar>
          </w:tcPr>
          <w:p w14:paraId="13C57785" w14:textId="77777777" w:rsidR="00442749" w:rsidRDefault="00F64CE5">
            <w:pPr>
              <w:spacing w:after="40" w:line="252" w:lineRule="auto"/>
              <w:rPr>
                <w:rFonts w:hint="eastAsia"/>
              </w:rPr>
            </w:pPr>
            <w:r>
              <w:rPr>
                <w:sz w:val="20"/>
              </w:rPr>
              <w:t xml:space="preserve">El Mostrador / </w:t>
            </w:r>
            <w:r>
              <w:rPr>
                <w:sz w:val="20"/>
              </w:rPr>
              <w:t>BioBioChile</w:t>
            </w:r>
          </w:p>
        </w:tc>
      </w:tr>
      <w:tr w:rsidR="00442749" w14:paraId="02FBDBB8" w14:textId="77777777">
        <w:tc>
          <w:tcPr>
            <w:tcW w:w="2871" w:type="dxa"/>
            <w:tcBorders>
              <w:bottom w:val="single" w:sz="4" w:space="0" w:color="D2D2D7"/>
            </w:tcBorders>
            <w:tcMar>
              <w:top w:w="80" w:type="dxa"/>
              <w:left w:w="110" w:type="dxa"/>
              <w:bottom w:w="80" w:type="dxa"/>
              <w:right w:w="110" w:type="dxa"/>
            </w:tcMar>
          </w:tcPr>
          <w:p w14:paraId="65472FA0" w14:textId="77777777" w:rsidR="00442749" w:rsidRDefault="00F64CE5">
            <w:pPr>
              <w:spacing w:after="40" w:line="252" w:lineRule="auto"/>
              <w:rPr>
                <w:rFonts w:hint="eastAsia"/>
              </w:rPr>
            </w:pPr>
            <w:r>
              <w:rPr>
                <w:sz w:val="20"/>
              </w:rPr>
              <w:t>2023</w:t>
            </w:r>
          </w:p>
        </w:tc>
        <w:tc>
          <w:tcPr>
            <w:tcW w:w="2871" w:type="dxa"/>
            <w:tcBorders>
              <w:bottom w:val="single" w:sz="4" w:space="0" w:color="D2D2D7"/>
            </w:tcBorders>
            <w:tcMar>
              <w:top w:w="80" w:type="dxa"/>
              <w:left w:w="110" w:type="dxa"/>
              <w:bottom w:w="80" w:type="dxa"/>
              <w:right w:w="110" w:type="dxa"/>
            </w:tcMar>
          </w:tcPr>
          <w:p w14:paraId="76FAEC81" w14:textId="77777777" w:rsidR="00442749" w:rsidRDefault="00F64CE5">
            <w:pPr>
              <w:spacing w:after="40" w:line="252" w:lineRule="auto"/>
              <w:rPr>
                <w:rFonts w:hint="eastAsia"/>
              </w:rPr>
            </w:pPr>
            <w:r>
              <w:rPr>
                <w:sz w:val="20"/>
              </w:rPr>
              <w:t>Ley N° 21.591 de Royalty a la Minería (publicada 10 de agosto)</w:t>
            </w:r>
          </w:p>
        </w:tc>
        <w:tc>
          <w:tcPr>
            <w:tcW w:w="2871" w:type="dxa"/>
            <w:tcBorders>
              <w:bottom w:val="single" w:sz="4" w:space="0" w:color="D2D2D7"/>
            </w:tcBorders>
            <w:tcMar>
              <w:top w:w="80" w:type="dxa"/>
              <w:left w:w="110" w:type="dxa"/>
              <w:bottom w:w="80" w:type="dxa"/>
              <w:right w:w="110" w:type="dxa"/>
            </w:tcMar>
          </w:tcPr>
          <w:p w14:paraId="135019D6" w14:textId="77777777" w:rsidR="00442749" w:rsidRDefault="00F64CE5">
            <w:pPr>
              <w:spacing w:after="40" w:line="252" w:lineRule="auto"/>
              <w:rPr>
                <w:rFonts w:hint="eastAsia"/>
              </w:rPr>
            </w:pPr>
            <w:r>
              <w:rPr>
                <w:sz w:val="20"/>
              </w:rPr>
              <w:t>BCN / Hacienda</w:t>
            </w:r>
          </w:p>
        </w:tc>
      </w:tr>
      <w:tr w:rsidR="00442749" w14:paraId="0FC14A19" w14:textId="77777777">
        <w:tc>
          <w:tcPr>
            <w:tcW w:w="2871" w:type="dxa"/>
            <w:tcBorders>
              <w:bottom w:val="single" w:sz="4" w:space="0" w:color="D2D2D7"/>
            </w:tcBorders>
            <w:tcMar>
              <w:top w:w="80" w:type="dxa"/>
              <w:left w:w="110" w:type="dxa"/>
              <w:bottom w:w="80" w:type="dxa"/>
              <w:right w:w="110" w:type="dxa"/>
            </w:tcMar>
          </w:tcPr>
          <w:p w14:paraId="1328E56F" w14:textId="77777777" w:rsidR="00442749" w:rsidRDefault="00F64CE5">
            <w:pPr>
              <w:spacing w:after="40" w:line="252" w:lineRule="auto"/>
              <w:rPr>
                <w:rFonts w:hint="eastAsia"/>
              </w:rPr>
            </w:pPr>
            <w:r>
              <w:rPr>
                <w:sz w:val="20"/>
              </w:rPr>
              <w:t>2024</w:t>
            </w:r>
          </w:p>
        </w:tc>
        <w:tc>
          <w:tcPr>
            <w:tcW w:w="2871" w:type="dxa"/>
            <w:tcBorders>
              <w:bottom w:val="single" w:sz="4" w:space="0" w:color="D2D2D7"/>
            </w:tcBorders>
            <w:tcMar>
              <w:top w:w="80" w:type="dxa"/>
              <w:left w:w="110" w:type="dxa"/>
              <w:bottom w:w="80" w:type="dxa"/>
              <w:right w:w="110" w:type="dxa"/>
            </w:tcMar>
          </w:tcPr>
          <w:p w14:paraId="22F680A9" w14:textId="77777777" w:rsidR="00442749" w:rsidRDefault="00F64CE5">
            <w:pPr>
              <w:spacing w:after="40" w:line="252" w:lineRule="auto"/>
              <w:rPr>
                <w:rFonts w:hint="eastAsia"/>
              </w:rPr>
            </w:pPr>
            <w:r>
              <w:rPr>
                <w:sz w:val="20"/>
              </w:rPr>
              <w:t>Producción de 5,5 Mt; Chile sigue siendo primer productor mundial</w:t>
            </w:r>
          </w:p>
        </w:tc>
        <w:tc>
          <w:tcPr>
            <w:tcW w:w="2871" w:type="dxa"/>
            <w:tcBorders>
              <w:bottom w:val="single" w:sz="4" w:space="0" w:color="D2D2D7"/>
            </w:tcBorders>
            <w:tcMar>
              <w:top w:w="80" w:type="dxa"/>
              <w:left w:w="110" w:type="dxa"/>
              <w:bottom w:w="80" w:type="dxa"/>
              <w:right w:w="110" w:type="dxa"/>
            </w:tcMar>
          </w:tcPr>
          <w:p w14:paraId="65B299C0" w14:textId="77777777" w:rsidR="00442749" w:rsidRDefault="00F64CE5">
            <w:pPr>
              <w:spacing w:after="40" w:line="252" w:lineRule="auto"/>
              <w:rPr>
                <w:rFonts w:hint="eastAsia"/>
              </w:rPr>
            </w:pPr>
            <w:r>
              <w:rPr>
                <w:sz w:val="20"/>
              </w:rPr>
              <w:t>Cochilco</w:t>
            </w:r>
          </w:p>
        </w:tc>
      </w:tr>
    </w:tbl>
    <w:p w14:paraId="0544516A" w14:textId="77777777" w:rsidR="00442749" w:rsidRDefault="00442749">
      <w:pPr>
        <w:spacing w:after="40"/>
        <w:rPr>
          <w:rFonts w:hint="eastAsia"/>
        </w:rPr>
      </w:pPr>
    </w:p>
    <w:p w14:paraId="28F4090E" w14:textId="77777777" w:rsidR="00442749" w:rsidRDefault="00F64CE5">
      <w:pPr>
        <w:pStyle w:val="Ttulo2"/>
      </w:pPr>
      <w:r>
        <w:t>12. Fuentes (URLs)</w:t>
      </w:r>
    </w:p>
    <w:p w14:paraId="350C24BF" w14:textId="77777777" w:rsidR="00442749" w:rsidRDefault="00F64CE5">
      <w:pPr>
        <w:rPr>
          <w:rFonts w:hint="eastAsia"/>
        </w:rPr>
      </w:pPr>
      <w:r>
        <w:rPr>
          <w:b/>
        </w:rPr>
        <w:t>Fuentes primarias e institucionales</w:t>
      </w:r>
    </w:p>
    <w:p w14:paraId="2DEA71E1" w14:textId="3970C42F" w:rsidR="00442749" w:rsidRDefault="00F64CE5">
      <w:pPr>
        <w:pStyle w:val="Listaconvietas"/>
        <w:rPr>
          <w:rFonts w:hint="eastAsia"/>
        </w:rPr>
      </w:pPr>
      <w:r>
        <w:t xml:space="preserve">Memoria Chilena, Biblioteca Nacional de Chile — </w:t>
      </w:r>
      <w:r>
        <w:rPr>
          <w:i/>
        </w:rPr>
        <w:t>Los ciclos mineros del cobre y la plata (1820-1880)</w:t>
      </w:r>
      <w:r>
        <w:t xml:space="preserve">: </w:t>
      </w:r>
      <w:hyperlink r:id="rId8">
        <w:r>
          <w:rPr>
            <w:color w:val="0071E3"/>
            <w:u w:val="single"/>
          </w:rPr>
          <w:t>https://www.memoriachilena.gob.cl/602/w3-article-727.html</w:t>
        </w:r>
      </w:hyperlink>
    </w:p>
    <w:p w14:paraId="161F8AF3" w14:textId="7B7F9AAD" w:rsidR="00442749" w:rsidRDefault="00F64CE5">
      <w:pPr>
        <w:pStyle w:val="Listaconvietas"/>
        <w:rPr>
          <w:rFonts w:hint="eastAsia"/>
        </w:rPr>
      </w:pPr>
      <w:r>
        <w:t xml:space="preserve">Memoria Chilena — </w:t>
      </w:r>
      <w:r>
        <w:rPr>
          <w:i/>
        </w:rPr>
        <w:t>La nacionalización de la gran minería del cobre (1964-1971)</w:t>
      </w:r>
      <w:r>
        <w:t xml:space="preserve">: </w:t>
      </w:r>
      <w:hyperlink r:id="rId9">
        <w:r>
          <w:rPr>
            <w:color w:val="0071E3"/>
            <w:u w:val="single"/>
          </w:rPr>
          <w:t>https://www.memoriachilena.gob.cl/602/w3-article-3622.html</w:t>
        </w:r>
      </w:hyperlink>
    </w:p>
    <w:p w14:paraId="53224752" w14:textId="5131883F" w:rsidR="00442749" w:rsidRDefault="00F64CE5">
      <w:pPr>
        <w:pStyle w:val="Listaconvietas"/>
        <w:rPr>
          <w:rFonts w:hint="eastAsia"/>
        </w:rPr>
      </w:pPr>
      <w:r>
        <w:t xml:space="preserve">Memoria Chilena — </w:t>
      </w:r>
      <w:r>
        <w:rPr>
          <w:i/>
        </w:rPr>
        <w:t>Minería del cobre</w:t>
      </w:r>
      <w:r>
        <w:t xml:space="preserve">: </w:t>
      </w:r>
      <w:hyperlink r:id="rId10">
        <w:r>
          <w:rPr>
            <w:color w:val="0071E3"/>
            <w:u w:val="single"/>
          </w:rPr>
          <w:t>https://www.memoriachilena.gob.cl/602/w3-article-92796.html</w:t>
        </w:r>
      </w:hyperlink>
    </w:p>
    <w:p w14:paraId="6516F3B9" w14:textId="09784788" w:rsidR="00442749" w:rsidRDefault="00F64CE5">
      <w:pPr>
        <w:pStyle w:val="Listaconvietas"/>
        <w:rPr>
          <w:rFonts w:hint="eastAsia"/>
        </w:rPr>
      </w:pPr>
      <w:r>
        <w:t xml:space="preserve">Biblioteca del Congreso Nacional (BCN), Ley Chile — </w:t>
      </w:r>
      <w:r>
        <w:rPr>
          <w:i/>
        </w:rPr>
        <w:t>Decreto Ley 1350 (28-feb-1976), crea CODELCO</w:t>
      </w:r>
      <w:r>
        <w:t xml:space="preserve">: </w:t>
      </w:r>
      <w:hyperlink r:id="rId11">
        <w:r>
          <w:rPr>
            <w:color w:val="0071E3"/>
            <w:u w:val="single"/>
          </w:rPr>
          <w:t>https://www.bcn.cl/leychile/Navegar?idNorma=6578</w:t>
        </w:r>
      </w:hyperlink>
    </w:p>
    <w:p w14:paraId="3C90DF5E" w14:textId="152525D8" w:rsidR="00442749" w:rsidRDefault="00F64CE5">
      <w:pPr>
        <w:pStyle w:val="Listaconvietas"/>
        <w:rPr>
          <w:rFonts w:hint="eastAsia"/>
        </w:rPr>
      </w:pPr>
      <w:r>
        <w:t xml:space="preserve">BCN, Ley Chile — </w:t>
      </w:r>
      <w:r>
        <w:rPr>
          <w:i/>
        </w:rPr>
        <w:t>Ley N° 21.591 sobre Royalty a la Minería</w:t>
      </w:r>
      <w:r>
        <w:t xml:space="preserve">: </w:t>
      </w:r>
      <w:hyperlink r:id="rId12">
        <w:r>
          <w:rPr>
            <w:color w:val="0071E3"/>
            <w:u w:val="single"/>
          </w:rPr>
          <w:t>https://www.bcn.cl/leychile/navegar?idNorma=1194982</w:t>
        </w:r>
      </w:hyperlink>
    </w:p>
    <w:p w14:paraId="1CD5E6DA" w14:textId="4DFB7F4A" w:rsidR="00442749" w:rsidRDefault="00F64CE5">
      <w:pPr>
        <w:pStyle w:val="Listaconvietas"/>
        <w:rPr>
          <w:rFonts w:hint="eastAsia"/>
        </w:rPr>
      </w:pPr>
      <w:r>
        <w:t xml:space="preserve">BCN — </w:t>
      </w:r>
      <w:r>
        <w:rPr>
          <w:i/>
        </w:rPr>
        <w:t>Historia política: la nacionalización del cobre</w:t>
      </w:r>
      <w:r>
        <w:t xml:space="preserve">: </w:t>
      </w:r>
      <w:hyperlink r:id="rId13">
        <w:r>
          <w:rPr>
            <w:color w:val="0071E3"/>
            <w:u w:val="single"/>
          </w:rPr>
          <w:t>https://www.bcn.cl/historiapolitica/archivohales/colecciones/v/participacion-politica-y-membresias/la-nacionalizacion-del-cobre</w:t>
        </w:r>
      </w:hyperlink>
    </w:p>
    <w:p w14:paraId="5505FA88" w14:textId="2B4F53E0" w:rsidR="00442749" w:rsidRDefault="00F64CE5">
      <w:pPr>
        <w:pStyle w:val="Listaconvietas"/>
        <w:rPr>
          <w:rFonts w:hint="eastAsia"/>
        </w:rPr>
      </w:pPr>
      <w:r>
        <w:t xml:space="preserve">CODELCO — </w:t>
      </w:r>
      <w:r>
        <w:rPr>
          <w:i/>
        </w:rPr>
        <w:t>Historia de la Corporación</w:t>
      </w:r>
      <w:r>
        <w:t xml:space="preserve">: </w:t>
      </w:r>
      <w:hyperlink r:id="rId14">
        <w:r>
          <w:rPr>
            <w:color w:val="0071E3"/>
            <w:u w:val="single"/>
          </w:rPr>
          <w:t>https://www.codelco.com/nosotros/la-corporacion/historia</w:t>
        </w:r>
      </w:hyperlink>
    </w:p>
    <w:p w14:paraId="61691C3B" w14:textId="5DC4D541" w:rsidR="00442749" w:rsidRDefault="00F64CE5">
      <w:pPr>
        <w:pStyle w:val="Listaconvietas"/>
        <w:rPr>
          <w:rFonts w:hint="eastAsia"/>
        </w:rPr>
      </w:pPr>
      <w:r>
        <w:t xml:space="preserve">COCHILCO — </w:t>
      </w:r>
      <w:r>
        <w:rPr>
          <w:i/>
        </w:rPr>
        <w:t>Producción chilena de cobre crece 4,9% en 2024</w:t>
      </w:r>
      <w:r>
        <w:t xml:space="preserve">: </w:t>
      </w:r>
      <w:hyperlink r:id="rId15">
        <w:r>
          <w:rPr>
            <w:color w:val="0071E3"/>
            <w:u w:val="single"/>
          </w:rPr>
          <w:t>https://www.cochilco.cl/web/produccion-chilena-de-cobre-crece-49-en-2024-quebrando-tendencia-a-la-baja-de-los-ultimos-cinco-anos/</w:t>
        </w:r>
      </w:hyperlink>
    </w:p>
    <w:p w14:paraId="186CE1B2" w14:textId="2A77B592" w:rsidR="00442749" w:rsidRDefault="00F64CE5">
      <w:pPr>
        <w:pStyle w:val="Listaconvietas"/>
        <w:rPr>
          <w:rFonts w:hint="eastAsia"/>
        </w:rPr>
      </w:pPr>
      <w:r>
        <w:lastRenderedPageBreak/>
        <w:t xml:space="preserve">COCHILCO — </w:t>
      </w:r>
      <w:r>
        <w:rPr>
          <w:i/>
        </w:rPr>
        <w:t>Chile aumentará a 27,3% su participación en la producción mundial de cobre en 2034</w:t>
      </w:r>
      <w:r>
        <w:t xml:space="preserve">: </w:t>
      </w:r>
      <w:hyperlink r:id="rId16">
        <w:r>
          <w:rPr>
            <w:color w:val="0071E3"/>
            <w:u w:val="single"/>
          </w:rPr>
          <w:t>https://www.cochilco.cl/web/chile-aumentara-a-273-su-participacion-en-la-produccion-mundial-de-cobre-en-2034/</w:t>
        </w:r>
      </w:hyperlink>
    </w:p>
    <w:p w14:paraId="241B3079" w14:textId="5F3798BD" w:rsidR="00442749" w:rsidRDefault="00F64CE5">
      <w:pPr>
        <w:pStyle w:val="Listaconvietas"/>
        <w:rPr>
          <w:rFonts w:hint="eastAsia"/>
        </w:rPr>
      </w:pPr>
      <w:r>
        <w:t xml:space="preserve">COCHILCO — sitio institucional y Anuario de Estadísticas: </w:t>
      </w:r>
      <w:hyperlink r:id="rId17">
        <w:r>
          <w:rPr>
            <w:color w:val="0071E3"/>
            <w:u w:val="single"/>
          </w:rPr>
          <w:t>https://www.cochilco.cl/web/</w:t>
        </w:r>
      </w:hyperlink>
    </w:p>
    <w:p w14:paraId="421F5E62" w14:textId="50551C4D" w:rsidR="00442749" w:rsidRDefault="00F64CE5">
      <w:pPr>
        <w:pStyle w:val="Listaconvietas"/>
        <w:rPr>
          <w:rFonts w:hint="eastAsia"/>
        </w:rPr>
      </w:pPr>
      <w:r>
        <w:t xml:space="preserve">Ministerio de Hacienda — </w:t>
      </w:r>
      <w:r>
        <w:rPr>
          <w:i/>
        </w:rPr>
        <w:t>Entra en vigor la nueva Ley de Royalty a la Minería</w:t>
      </w:r>
      <w:r>
        <w:t xml:space="preserve">: </w:t>
      </w:r>
      <w:hyperlink r:id="rId18">
        <w:r>
          <w:rPr>
            <w:color w:val="0071E3"/>
            <w:u w:val="single"/>
          </w:rPr>
          <w:t>https://www.hacienda.cl/noticias-y-eventos/noticias/1-de-enero-entra-en-vigor-nueva-ley-de-royalty-a-la-mineria</w:t>
        </w:r>
      </w:hyperlink>
    </w:p>
    <w:p w14:paraId="4874B9EE" w14:textId="6197496F" w:rsidR="00442749" w:rsidRDefault="00F64CE5">
      <w:pPr>
        <w:pStyle w:val="Listaconvietas"/>
        <w:rPr>
          <w:rFonts w:hint="eastAsia"/>
        </w:rPr>
      </w:pPr>
      <w:r>
        <w:t xml:space="preserve">Casa Museo Eduardo Frei Montalva — </w:t>
      </w:r>
      <w:r>
        <w:rPr>
          <w:i/>
        </w:rPr>
        <w:t>Chilenización del cobre: a 60 años de la Ley N° 16.425</w:t>
      </w:r>
      <w:r>
        <w:t xml:space="preserve">: </w:t>
      </w:r>
      <w:hyperlink r:id="rId19">
        <w:r>
          <w:rPr>
            <w:color w:val="0071E3"/>
            <w:u w:val="single"/>
          </w:rPr>
          <w:t>https://www.casamuseoeduardofrei.cl/en/destacado-del-mes-chilenizacion-del-cobre-a-60-anos-de-la-promulgacion-de-la-ley-n16-425/</w:t>
        </w:r>
      </w:hyperlink>
    </w:p>
    <w:p w14:paraId="410DC19E" w14:textId="2145473C" w:rsidR="00442749" w:rsidRDefault="00F64CE5">
      <w:pPr>
        <w:pStyle w:val="Listaconvietas"/>
        <w:rPr>
          <w:rFonts w:hint="eastAsia"/>
        </w:rPr>
      </w:pPr>
      <w:r>
        <w:t xml:space="preserve">Consejo Minero — </w:t>
      </w:r>
      <w:r>
        <w:rPr>
          <w:i/>
        </w:rPr>
        <w:t>La industria minera en 2024</w:t>
      </w:r>
      <w:r>
        <w:t xml:space="preserve"> (reporte anual, PDF): </w:t>
      </w:r>
      <w:hyperlink r:id="rId20">
        <w:r>
          <w:rPr>
            <w:color w:val="0071E3"/>
            <w:u w:val="single"/>
          </w:rPr>
          <w:t>https://consejominero.cl/wp-content/uploads/2025/05/Reporte-Anual-CM-2024-La-industria-minera-en-2024.pdf</w:t>
        </w:r>
      </w:hyperlink>
    </w:p>
    <w:p w14:paraId="47C9A24A" w14:textId="77777777" w:rsidR="00442749" w:rsidRDefault="00F64CE5">
      <w:pPr>
        <w:rPr>
          <w:rFonts w:hint="eastAsia"/>
        </w:rPr>
      </w:pPr>
      <w:r>
        <w:rPr>
          <w:b/>
        </w:rPr>
        <w:t>Enciclopedia y prensa (verificadas contra fuentes primarias)</w:t>
      </w:r>
    </w:p>
    <w:p w14:paraId="1D63CD32" w14:textId="6D1BE0E7" w:rsidR="00442749" w:rsidRDefault="00F64CE5">
      <w:pPr>
        <w:pStyle w:val="Listaconvietas"/>
        <w:rPr>
          <w:rFonts w:hint="eastAsia"/>
        </w:rPr>
      </w:pPr>
      <w:r>
        <w:t xml:space="preserve">Wikipedia — </w:t>
      </w:r>
      <w:r>
        <w:rPr>
          <w:i/>
        </w:rPr>
        <w:t>Nacionalización del cobre</w:t>
      </w:r>
      <w:r>
        <w:t xml:space="preserve">: </w:t>
      </w:r>
      <w:hyperlink r:id="rId21">
        <w:r>
          <w:rPr>
            <w:color w:val="0071E3"/>
            <w:u w:val="single"/>
          </w:rPr>
          <w:t>https://es.wikipedia.org/wiki/Nacionalizaci%C3%B3n_del_cobre</w:t>
        </w:r>
      </w:hyperlink>
    </w:p>
    <w:p w14:paraId="18C3C89D" w14:textId="6A0F5449" w:rsidR="00442749" w:rsidRDefault="00F64CE5">
      <w:pPr>
        <w:pStyle w:val="Listaconvietas"/>
        <w:rPr>
          <w:rFonts w:hint="eastAsia"/>
        </w:rPr>
      </w:pPr>
      <w:r>
        <w:t xml:space="preserve">Wikipedia — </w:t>
      </w:r>
      <w:r>
        <w:rPr>
          <w:i/>
        </w:rPr>
        <w:t>Chilenización del cobre</w:t>
      </w:r>
      <w:r>
        <w:t xml:space="preserve">: </w:t>
      </w:r>
      <w:hyperlink r:id="rId22">
        <w:r>
          <w:rPr>
            <w:color w:val="0071E3"/>
            <w:u w:val="single"/>
          </w:rPr>
          <w:t>https://es.wikipedia.org/wiki/Chilenizaci%C3%B3n_del_cobre</w:t>
        </w:r>
      </w:hyperlink>
    </w:p>
    <w:p w14:paraId="29F3F385" w14:textId="40B06F99" w:rsidR="00442749" w:rsidRDefault="00F64CE5">
      <w:pPr>
        <w:pStyle w:val="Listaconvietas"/>
        <w:rPr>
          <w:rFonts w:hint="eastAsia"/>
        </w:rPr>
      </w:pPr>
      <w:r>
        <w:t xml:space="preserve">Wikipedia — </w:t>
      </w:r>
      <w:r>
        <w:rPr>
          <w:i/>
        </w:rPr>
        <w:t>Mineral de Tamaya</w:t>
      </w:r>
      <w:r>
        <w:t xml:space="preserve">: </w:t>
      </w:r>
      <w:hyperlink r:id="rId23">
        <w:r>
          <w:rPr>
            <w:color w:val="0071E3"/>
            <w:u w:val="single"/>
          </w:rPr>
          <w:t>https://es.wikipedia.org/wiki/Mineral_de_Tamaya</w:t>
        </w:r>
      </w:hyperlink>
    </w:p>
    <w:p w14:paraId="0ED20FE8" w14:textId="2514C7EA" w:rsidR="00442749" w:rsidRDefault="00F64CE5">
      <w:pPr>
        <w:pStyle w:val="Listaconvietas"/>
        <w:rPr>
          <w:rFonts w:hint="eastAsia"/>
        </w:rPr>
      </w:pPr>
      <w:r>
        <w:t xml:space="preserve">Wikipedia (EN) — </w:t>
      </w:r>
      <w:r>
        <w:rPr>
          <w:i/>
        </w:rPr>
        <w:t>Ley Reservada del Cobre</w:t>
      </w:r>
      <w:r>
        <w:t xml:space="preserve">: </w:t>
      </w:r>
      <w:hyperlink r:id="rId24">
        <w:r>
          <w:rPr>
            <w:color w:val="0071E3"/>
            <w:u w:val="single"/>
          </w:rPr>
          <w:t>https://en.wikipedia.org/wiki/Ley_Reservada_del_Cobre</w:t>
        </w:r>
      </w:hyperlink>
    </w:p>
    <w:p w14:paraId="2BB901E9" w14:textId="04BAC0F3" w:rsidR="00442749" w:rsidRDefault="00F64CE5">
      <w:pPr>
        <w:pStyle w:val="Listaconvietas"/>
        <w:rPr>
          <w:rFonts w:hint="eastAsia"/>
        </w:rPr>
      </w:pPr>
      <w:r>
        <w:t xml:space="preserve">El Mostrador — </w:t>
      </w:r>
      <w:r>
        <w:rPr>
          <w:i/>
        </w:rPr>
        <w:t>Se deroga la Ley Reservada del Cobre</w:t>
      </w:r>
      <w:r>
        <w:t xml:space="preserve"> (24-07-2019): </w:t>
      </w:r>
      <w:hyperlink r:id="rId25">
        <w:r>
          <w:rPr>
            <w:color w:val="0071E3"/>
            <w:u w:val="single"/>
          </w:rPr>
          <w:t>https://www.elmostrador.cl/noticias/pais/2019/07/24/se-deroga-la-ley-reservada-del-cobre-congreso-despacha-a-ley-el-nuevo-sistema-de-financiamiento-para-las-ffaa/</w:t>
        </w:r>
      </w:hyperlink>
    </w:p>
    <w:p w14:paraId="738B1E2F" w14:textId="1BB5F20A" w:rsidR="00442749" w:rsidRDefault="00F64CE5">
      <w:pPr>
        <w:pStyle w:val="Listaconvietas"/>
        <w:rPr>
          <w:rFonts w:hint="eastAsia"/>
        </w:rPr>
      </w:pPr>
      <w:r>
        <w:lastRenderedPageBreak/>
        <w:t xml:space="preserve">BioBioChile — </w:t>
      </w:r>
      <w:r>
        <w:rPr>
          <w:i/>
        </w:rPr>
        <w:t>Congreso aprueba derogar Ley Reservada del Cobre</w:t>
      </w:r>
      <w:r>
        <w:t xml:space="preserve"> (24-07-2019): </w:t>
      </w:r>
      <w:hyperlink r:id="rId26">
        <w:r>
          <w:rPr>
            <w:color w:val="0071E3"/>
            <w:u w:val="single"/>
          </w:rPr>
          <w:t>https://www.biobiochile.cl/noticias/nacional/chile/2019/07/24/codelco-ya-no-financiara-a-las-fuerzas-armadas-congreso-aprueba-derogar-ley-reservada-del-cobre.shtml</w:t>
        </w:r>
      </w:hyperlink>
    </w:p>
    <w:p w14:paraId="3B11E969" w14:textId="303C16BB" w:rsidR="00442749" w:rsidRDefault="00F64CE5">
      <w:pPr>
        <w:pStyle w:val="Listaconvietas"/>
        <w:rPr>
          <w:rFonts w:hint="eastAsia"/>
        </w:rPr>
      </w:pPr>
      <w:r>
        <w:t xml:space="preserve">Emol — </w:t>
      </w:r>
      <w:r>
        <w:rPr>
          <w:i/>
        </w:rPr>
        <w:t>Cómo fue el "súper ciclo" del cobre: hitos y cifras</w:t>
      </w:r>
      <w:r>
        <w:t xml:space="preserve">: </w:t>
      </w:r>
      <w:hyperlink r:id="rId27">
        <w:r>
          <w:rPr>
            <w:color w:val="0071E3"/>
            <w:u w:val="single"/>
          </w:rPr>
          <w:t>https://www.emol.com/noticias/Economia/2021/02/23/1013056/Super-ciclo-cobre-hitos-cifras.html</w:t>
        </w:r>
      </w:hyperlink>
    </w:p>
    <w:p w14:paraId="39343032" w14:textId="2D583FD2" w:rsidR="00442749" w:rsidRDefault="00F64CE5">
      <w:pPr>
        <w:pStyle w:val="Listaconvietas"/>
        <w:rPr>
          <w:rFonts w:hint="eastAsia"/>
        </w:rPr>
      </w:pPr>
      <w:r>
        <w:t xml:space="preserve">plusmining — </w:t>
      </w:r>
      <w:r>
        <w:rPr>
          <w:i/>
        </w:rPr>
        <w:t>Chile's share in the global copper market drops from 30% to 24% in a decade</w:t>
      </w:r>
      <w:r>
        <w:t xml:space="preserve">: </w:t>
      </w:r>
      <w:hyperlink r:id="rId28">
        <w:r>
          <w:rPr>
            <w:color w:val="0071E3"/>
            <w:u w:val="single"/>
          </w:rPr>
          <w:t>https://plusmining.com/en/2025/02/24/chiles-share-in-the-global-copper-market-drops-from-30-to-24-in-a-decade/</w:t>
        </w:r>
      </w:hyperlink>
    </w:p>
    <w:p w14:paraId="2229B9D8" w14:textId="4FC528ED" w:rsidR="00442749" w:rsidRDefault="00F64CE5">
      <w:pPr>
        <w:pStyle w:val="Listaconvietas"/>
        <w:rPr>
          <w:rFonts w:hint="eastAsia"/>
        </w:rPr>
      </w:pPr>
      <w:r>
        <w:t xml:space="preserve">Cooperativa — </w:t>
      </w:r>
      <w:r>
        <w:rPr>
          <w:i/>
        </w:rPr>
        <w:t>Royalty minero será ley y repartirá recursos a regiones</w:t>
      </w:r>
      <w:r>
        <w:t xml:space="preserve">: </w:t>
      </w:r>
      <w:hyperlink r:id="rId29">
        <w:r>
          <w:rPr>
            <w:color w:val="0071E3"/>
            <w:u w:val="single"/>
          </w:rPr>
          <w:t>https://cooperativa.cl/noticias/economia/sectores-productivos/mineria/royalty-minero-sera-ley-y-repartira-392-mil-millones-entre-las-regiones/2023-05-17/175831.html</w:t>
        </w:r>
      </w:hyperlink>
    </w:p>
    <w:p w14:paraId="35CB587B" w14:textId="34F5B68E" w:rsidR="00442749" w:rsidRDefault="00F64CE5">
      <w:pPr>
        <w:pStyle w:val="Listaconvietas"/>
        <w:rPr>
          <w:rFonts w:hint="eastAsia"/>
        </w:rPr>
      </w:pPr>
      <w:r>
        <w:t xml:space="preserve">EY Chile — </w:t>
      </w:r>
      <w:r>
        <w:rPr>
          <w:i/>
        </w:rPr>
        <w:t>Alerta tributaria: nuevo Royalty Minero</w:t>
      </w:r>
      <w:r>
        <w:t xml:space="preserve">: </w:t>
      </w:r>
      <w:hyperlink r:id="rId30">
        <w:r>
          <w:rPr>
            <w:color w:val="0071E3"/>
            <w:u w:val="single"/>
          </w:rPr>
          <w:t>https://www.ey.com/es_cl/technical/tax/ey-tax-alert-chile/alerta-tributaria-extendida-nuevo-royalty-minero-es-aprobado-y-esta-listo-para-convertirse-en-ley</w:t>
        </w:r>
      </w:hyperlink>
    </w:p>
    <w:sectPr w:rsidR="00442749" w:rsidSect="00034616">
      <w:footerReference w:type="default" r:id="rId31"/>
      <w:pgSz w:w="12240" w:h="15840"/>
      <w:pgMar w:top="1701" w:right="1814" w:bottom="1474"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33A05" w14:textId="77777777" w:rsidR="00F64CE5" w:rsidRDefault="00F64CE5">
      <w:pPr>
        <w:spacing w:after="0" w:line="240" w:lineRule="auto"/>
        <w:rPr>
          <w:rFonts w:hint="eastAsia"/>
        </w:rPr>
      </w:pPr>
      <w:r>
        <w:separator/>
      </w:r>
    </w:p>
  </w:endnote>
  <w:endnote w:type="continuationSeparator" w:id="0">
    <w:p w14:paraId="03CA9F51" w14:textId="77777777" w:rsidR="00F64CE5" w:rsidRDefault="00F64C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A7588" w14:textId="77777777" w:rsidR="00442749" w:rsidRDefault="00F64CE5">
    <w:pPr>
      <w:pStyle w:val="Piedepgina"/>
      <w:jc w:val="center"/>
      <w:rPr>
        <w:rFonts w:hint="eastAsia"/>
      </w:rPr>
    </w:pPr>
    <w:r>
      <w:rPr>
        <w:color w:val="6E6E73"/>
        <w:sz w:val="18"/>
      </w:rPr>
      <w:fldChar w:fldCharType="begin"/>
    </w:r>
    <w:r>
      <w:rPr>
        <w:color w:val="6E6E73"/>
        <w:sz w:val="18"/>
      </w:rPr>
      <w:instrText>PAGE</w:instrText>
    </w:r>
    <w:r>
      <w:rPr>
        <w:color w:val="6E6E73"/>
        <w:sz w:val="18"/>
      </w:rPr>
      <w:fldChar w:fldCharType="separate"/>
    </w:r>
    <w:r>
      <w:rPr>
        <w:color w:val="6E6E73"/>
        <w:sz w:val="18"/>
      </w:rPr>
      <w:t>1</w:t>
    </w:r>
    <w:r>
      <w:rPr>
        <w:color w:val="6E6E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AB54D" w14:textId="77777777" w:rsidR="00F64CE5" w:rsidRDefault="00F64CE5">
      <w:pPr>
        <w:spacing w:after="0" w:line="240" w:lineRule="auto"/>
        <w:rPr>
          <w:rFonts w:hint="eastAsia"/>
        </w:rPr>
      </w:pPr>
      <w:r>
        <w:separator/>
      </w:r>
    </w:p>
  </w:footnote>
  <w:footnote w:type="continuationSeparator" w:id="0">
    <w:p w14:paraId="6B19749C" w14:textId="77777777" w:rsidR="00F64CE5" w:rsidRDefault="00F64C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4953666">
    <w:abstractNumId w:val="8"/>
  </w:num>
  <w:num w:numId="2" w16cid:durableId="540478738">
    <w:abstractNumId w:val="6"/>
  </w:num>
  <w:num w:numId="3" w16cid:durableId="62724216">
    <w:abstractNumId w:val="5"/>
  </w:num>
  <w:num w:numId="4" w16cid:durableId="407926904">
    <w:abstractNumId w:val="4"/>
  </w:num>
  <w:num w:numId="5" w16cid:durableId="2044137702">
    <w:abstractNumId w:val="7"/>
  </w:num>
  <w:num w:numId="6" w16cid:durableId="931816628">
    <w:abstractNumId w:val="3"/>
  </w:num>
  <w:num w:numId="7" w16cid:durableId="2120685485">
    <w:abstractNumId w:val="2"/>
  </w:num>
  <w:num w:numId="8" w16cid:durableId="1092044212">
    <w:abstractNumId w:val="1"/>
  </w:num>
  <w:num w:numId="9" w16cid:durableId="198681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749"/>
    <w:rsid w:val="00AA1D8D"/>
    <w:rsid w:val="00B47730"/>
    <w:rsid w:val="00CB0664"/>
    <w:rsid w:val="00DA3E96"/>
    <w:rsid w:val="00F64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3D71D"/>
  <w14:defaultImageDpi w14:val="300"/>
  <w15:docId w15:val="{E8F2C2FF-CD22-470B-AD2F-C3EF1CC0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Segoe UI" w:hAnsi="Segoe UI"/>
      <w:color w:val="1D1D1F"/>
      <w:sz w:val="23"/>
    </w:rPr>
  </w:style>
  <w:style w:type="paragraph" w:styleId="Ttulo1">
    <w:name w:val="heading 1"/>
    <w:basedOn w:val="Normal"/>
    <w:next w:val="Normal"/>
    <w:link w:val="Ttulo1Car"/>
    <w:uiPriority w:val="9"/>
    <w:qFormat/>
    <w:rsid w:val="00FC693F"/>
    <w:pPr>
      <w:keepNext/>
      <w:keepLines/>
      <w:spacing w:before="200" w:after="160" w:line="264" w:lineRule="auto"/>
      <w:outlineLvl w:val="0"/>
    </w:pPr>
    <w:rPr>
      <w:rFonts w:asciiTheme="majorHAnsi" w:eastAsiaTheme="majorEastAsia" w:hAnsiTheme="majorHAnsi" w:cstheme="majorBidi"/>
      <w:bCs/>
      <w:sz w:val="44"/>
      <w:szCs w:val="28"/>
    </w:rPr>
  </w:style>
  <w:style w:type="paragraph" w:styleId="Ttulo2">
    <w:name w:val="heading 2"/>
    <w:basedOn w:val="Normal"/>
    <w:next w:val="Normal"/>
    <w:link w:val="Ttulo2Car"/>
    <w:uiPriority w:val="9"/>
    <w:unhideWhenUsed/>
    <w:qFormat/>
    <w:rsid w:val="00FC693F"/>
    <w:pPr>
      <w:keepNext/>
      <w:keepLines/>
      <w:spacing w:before="360" w:after="80" w:line="264" w:lineRule="auto"/>
      <w:outlineLvl w:val="1"/>
    </w:pPr>
    <w:rPr>
      <w:rFonts w:asciiTheme="majorHAnsi" w:eastAsiaTheme="majorEastAsia" w:hAnsiTheme="majorHAnsi" w:cstheme="majorBidi"/>
      <w:bCs/>
      <w:sz w:val="32"/>
      <w:szCs w:val="26"/>
    </w:rPr>
  </w:style>
  <w:style w:type="paragraph" w:styleId="Ttulo3">
    <w:name w:val="heading 3"/>
    <w:basedOn w:val="Normal"/>
    <w:next w:val="Normal"/>
    <w:link w:val="Ttulo3Car"/>
    <w:uiPriority w:val="9"/>
    <w:unhideWhenUsed/>
    <w:qFormat/>
    <w:rsid w:val="00FC693F"/>
    <w:pPr>
      <w:keepNext/>
      <w:keepLines/>
      <w:spacing w:before="360" w:after="80" w:line="264" w:lineRule="auto"/>
      <w:outlineLvl w:val="2"/>
    </w:pPr>
    <w:rPr>
      <w:rFonts w:asciiTheme="majorHAnsi" w:eastAsiaTheme="majorEastAsia" w:hAnsiTheme="majorHAnsi" w:cstheme="majorBidi"/>
      <w:bCs/>
      <w:color w:val="0071E3"/>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cn.cl/historiapolitica/archivohales/colecciones/v/participacion-politica-y-membresias/la-nacionalizacion-del-cobre" TargetMode="External"/><Relationship Id="rId18" Type="http://schemas.openxmlformats.org/officeDocument/2006/relationships/hyperlink" Target="https://www.hacienda.cl/noticias-y-eventos/noticias/1-de-enero-entra-en-vigor-nueva-ley-de-royalty-a-la-mineria" TargetMode="External"/><Relationship Id="rId26" Type="http://schemas.openxmlformats.org/officeDocument/2006/relationships/hyperlink" Target="https://www.biobiochile.cl/noticias/nacional/chile/2019/07/24/codelco-ya-no-financiara-a-las-fuerzas-armadas-congreso-aprueba-derogar-ley-reservada-del-cobre.shtml" TargetMode="External"/><Relationship Id="rId3" Type="http://schemas.openxmlformats.org/officeDocument/2006/relationships/styles" Target="styles.xml"/><Relationship Id="rId21" Type="http://schemas.openxmlformats.org/officeDocument/2006/relationships/hyperlink" Target="https://es.wikipedia.org/wiki/Nacionalizaci%C3%B3n_del_cobre" TargetMode="External"/><Relationship Id="rId7" Type="http://schemas.openxmlformats.org/officeDocument/2006/relationships/endnotes" Target="endnotes.xml"/><Relationship Id="rId12" Type="http://schemas.openxmlformats.org/officeDocument/2006/relationships/hyperlink" Target="https://www.bcn.cl/leychile/navegar?idNorma=1194982" TargetMode="External"/><Relationship Id="rId17" Type="http://schemas.openxmlformats.org/officeDocument/2006/relationships/hyperlink" Target="https://www.cochilco.cl/web/" TargetMode="External"/><Relationship Id="rId25" Type="http://schemas.openxmlformats.org/officeDocument/2006/relationships/hyperlink" Target="https://www.elmostrador.cl/noticias/pais/2019/07/24/se-deroga-la-ley-reservada-del-cobre-congreso-despacha-a-ley-el-nuevo-sistema-de-financiamiento-para-las-ffa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chilco.cl/web/chile-aumentara-a-273-su-participacion-en-la-produccion-mundial-de-cobre-en-2034/" TargetMode="External"/><Relationship Id="rId20" Type="http://schemas.openxmlformats.org/officeDocument/2006/relationships/hyperlink" Target="https://consejominero.cl/wp-content/uploads/2025/05/Reporte-Anual-CM-2024-La-industria-minera-en-2024.pdf" TargetMode="External"/><Relationship Id="rId29" Type="http://schemas.openxmlformats.org/officeDocument/2006/relationships/hyperlink" Target="https://cooperativa.cl/noticias/economia/sectores-productivos/mineria/royalty-minero-sera-ley-y-repartira-392-mil-millones-entre-las-regiones/2023-05-17/17583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cn.cl/leychile/Navegar?idNorma=6578" TargetMode="External"/><Relationship Id="rId24" Type="http://schemas.openxmlformats.org/officeDocument/2006/relationships/hyperlink" Target="https://en.wikipedia.org/wiki/Ley_Reservada_del_Cobr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chilco.cl/web/produccion-chilena-de-cobre-crece-49-en-2024-quebrando-tendencia-a-la-baja-de-los-ultimos-cinco-anos/" TargetMode="External"/><Relationship Id="rId23" Type="http://schemas.openxmlformats.org/officeDocument/2006/relationships/hyperlink" Target="https://es.wikipedia.org/wiki/Mineral_de_Tamaya" TargetMode="External"/><Relationship Id="rId28" Type="http://schemas.openxmlformats.org/officeDocument/2006/relationships/hyperlink" Target="https://plusmining.com/en/2025/02/24/chiles-share-in-the-global-copper-market-drops-from-30-to-24-in-a-decade/" TargetMode="External"/><Relationship Id="rId10" Type="http://schemas.openxmlformats.org/officeDocument/2006/relationships/hyperlink" Target="https://www.memoriachilena.gob.cl/602/w3-article-92796.html" TargetMode="External"/><Relationship Id="rId19" Type="http://schemas.openxmlformats.org/officeDocument/2006/relationships/hyperlink" Target="https://www.casamuseoeduardofrei.cl/en/destacado-del-mes-chilenizacion-del-cobre-a-60-anos-de-la-promulgacion-de-la-ley-n16-425/"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emoriachilena.gob.cl/602/w3-article-3622.html" TargetMode="External"/><Relationship Id="rId14" Type="http://schemas.openxmlformats.org/officeDocument/2006/relationships/hyperlink" Target="https://www.codelco.com/nosotros/la-corporacion/historia" TargetMode="External"/><Relationship Id="rId22" Type="http://schemas.openxmlformats.org/officeDocument/2006/relationships/hyperlink" Target="https://es.wikipedia.org/wiki/Chilenizaci%C3%B3n_del_cobre" TargetMode="External"/><Relationship Id="rId27" Type="http://schemas.openxmlformats.org/officeDocument/2006/relationships/hyperlink" Target="https://www.emol.com/noticias/Economia/2021/02/23/1013056/Super-ciclo-cobre-hitos-cifras.html" TargetMode="External"/><Relationship Id="rId30" Type="http://schemas.openxmlformats.org/officeDocument/2006/relationships/hyperlink" Target="https://www.ey.com/es_cl/technical/tax/ey-tax-alert-chile/alerta-tributaria-extendida-nuevo-royalty-minero-es-aprobado-y-esta-listo-para-convertirse-en-ley" TargetMode="External"/><Relationship Id="rId8" Type="http://schemas.openxmlformats.org/officeDocument/2006/relationships/hyperlink" Target="https://www.memoriachilena.gob.cl/602/w3-article-7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2579</Words>
  <Characters>14186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Rietta González</cp:lastModifiedBy>
  <cp:revision>2</cp:revision>
  <dcterms:created xsi:type="dcterms:W3CDTF">2013-12-23T23:15:00Z</dcterms:created>
  <dcterms:modified xsi:type="dcterms:W3CDTF">2026-05-31T19:56:00Z</dcterms:modified>
  <cp:category/>
</cp:coreProperties>
</file>