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120"/>
      </w:pPr>
      <w:r>
        <w:rPr>
          <w:rFonts w:ascii="Segoe UI Semibold" w:hAnsi="Segoe UI Semibold"/>
          <w:color w:val="0071E3"/>
          <w:sz w:val="24"/>
          <w:spacing w:val="40"/>
        </w:rPr>
        <w:t>COMPENDIO DE INVESTIGACIÓN</w:t>
      </w:r>
    </w:p>
    <w:p>
      <w:pPr>
        <w:spacing w:after="160" w:line="245" w:lineRule="auto"/>
      </w:pPr>
      <w:r>
        <w:rPr>
          <w:rFonts w:ascii="Segoe UI Semibold" w:hAnsi="Segoe UI Semibold"/>
          <w:color w:val="1D1D1F"/>
          <w:sz w:val="68"/>
        </w:rPr>
        <w:t>Compendio de Investigación</w:t>
      </w:r>
    </w:p>
    <w:p>
      <w:pPr>
        <w:spacing w:after="0" w:line="288" w:lineRule="auto"/>
      </w:pPr>
      <w:r>
        <w:rPr>
          <w:rFonts w:ascii="Segoe UI" w:hAnsi="Segoe UI"/>
          <w:color w:val="6E6E73"/>
          <w:sz w:val="30"/>
        </w:rPr>
        <w:t>Estado del arte, historia del cobre, literatura, metodología, referencias y datos</w:t>
      </w:r>
    </w:p>
    <w:p>
      <w:pPr>
        <w:spacing w:after="0"/>
      </w:pPr>
    </w:p>
    <w:p>
      <w:pPr>
        <w:spacing w:before="160" w:after="280"/>
        <w:pBdr>
          <w:bottom w:val="single" w:sz="6" w:space="1" w:color="D2D2D7"/>
        </w:pBdr>
      </w:pPr>
    </w:p>
    <w:p>
      <w:pPr>
        <w:spacing w:after="40"/>
      </w:pPr>
      <w:r>
        <w:rPr>
          <w:rFonts w:ascii="Segoe UI Semibold" w:hAnsi="Segoe UI Semibold"/>
          <w:color w:val="1D1D1F"/>
          <w:sz w:val="21"/>
        </w:rPr>
        <w:t xml:space="preserve">Proyecto   </w:t>
      </w:r>
      <w:r>
        <w:rPr>
          <w:rFonts w:ascii="Segoe UI" w:hAnsi="Segoe UI"/>
          <w:color w:val="6E6E73"/>
          <w:sz w:val="21"/>
        </w:rPr>
        <w:t>Macroeconomía y retornos del sector cobre en Chile (2004–2024)</w:t>
      </w:r>
    </w:p>
    <w:p>
      <w:pPr>
        <w:spacing w:after="40"/>
      </w:pPr>
      <w:r>
        <w:rPr>
          <w:rFonts w:ascii="Segoe UI Semibold" w:hAnsi="Segoe UI Semibold"/>
          <w:color w:val="1D1D1F"/>
          <w:sz w:val="21"/>
        </w:rPr>
        <w:t xml:space="preserve">Autor   </w:t>
      </w:r>
      <w:r>
        <w:rPr>
          <w:rFonts w:ascii="Segoe UI" w:hAnsi="Segoe UI"/>
          <w:color w:val="6E6E73"/>
          <w:sz w:val="21"/>
        </w:rPr>
        <w:t>Francisco Rietta</w:t>
      </w:r>
    </w:p>
    <w:p>
      <w:pPr>
        <w:spacing w:after="40"/>
      </w:pPr>
      <w:r>
        <w:rPr>
          <w:rFonts w:ascii="Segoe UI Semibold" w:hAnsi="Segoe UI Semibold"/>
          <w:color w:val="1D1D1F"/>
          <w:sz w:val="21"/>
        </w:rPr>
        <w:t xml:space="preserve">Documentos   </w:t>
      </w:r>
      <w:r>
        <w:rPr>
          <w:rFonts w:ascii="Segoe UI" w:hAnsi="Segoe UI"/>
          <w:color w:val="6E6E73"/>
          <w:sz w:val="21"/>
        </w:rPr>
        <w:t>13 secciones de investigación</w:t>
      </w:r>
    </w:p>
    <w:p>
      <w:pPr>
        <w:spacing w:after="40"/>
      </w:pPr>
      <w:r>
        <w:rPr>
          <w:rFonts w:ascii="Segoe UI Semibold" w:hAnsi="Segoe UI Semibold"/>
          <w:color w:val="1D1D1F"/>
          <w:sz w:val="21"/>
        </w:rPr>
        <w:t xml:space="preserve">Formato   </w:t>
      </w:r>
      <w:r>
        <w:rPr>
          <w:rFonts w:ascii="Segoe UI" w:hAnsi="Segoe UI"/>
          <w:color w:val="6E6E73"/>
          <w:sz w:val="21"/>
        </w:rPr>
        <w:t>Estilo Apple · sugerencias MIT</w:t>
      </w:r>
    </w:p>
    <w:p>
      <w:r>
        <w:br w:type="page"/>
      </w:r>
    </w:p>
    <w:p>
      <w:pPr>
        <w:pStyle w:val="Heading1"/>
      </w:pPr>
      <w:r>
        <w:t>Índice</w:t>
      </w:r>
    </w:p>
    <w:p>
      <w:r>
        <w:rPr>
          <w:i/>
          <w:color w:val="6E6E73"/>
          <w:sz w:val="20"/>
        </w:rPr>
        <w:t>Actualice el campo con clic derecho → Actualizar campos.</w:t>
      </w:r>
    </w:p>
    <w:p>
      <w:r>
        <w:fldChar w:fldCharType="begin"/>
        <w:instrText xml:space="preserve">TOC \o "1-2" \h \z \u</w:instrText>
        <w:fldChar w:fldCharType="separate"/>
        <w:instrText xml:space="preserve">Índice</w:instrText>
        <w:fldChar w:fldCharType="end"/>
      </w:r>
    </w:p>
    <w:p>
      <w:r>
        <w:br w:type="page"/>
      </w:r>
    </w:p>
    <w:p>
      <w:pPr>
        <w:pStyle w:val="Heading1"/>
      </w:pPr>
      <w:r>
        <w:t>Estado del Arte</w:t>
      </w:r>
    </w:p>
    <w:p>
      <w:r>
        <w:rPr>
          <w:color w:val="6E6E73"/>
          <w:sz w:val="24"/>
        </w:rPr>
        <w:t>Qué se sabe, qué vacío llena la tesis y cómo se posiciona en la literatura</w:t>
      </w:r>
    </w:p>
    <w:p>
      <w:pPr>
        <w:spacing w:before="40" w:after="200"/>
        <w:pBdr>
          <w:bottom w:val="single" w:sz="6" w:space="1" w:color="D2D2D7"/>
        </w:pBdr>
      </w:pPr>
    </w:p>
    <w:p>
      <w:r>
        <w:t>El estado del arte se organiza en cuatro ejes que confluyen en el objeto de estudio: (1) los factores macroeconómicos como determinantes de los retornos accionarios; (2) la transmisión de los precios de los commodities a la valoración de las empresas; (3) el nexo entre el cobre, el tipo de cambio y la economía chilena; y (4) la integración y segmentación de los mercados bursátiles.</w:t>
      </w:r>
    </w:p>
    <w:p>
      <w:pPr>
        <w:pStyle w:val="Heading3"/>
      </w:pPr>
      <w:r>
        <w:t>1. Factores macroeconómicos y retornos accionarios</w:t>
      </w:r>
    </w:p>
    <w:p>
      <w:r>
        <w:t xml:space="preserve">El punto de partida teórico es la </w:t>
      </w:r>
      <w:r>
        <w:rPr>
          <w:b/>
        </w:rPr>
        <w:t>Teoría de Valoración por Arbitraje</w:t>
      </w:r>
      <w:r>
        <w:t xml:space="preserve"> (APT) de Ross (1976), que generaliza el CAPM al admitir múltiples factores de riesgo sistemático. Su operacionalización empírica seminal es Chen, Roll y Ross (1986), quienes muestran que un conjunto de fuerzas económicas —producción industrial, inflación no anticipada, prima de riesgo y estructura temporal de tasas— están sistemáticamente preciadas en los retornos accionarios. Fama (1981) y Fama y French (1989) consolidan el vínculo entre actividad real, variables de estado y retornos a lo largo del ciclo.</w:t>
      </w:r>
    </w:p>
    <w:p>
      <w:r>
        <w:t xml:space="preserve">La evidencia en </w:t>
      </w:r>
      <w:r>
        <w:rPr>
          <w:b/>
        </w:rPr>
        <w:t>mercados emergentes</w:t>
      </w:r>
      <w:r>
        <w:t xml:space="preserve"> —contexto más cercano al caso chileno— confirma la vigencia del enfoque multifactorial y suele encontrar que el tipo de cambio explica de forma consistente los retornos, con el APT sosteniéndose mejor que el CAPM. Esta literatura justifica modelar el retorno del sector como función de un vector explícito de factores macro-financieros.</w:t>
      </w:r>
    </w:p>
    <w:p>
      <w:pPr>
        <w:pStyle w:val="Heading3"/>
      </w:pPr>
      <w:r>
        <w:t>2. Transmisión de los precios de commodities a la valoración de empresas</w:t>
      </w:r>
    </w:p>
    <w:p>
      <w:r>
        <w:t xml:space="preserve">Para una empresa cuyo ingreso depende de un commodity, su precio actúa como factor de riesgo de primer orden, transmitido por el canal de flujos de caja y amplificado por el apalancamiento operativo. La literatura formalizó este vínculo sobre todo en el </w:t>
      </w:r>
      <w:r>
        <w:rPr>
          <w:b/>
        </w:rPr>
        <w:t>sector energético</w:t>
      </w:r>
      <w:r>
        <w:t xml:space="preserve">: Sadorsky (2001) y Boyer y Filion (2007) modelan la reacción de las acciones de petróleo y gas al precio del crudo, el tipo de cambio y las tasas. La evidencia para </w:t>
      </w:r>
      <w:r>
        <w:rPr>
          <w:b/>
        </w:rPr>
        <w:t>metales y minería</w:t>
      </w:r>
      <w:r>
        <w:t xml:space="preserve"> es más reciente: Zhu, Chen y Chen (2021, </w:t>
      </w:r>
      <w:r>
        <w:rPr>
          <w:i/>
        </w:rPr>
        <w:t>Resources Policy</w:t>
      </w:r>
      <w:r>
        <w:t xml:space="preserve">) hallan un efecto positivo de los precios de los metales no ferrosos sobre la bolsa del sector, intensificado tras 2008; Wallenstein, Mendiola y Chávez-Bedoya (CLADEA) documentan una relación positiva pero inelástica entre acciones cupríferas y precio del cobre; y trabajos en </w:t>
      </w:r>
      <w:r>
        <w:rPr>
          <w:i/>
        </w:rPr>
        <w:t>Mineral Economics</w:t>
      </w:r>
      <w:r>
        <w:t xml:space="preserve"> (2025) modelan el vínculo cobre/oro→cotizaciones mineras en Nueva York, Toronto y Australia, </w:t>
      </w:r>
      <w:r>
        <w:rPr>
          <w:b/>
        </w:rPr>
        <w:t>excluyendo a Chile</w:t>
      </w:r>
      <w:r>
        <w:t>.</w:t>
      </w:r>
    </w:p>
    <w:p>
      <w:pPr>
        <w:pStyle w:val="Heading3"/>
      </w:pPr>
      <w:r>
        <w:t>3. Cobre, tipo de cambio y economía chilena</w:t>
      </w:r>
    </w:p>
    <w:p>
      <w:r>
        <w:t xml:space="preserve">El peso chileno es una </w:t>
      </w:r>
      <w:r>
        <w:rPr>
          <w:b/>
        </w:rPr>
        <w:t>commodity currency</w:t>
      </w:r>
      <w:r>
        <w:t xml:space="preserve"> canónica (Chen y Rogoff, 2003; Chen, Rogoff y Rossi, 2010; Cashin, Céspedes y Sahay, 2004): el precio del cobre y el tipo de cambio comparten una relación de largo plazo. Pincheira y Hardy (2019, </w:t>
      </w:r>
      <w:r>
        <w:rPr>
          <w:i/>
        </w:rPr>
        <w:t>Resources Policy</w:t>
      </w:r>
      <w:r>
        <w:t xml:space="preserve">) muestran que el tipo de cambio chileno predice los retornos de los metales base; Labbé y De Gregorio (2011, DTBC) documentan el tipo de cambio real como amortiguador de los shocks del cobre; y Pedersen (2015, DTBC 753) establece que el efecto del cobre sobre la economía depende de la naturaleza del shock (demanda vs. oferta). El antecedente más directo a nivel bursátil es Zurita, Fuentes y Gregoire (2005, DTBC 316), que mediante un APT halla que las sorpresas del precio del cobre están preciadas en los retornos accionarios chilenos, aunque a nivel de </w:t>
      </w:r>
      <w:r>
        <w:rPr>
          <w:b/>
        </w:rPr>
        <w:t>índice agregado</w:t>
      </w:r>
      <w:r>
        <w:t xml:space="preserve"> y hasta 2003.</w:t>
      </w:r>
    </w:p>
    <w:p>
      <w:pPr>
        <w:pStyle w:val="Heading3"/>
      </w:pPr>
      <w:r>
        <w:t>4. Integración y segmentación de mercados</w:t>
      </w:r>
    </w:p>
    <w:p>
      <w:r>
        <w:t xml:space="preserve">La hipótesis de eficiencia (Fama, 1970) y la literatura de </w:t>
      </w:r>
      <w:r>
        <w:rPr>
          <w:b/>
        </w:rPr>
        <w:t>segmentación e integración</w:t>
      </w:r>
      <w:r>
        <w:t xml:space="preserve"> (Errunza y Losq, 1985; Bekaert y Harvey, 1995, 2005) sostienen que mercados de distinta profundidad pueden preciar de forma diferente un mismo riesgo subyacente, y que la integración varía en el tiempo. Para América Latina, los estudios del Mercado Integrado Latinoamericano (MILA) documentan una integración parcial y dependiente del régimen, y que la mayor integración reduce la asimetría de información. Este marco fundamenta la dimensión comparativa —mercado internacional vs. chileno— de la tesis.</w:t>
      </w:r>
    </w:p>
    <w:p>
      <w:pPr>
        <w:pStyle w:val="Heading3"/>
      </w:pPr>
      <w:r>
        <w:t>5. Tabla-resumen de autores clave</w:t>
      </w:r>
    </w:p>
    <w:tbl>
      <w:tblPr>
        <w:tblW w:type="auto" w:w="0"/>
        <w:jc w:val="left"/>
        <w:tblLayout w:type="autofit"/>
        <w:tblLook w:firstColumn="1" w:firstRow="1" w:lastColumn="0" w:lastRow="0" w:noHBand="0" w:noVBand="1" w:val="04A0"/>
      </w:tblPr>
      <w:tblGrid>
        <w:gridCol w:w="2871"/>
        <w:gridCol w:w="2871"/>
        <w:gridCol w:w="2871"/>
      </w:tblGrid>
      <w:tr>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Eje</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Autores clave (año)</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Aporte</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Factores macro–retornos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Ross (1976); Chen, Roll y Ross (1986); Fama (1981)</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Fundamento APT y multifactorial</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Commodity → empresa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Sadorsky (2001); Boyer y Filion (2007); Zhu et al. (2021)</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Transmisión del precio del commodity a la acción</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Cobre–peso–Chile</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Chen y Rogoff (2003); Pincheira y Hardy (2019); Pedersen (2015); Zurita et al. (2005)</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Commodity currency; cobre en retornos chilenos</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Segmentación</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Bekaert y Harvey (1995, 2005); literatura MILA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Integración variable; eficiencia informacional</w:t>
            </w:r>
          </w:p>
        </w:tc>
      </w:tr>
    </w:tbl>
    <w:p>
      <w:pPr>
        <w:spacing w:after="40"/>
      </w:pPr>
    </w:p>
    <w:p>
      <w:pPr>
        <w:pStyle w:val="Heading3"/>
      </w:pPr>
      <w:r>
        <w:t>6. El vacío que llena la tesis</w:t>
      </w:r>
    </w:p>
    <w:p>
      <w:r>
        <w:t xml:space="preserve">Las cuatro literaturas están bien establecidas por separado, pero </w:t>
      </w:r>
      <w:r>
        <w:rPr>
          <w:b/>
        </w:rPr>
        <w:t>no se intersectan</w:t>
      </w:r>
      <w:r>
        <w:t xml:space="preserve"> para el caso de interés. No se identificó ningún estudio que: (i) estime el efecto del precio del cobre y de las variables macro sobre los retornos de </w:t>
      </w:r>
      <w:r>
        <w:rPr>
          <w:b/>
        </w:rPr>
        <w:t>acciones cupríferas con exposición a Chile a nivel de empresa</w:t>
      </w:r>
      <w:r>
        <w:t xml:space="preserve">; ni (ii) </w:t>
      </w:r>
      <w:r>
        <w:rPr>
          <w:b/>
        </w:rPr>
        <w:t>compare formalmente</w:t>
      </w:r>
      <w:r>
        <w:t xml:space="preserve"> la transmisión del shock entre el mercado bursátil internacional y el chileno para 2004–2024. El antecedente chileno más próximo trabaja con el índice agregado y termina en 2003; los estudios que desagregan a nivel de acción minera excluyen a Chile. La presente investigación se ubica en esa intersección no cubierta, integrando la medición de sensibilidad (panel), el largo plazo (cointegración), la dinámica de shocks (VAR/FEVD), la estabilidad por fase del ciclo y —de manera distintiva— la comparación entre mercados.</w:t>
      </w:r>
    </w:p>
    <w:p>
      <w:r>
        <w:rPr>
          <w:i/>
        </w:rPr>
        <w:t>(Referencias completas con URLs en `lit_chilena.md`, `lit_emergentes.md` y en `docs/referencias.md`.)</w:t>
      </w:r>
    </w:p>
    <w:p>
      <w:r>
        <w:br w:type="page"/>
      </w:r>
    </w:p>
    <w:p>
      <w:pPr>
        <w:pStyle w:val="Heading1"/>
      </w:pPr>
      <w:r>
        <w:t>Historia del Cobre</w:t>
      </w:r>
    </w:p>
    <w:p>
      <w:r>
        <w:rPr>
          <w:color w:val="6E6E73"/>
          <w:sz w:val="24"/>
        </w:rPr>
        <w:t>Historia económica del cobre y de la minería en Chile, 2004–2024</w:t>
      </w:r>
    </w:p>
    <w:p>
      <w:pPr>
        <w:spacing w:before="40" w:after="200"/>
        <w:pBdr>
          <w:bottom w:val="single" w:sz="6" w:space="1" w:color="D2D2D7"/>
        </w:pBdr>
      </w:pPr>
    </w:p>
    <w:p>
      <w:pPr>
        <w:pStyle w:val="Heading3"/>
      </w:pPr>
      <w:r>
        <w:t>1. Resumen e importancia para la tesis</w:t>
      </w:r>
    </w:p>
    <w:p>
      <w:r>
        <w:t xml:space="preserve">El cobre es, en la expresión popularizada por Salvador Allende, </w:t>
      </w:r>
      <w:r>
        <w:rPr>
          <w:i/>
        </w:rPr>
        <w:t>"el sueldo de Chile"</w:t>
      </w:r>
      <w:r>
        <w:t>. Su precio internacional —fijado en mercados como la Bolsa de Metales de Londres— se transmite a la economía chilena a través de las exportaciones, la recaudación fiscal, el tipo de cambio y los resultados de las empresas mineras que cotizan o que dependen del sector. Comprender la trayectoria histórica del cobre permite interpretar por qué las acciones de empresas vinculadas al metal en Chile son tan sensibles a las condiciones macroeconómicas globales (demanda china, ciclos de precios, política tributaria y minera). Esta nota traza esa trayectoria desde la colonia hasta la transición energética.</w:t>
      </w:r>
    </w:p>
    <w:p>
      <w:pPr>
        <w:pStyle w:val="Heading3"/>
      </w:pPr>
      <w:r>
        <w:t>2. El cobre colonial y el ciclo del siglo XIX (Norte Chico)</w:t>
      </w:r>
    </w:p>
    <w:p>
      <w:r>
        <w:t>La minería del cobre y la plata fue el motor de la economía chilena del siglo XIX, especialmente en el Norte Chico (regiones de Atacama y Coquimbo). Dos innovaciones y descubrimientos marcaron el auge:</w:t>
      </w:r>
    </w:p>
    <w:p>
      <w:pPr>
        <w:pStyle w:val="ListBullet"/>
      </w:pPr>
      <w:r>
        <w:t xml:space="preserve">En </w:t>
      </w:r>
      <w:r>
        <w:rPr>
          <w:b/>
        </w:rPr>
        <w:t>1831</w:t>
      </w:r>
      <w:r>
        <w:t xml:space="preserve">, el empresario Charles (Carlos) Lambert introdujo el </w:t>
      </w:r>
      <w:r>
        <w:rPr>
          <w:b/>
        </w:rPr>
        <w:t>horno de reverbero</w:t>
      </w:r>
      <w:r>
        <w:t>, que revolucionó la fundición al permitir aprovechar los sulfuros de cobre que antes se descartaban (Memoria Chilena).</w:t>
      </w:r>
    </w:p>
    <w:p>
      <w:pPr>
        <w:pStyle w:val="ListBullet"/>
      </w:pPr>
      <w:r>
        <w:t xml:space="preserve">En </w:t>
      </w:r>
      <w:r>
        <w:rPr>
          <w:b/>
        </w:rPr>
        <w:t>1832</w:t>
      </w:r>
      <w:r>
        <w:t xml:space="preserve">, Juan Godoy descubrió el yacimiento de plata de </w:t>
      </w:r>
      <w:r>
        <w:rPr>
          <w:b/>
        </w:rPr>
        <w:t>Chañarcillo</w:t>
      </w:r>
      <w:r>
        <w:t>, al sur de Copiapó, que atrajo a miles de buscadores (Memoria Chilena).</w:t>
      </w:r>
    </w:p>
    <w:p>
      <w:pPr>
        <w:pStyle w:val="ListBullet"/>
      </w:pPr>
      <w:r>
        <w:t xml:space="preserve">En </w:t>
      </w:r>
      <w:r>
        <w:rPr>
          <w:b/>
        </w:rPr>
        <w:t>1852</w:t>
      </w:r>
      <w:r>
        <w:t xml:space="preserve">, José Tomás Urmeneta descubrió el rico mineral de cobre de </w:t>
      </w:r>
      <w:r>
        <w:rPr>
          <w:b/>
        </w:rPr>
        <w:t>Tamaya</w:t>
      </w:r>
      <w:r>
        <w:t xml:space="preserve">, cerca de Ovalle (Región de Coquimbo), con vetas de ley extraordinariamente alta, y estableció fundiciones en Guayacán y Tongoy (Memoria Chilena; Wikipedia, </w:t>
      </w:r>
      <w:r>
        <w:rPr>
          <w:i/>
        </w:rPr>
        <w:t>Mineral de Tamaya</w:t>
      </w:r>
      <w:r>
        <w:t>).</w:t>
      </w:r>
    </w:p>
    <w:p>
      <w:r>
        <w:t xml:space="preserve">El dinamismo del sector quedó reflejado en obras como el </w:t>
      </w:r>
      <w:r>
        <w:rPr>
          <w:b/>
        </w:rPr>
        <w:t>ferrocarril Copiapó–Caldera (1851)</w:t>
      </w:r>
      <w:r>
        <w:t xml:space="preserve">, financiado con capital regional. Hacia la </w:t>
      </w:r>
      <w:r>
        <w:rPr>
          <w:b/>
        </w:rPr>
        <w:t>década de 1870, Chile llegó a ser el primer exportador de cobre del mundo</w:t>
      </w:r>
      <w:r>
        <w:t xml:space="preserve"> (Memoria Chilena). La crisis internacional de precios iniciada hacia </w:t>
      </w:r>
      <w:r>
        <w:rPr>
          <w:b/>
        </w:rPr>
        <w:t>1874</w:t>
      </w:r>
      <w:r>
        <w:t xml:space="preserve"> abrió una recesión prolongada, y a fines del siglo la producción cuprífera chilena cayó fuertemente: según CODELCO, la producción había descendido a unas </w:t>
      </w:r>
      <w:r>
        <w:rPr>
          <w:b/>
        </w:rPr>
        <w:t>21.000 toneladas en 1897</w:t>
      </w:r>
      <w:r>
        <w:t>, tras haber sido protagonista mundial durante buena parte del siglo.</w:t>
      </w:r>
    </w:p>
    <w:p>
      <w:pPr>
        <w:pStyle w:val="Heading3"/>
      </w:pPr>
      <w:r>
        <w:t>3. La Gran Minería del siglo XX: El Teniente, Chuquicamata y el capital estadounidense</w:t>
      </w:r>
    </w:p>
    <w:p>
      <w:r>
        <w:t xml:space="preserve">A comienzos del siglo XX, la explotación de yacimientos de baja ley a gran escala requirió capital y tecnología que aportaron consorcios estadounidenses, dando origen a la </w:t>
      </w:r>
      <w:r>
        <w:rPr>
          <w:b/>
        </w:rPr>
        <w:t>Gran Minería del Cobre</w:t>
      </w:r>
      <w:r>
        <w:t>:</w:t>
      </w:r>
    </w:p>
    <w:p>
      <w:pPr>
        <w:pStyle w:val="ListBullet"/>
      </w:pPr>
      <w:r>
        <w:rPr>
          <w:b/>
        </w:rPr>
        <w:t>El Teniente</w:t>
      </w:r>
      <w:r>
        <w:t xml:space="preserve"> (Región de O'Higgins): operaciones iniciadas en </w:t>
      </w:r>
      <w:r>
        <w:rPr>
          <w:b/>
        </w:rPr>
        <w:t>1904</w:t>
      </w:r>
      <w:r>
        <w:t xml:space="preserve"> por la </w:t>
      </w:r>
      <w:r>
        <w:rPr>
          <w:b/>
        </w:rPr>
        <w:t>Braden Copper Company</w:t>
      </w:r>
      <w:r>
        <w:t xml:space="preserve">, posteriormente filial de </w:t>
      </w:r>
      <w:r>
        <w:rPr>
          <w:b/>
        </w:rPr>
        <w:t>Kennecott Copper Corporation</w:t>
      </w:r>
      <w:r>
        <w:t xml:space="preserve"> (CODELCO).</w:t>
      </w:r>
    </w:p>
    <w:p>
      <w:pPr>
        <w:pStyle w:val="ListBullet"/>
      </w:pPr>
      <w:r>
        <w:rPr>
          <w:b/>
        </w:rPr>
        <w:t>Chuquicamata</w:t>
      </w:r>
      <w:r>
        <w:t xml:space="preserve"> (Región de Antofagasta): explotación a gran escala iniciada en </w:t>
      </w:r>
      <w:r>
        <w:rPr>
          <w:b/>
        </w:rPr>
        <w:t>1910–1915</w:t>
      </w:r>
      <w:r>
        <w:t xml:space="preserve"> por la </w:t>
      </w:r>
      <w:r>
        <w:rPr>
          <w:b/>
        </w:rPr>
        <w:t>Chile Exploration Company</w:t>
      </w:r>
      <w:r>
        <w:t xml:space="preserve">, ligada al grupo </w:t>
      </w:r>
      <w:r>
        <w:rPr>
          <w:b/>
        </w:rPr>
        <w:t>Anaconda Copper</w:t>
      </w:r>
      <w:r>
        <w:t xml:space="preserve"> (CODELCO).</w:t>
      </w:r>
    </w:p>
    <w:p>
      <w:pPr>
        <w:pStyle w:val="ListBullet"/>
      </w:pPr>
      <w:r>
        <w:rPr>
          <w:b/>
        </w:rPr>
        <w:t>Potrerillos / El Salvador</w:t>
      </w:r>
      <w:r>
        <w:t xml:space="preserve">: operados por la </w:t>
      </w:r>
      <w:r>
        <w:rPr>
          <w:b/>
        </w:rPr>
        <w:t>Andes Copper Mining Company</w:t>
      </w:r>
      <w:r>
        <w:t>, también del grupo Anaconda.</w:t>
      </w:r>
    </w:p>
    <w:p>
      <w:r>
        <w:t>Durante décadas, las utilidades de estas operaciones fueron mayoritariamente remitidas al exterior, lo que alimentó un creciente debate político-económico sobre la captación de la renta del cobre por parte del Estado chileno.</w:t>
      </w:r>
    </w:p>
    <w:p>
      <w:pPr>
        <w:pStyle w:val="Heading3"/>
      </w:pPr>
      <w:r>
        <w:t>4. La "chilenización" del cobre (1966–1969)</w:t>
      </w:r>
    </w:p>
    <w:p>
      <w:r>
        <w:t xml:space="preserve">Bajo el gobierno de </w:t>
      </w:r>
      <w:r>
        <w:rPr>
          <w:b/>
        </w:rPr>
        <w:t>Eduardo Frei Montalva</w:t>
      </w:r>
      <w:r>
        <w:t xml:space="preserve">, la </w:t>
      </w:r>
      <w:r>
        <w:rPr>
          <w:b/>
        </w:rPr>
        <w:t>Ley N° 16.425 (25 de enero de 1966)</w:t>
      </w:r>
      <w:r>
        <w:t xml:space="preserve"> dio inicio a la </w:t>
      </w:r>
      <w:r>
        <w:rPr>
          <w:i/>
        </w:rPr>
        <w:t>chilenización</w:t>
      </w:r>
      <w:r>
        <w:t xml:space="preserve">: la adquisición por el Estado de una participación accionaria en las grandes compañías extranjeras mediante "contratos-ley" (Casa Museo Eduardo Frei Montalva; Wikipedia, </w:t>
      </w:r>
      <w:r>
        <w:rPr>
          <w:i/>
        </w:rPr>
        <w:t>Chilenización del cobre</w:t>
      </w:r>
      <w:r>
        <w:t xml:space="preserve">). En </w:t>
      </w:r>
      <w:r>
        <w:rPr>
          <w:b/>
        </w:rPr>
        <w:t>1967</w:t>
      </w:r>
      <w:r>
        <w:t xml:space="preserve"> se constituyeron sociedades mixtas: el Estado adquirió el </w:t>
      </w:r>
      <w:r>
        <w:rPr>
          <w:b/>
        </w:rPr>
        <w:t>51% de El Teniente</w:t>
      </w:r>
      <w:r>
        <w:t xml:space="preserve"> (sociedad con Braden/Kennecott) y participaciones menores (en torno al 25%) en las nuevas compañías </w:t>
      </w:r>
      <w:r>
        <w:rPr>
          <w:b/>
        </w:rPr>
        <w:t>Andina</w:t>
      </w:r>
      <w:r>
        <w:t xml:space="preserve"> y </w:t>
      </w:r>
      <w:r>
        <w:rPr>
          <w:b/>
        </w:rPr>
        <w:t>Exótica</w:t>
      </w:r>
      <w:r>
        <w:t>. Hacia 1969 el proceso avanzó hacia la "nacionalización pactada", elevando la participación estatal en las filiales de Anaconda.</w:t>
      </w:r>
    </w:p>
    <w:p>
      <w:pPr>
        <w:pStyle w:val="Heading3"/>
      </w:pPr>
      <w:r>
        <w:t>5. La nacionalización del cobre (1971)</w:t>
      </w:r>
    </w:p>
    <w:p>
      <w:r>
        <w:t xml:space="preserve">El </w:t>
      </w:r>
      <w:r>
        <w:rPr>
          <w:b/>
        </w:rPr>
        <w:t>11 de julio de 1971</w:t>
      </w:r>
      <w:r>
        <w:t xml:space="preserve">, el Congreso Nacional aprobó </w:t>
      </w:r>
      <w:r>
        <w:rPr>
          <w:b/>
        </w:rPr>
        <w:t>por unanimidad</w:t>
      </w:r>
      <w:r>
        <w:t xml:space="preserve"> la reforma constitucional </w:t>
      </w:r>
      <w:r>
        <w:rPr>
          <w:b/>
        </w:rPr>
        <w:t>Ley N° 17.450</w:t>
      </w:r>
      <w:r>
        <w:t xml:space="preserve"> (que modificó el artículo 10 de la Constitución de 1925), nacionalizando los yacimientos de la Gran Minería del Cobre durante el gobierno de </w:t>
      </w:r>
      <w:r>
        <w:rPr>
          <w:b/>
        </w:rPr>
        <w:t>Salvador Allende</w:t>
      </w:r>
      <w:r>
        <w:t xml:space="preserve"> (BCN; Memoria Chilena; Wikipedia). Ese día Allende pronunció su discurso en Rancagua, ante mineros de El Teniente, calificando el hecho como la </w:t>
      </w:r>
      <w:r>
        <w:rPr>
          <w:i/>
        </w:rPr>
        <w:t>"segunda independencia"</w:t>
      </w:r>
      <w:r>
        <w:t xml:space="preserve"> y </w:t>
      </w:r>
      <w:r>
        <w:rPr>
          <w:i/>
        </w:rPr>
        <w:t>"el Día de la Dignidad Nacional"</w:t>
      </w:r>
      <w:r>
        <w:t>. En esa época el cobre concentraba alrededor del 80% de las exportaciones chilenas, y la nacionalización buscó recuperar el control estatal sobre el recurso. La medida generó tensiones internacionales por el descuento de "utilidades excesivas" en las indemnizaciones a las empresas estadounidenses.</w:t>
      </w:r>
    </w:p>
    <w:p>
      <w:pPr>
        <w:pStyle w:val="Heading3"/>
      </w:pPr>
      <w:r>
        <w:t>6. La creación de CODELCO (1976)</w:t>
      </w:r>
    </w:p>
    <w:p>
      <w:r>
        <w:t xml:space="preserve">La operación de los yacimientos nacionalizados se consolidó en una sola empresa estatal mediante los </w:t>
      </w:r>
      <w:r>
        <w:rPr>
          <w:b/>
        </w:rPr>
        <w:t>Decretos Ley N° 1.349 y N° 1.350</w:t>
      </w:r>
      <w:r>
        <w:t xml:space="preserve">, publicados el </w:t>
      </w:r>
      <w:r>
        <w:rPr>
          <w:b/>
        </w:rPr>
        <w:t>1 de abril de 1976</w:t>
      </w:r>
      <w:r>
        <w:t xml:space="preserve"> durante el régimen militar, que crearon la </w:t>
      </w:r>
      <w:r>
        <w:rPr>
          <w:b/>
        </w:rPr>
        <w:t>Corporación Nacional del Cobre de Chile (CODELCO)</w:t>
      </w:r>
      <w:r>
        <w:t xml:space="preserve"> (BCN, </w:t>
      </w:r>
      <w:r>
        <w:rPr>
          <w:i/>
        </w:rPr>
        <w:t>DL 1350</w:t>
      </w:r>
      <w:r>
        <w:t xml:space="preserve">; CODELCO). CODELCO agrupó los yacimientos (Chuquicamata, El Teniente, Andina, El Salvador, entre otros) y se convirtió en el principal productor de cobre del mundo y en uno de los mayores aportantes al erario nacional. En 2009 la </w:t>
      </w:r>
      <w:r>
        <w:rPr>
          <w:b/>
        </w:rPr>
        <w:t>Ley N° 20.392</w:t>
      </w:r>
      <w:r>
        <w:t xml:space="preserve"> reformó su gobierno corporativo (vigente desde marzo de 2010).</w:t>
      </w:r>
    </w:p>
    <w:p>
      <w:pPr>
        <w:pStyle w:val="Heading3"/>
      </w:pPr>
      <w:r>
        <w:t>7. La Ley Reservada del Cobre y su derogación (2019)</w:t>
      </w:r>
    </w:p>
    <w:p>
      <w:r>
        <w:t xml:space="preserve">La </w:t>
      </w:r>
      <w:r>
        <w:rPr>
          <w:b/>
        </w:rPr>
        <w:t>Ley N° 13.196 ("Ley Reservada del Cobre")</w:t>
      </w:r>
      <w:r>
        <w:t xml:space="preserve"> establecía que el </w:t>
      </w:r>
      <w:r>
        <w:rPr>
          <w:b/>
        </w:rPr>
        <w:t>10% de las ventas de CODELCO</w:t>
      </w:r>
      <w:r>
        <w:t xml:space="preserve"> (en cobre y subproductos) se destinaba a financiar compras de material bélico de las Fuerzas Armadas. Tras décadas de cuestionamientos por su falta de transparencia, en </w:t>
      </w:r>
      <w:r>
        <w:rPr>
          <w:b/>
        </w:rPr>
        <w:t>julio de 2019</w:t>
      </w:r>
      <w:r>
        <w:t xml:space="preserve"> el Congreso aprobó su </w:t>
      </w:r>
      <w:r>
        <w:rPr>
          <w:b/>
        </w:rPr>
        <w:t>derogación (Ley N° 21.174)</w:t>
      </w:r>
      <w:r>
        <w:t xml:space="preserve">, reemplazándola por un </w:t>
      </w:r>
      <w:r>
        <w:rPr>
          <w:b/>
        </w:rPr>
        <w:t>Fondo Plurianual para las Capacidades Estratégicas de la Defensa</w:t>
      </w:r>
      <w:r>
        <w:t xml:space="preserve">, con control de la Contraloría y el Congreso. La ley contempló una transición: el aporte del 10% se mantiene varios años y se reduce gradualmente hasta extinguirse (El Mostrador; BioBioChile; Wikipedia, </w:t>
      </w:r>
      <w:r>
        <w:rPr>
          <w:i/>
        </w:rPr>
        <w:t>Ley Reservada del Cobre</w:t>
      </w:r>
      <w:r>
        <w:t>).</w:t>
      </w:r>
    </w:p>
    <w:p>
      <w:pPr>
        <w:pStyle w:val="Heading3"/>
      </w:pPr>
      <w:r>
        <w:t>8. El royalty minero (2023)</w:t>
      </w:r>
    </w:p>
    <w:p>
      <w:r>
        <w:t xml:space="preserve">Tras un largo debate sobre la captación de la renta minera, la </w:t>
      </w:r>
      <w:r>
        <w:rPr>
          <w:b/>
        </w:rPr>
        <w:t>Ley N° 21.591 sobre Royalty a la Minería</w:t>
      </w:r>
      <w:r>
        <w:t xml:space="preserve"> fue publicada el </w:t>
      </w:r>
      <w:r>
        <w:rPr>
          <w:b/>
        </w:rPr>
        <w:t>10 de agosto de 2023</w:t>
      </w:r>
      <w:r>
        <w:t xml:space="preserve"> y entró en vigor el </w:t>
      </w:r>
      <w:r>
        <w:rPr>
          <w:b/>
        </w:rPr>
        <w:t>1 de enero de 2024</w:t>
      </w:r>
      <w:r>
        <w:t xml:space="preserve"> (BCN; Ministerio de Hacienda). Reemplazó el antiguo Impuesto Específico a la Actividad Minera por un gravamen con dos componentes para grandes operadores (ventas anuales sobre el equivalente a 50.000 toneladas de cobre fino):</w:t>
      </w:r>
    </w:p>
    <w:p>
      <w:pPr>
        <w:pStyle w:val="ListBullet"/>
      </w:pPr>
      <w:r>
        <w:t xml:space="preserve">Un </w:t>
      </w:r>
      <w:r>
        <w:rPr>
          <w:b/>
        </w:rPr>
        <w:t>componente ad valorem</w:t>
      </w:r>
      <w:r>
        <w:t xml:space="preserve"> de </w:t>
      </w:r>
      <w:r>
        <w:rPr>
          <w:b/>
        </w:rPr>
        <w:t>1%</w:t>
      </w:r>
      <w:r>
        <w:t xml:space="preserve"> sobre las ventas anuales de cobre.</w:t>
      </w:r>
    </w:p>
    <w:p>
      <w:pPr>
        <w:pStyle w:val="ListBullet"/>
      </w:pPr>
      <w:r>
        <w:t xml:space="preserve">Un </w:t>
      </w:r>
      <w:r>
        <w:rPr>
          <w:b/>
        </w:rPr>
        <w:t>componente sobre el margen minero</w:t>
      </w:r>
      <w:r>
        <w:t xml:space="preserve"> con tasas progresivas (desde 5% hasta tramos superiores según el margen operacional ajustado).</w:t>
      </w:r>
    </w:p>
    <w:p>
      <w:r>
        <w:t>La ley estableció además la distribución de recursos hacia las regiones y comunas (Cooperativa; EY Chile).</w:t>
      </w:r>
    </w:p>
    <w:p>
      <w:pPr>
        <w:pStyle w:val="Heading3"/>
      </w:pPr>
      <w:r>
        <w:t>9. El súper-ciclo del cobre (2003–2013) y la demanda china</w:t>
      </w:r>
    </w:p>
    <w:p>
      <w:r>
        <w:t xml:space="preserve">El llamado </w:t>
      </w:r>
      <w:r>
        <w:rPr>
          <w:i/>
        </w:rPr>
        <w:t>súper-ciclo</w:t>
      </w:r>
      <w:r>
        <w:t xml:space="preserve"> del cobre se inició hacia </w:t>
      </w:r>
      <w:r>
        <w:rPr>
          <w:b/>
        </w:rPr>
        <w:t>diciembre de 2003</w:t>
      </w:r>
      <w:r>
        <w:t xml:space="preserve">, cuando el precio recuperó el umbral de </w:t>
      </w:r>
      <w:r>
        <w:rPr>
          <w:b/>
        </w:rPr>
        <w:t>US$1 por libra</w:t>
      </w:r>
      <w:r>
        <w:t xml:space="preserve"> por primera vez en seis años (Emol). El metal superó </w:t>
      </w:r>
      <w:r>
        <w:rPr>
          <w:b/>
        </w:rPr>
        <w:t>US$2</w:t>
      </w:r>
      <w:r>
        <w:t xml:space="preserve">, luego </w:t>
      </w:r>
      <w:r>
        <w:rPr>
          <w:b/>
        </w:rPr>
        <w:t>US$3</w:t>
      </w:r>
      <w:r>
        <w:t xml:space="preserve">, y en </w:t>
      </w:r>
      <w:r>
        <w:rPr>
          <w:b/>
        </w:rPr>
        <w:t>2008 superó por primera vez los US$4 por libra</w:t>
      </w:r>
      <w:r>
        <w:t xml:space="preserve">. La quiebra de </w:t>
      </w:r>
      <w:r>
        <w:rPr>
          <w:b/>
        </w:rPr>
        <w:t>Lehman Brothers</w:t>
      </w:r>
      <w:r>
        <w:t xml:space="preserve"> y la crisis subprime arrastraron el precio bajo US</w:t>
      </w:r>
      <w:r>
        <w:rPr>
          <w:i/>
        </w:rPr>
        <w:t>2 en octubre de 2008, pero se recuperó con fuerza: el **máximo histórico del período se alcanzó el 14 de febrero de 2011, con ~US</w:t>
      </w:r>
      <w:r>
        <w:t>4,60 por libra</w:t>
      </w:r>
      <w:r>
        <w:rPr>
          <w:b/>
        </w:rPr>
        <w:t xml:space="preserve"> (Emol). El principal motor fue la </w:t>
      </w:r>
      <w:r>
        <w:t>demanda china</w:t>
      </w:r>
      <w:r>
        <w:rPr>
          <w:b/>
        </w:rPr>
        <w:t xml:space="preserve">: entre 2003 y 2012 el consumo chino de cobre se multiplicó aproximadamente </w:t>
      </w:r>
      <w:r>
        <w:t>2,7 veces** (Emol). Este ciclo es central para la tesis, pues representa el episodio de mayor transmisión del shock externo de precios a la economía y a las empresas mineras chilenas.</w:t>
      </w:r>
    </w:p>
    <w:p>
      <w:pPr>
        <w:pStyle w:val="Heading3"/>
      </w:pPr>
      <w:r>
        <w:t>10. Relevancia actual y transición energética</w:t>
      </w:r>
    </w:p>
    <w:p>
      <w:pPr>
        <w:pStyle w:val="ListBullet"/>
      </w:pPr>
      <w:r>
        <w:rPr>
          <w:b/>
        </w:rPr>
        <w:t>Producción mundial.</w:t>
      </w:r>
      <w:r>
        <w:t xml:space="preserve"> En </w:t>
      </w:r>
      <w:r>
        <w:rPr>
          <w:b/>
        </w:rPr>
        <w:t>2024</w:t>
      </w:r>
      <w:r>
        <w:t xml:space="preserve"> Chile se mantuvo como </w:t>
      </w:r>
      <w:r>
        <w:rPr>
          <w:b/>
        </w:rPr>
        <w:t>primer productor mundial de cobre</w:t>
      </w:r>
      <w:r>
        <w:t xml:space="preserve">, con </w:t>
      </w:r>
      <w:r>
        <w:rPr>
          <w:b/>
        </w:rPr>
        <w:t>5,5 millones de toneladas</w:t>
      </w:r>
      <w:r>
        <w:t xml:space="preserve"> (alza de 4,9% respecto a 2023), aunque su participación mundial bajó a alrededor del </w:t>
      </w:r>
      <w:r>
        <w:rPr>
          <w:b/>
        </w:rPr>
        <w:t>24%</w:t>
      </w:r>
      <w:r>
        <w:t xml:space="preserve">, desde cerca del </w:t>
      </w:r>
      <w:r>
        <w:rPr>
          <w:b/>
        </w:rPr>
        <w:t>30% en 2015</w:t>
      </w:r>
      <w:r>
        <w:t xml:space="preserve"> (Cochilco; plusmining). Cochilco proyecta que la participación de Chile podría aumentar nuevamente hacia 2034 [verificar magnitud exacta].</w:t>
      </w:r>
    </w:p>
    <w:p>
      <w:pPr>
        <w:pStyle w:val="ListBullet"/>
      </w:pPr>
      <w:r>
        <w:rPr>
          <w:b/>
        </w:rPr>
        <w:t>Peso en la economía.</w:t>
      </w:r>
      <w:r>
        <w:t xml:space="preserve"> El sector minero representó cerca del </w:t>
      </w:r>
      <w:r>
        <w:rPr>
          <w:b/>
        </w:rPr>
        <w:t>10% del PIB</w:t>
      </w:r>
      <w:r>
        <w:t xml:space="preserve"> y más del </w:t>
      </w:r>
      <w:r>
        <w:rPr>
          <w:b/>
        </w:rPr>
        <w:t>50% de las exportaciones de bienes</w:t>
      </w:r>
      <w:r>
        <w:t xml:space="preserve"> del país, cifra que se eleva considerando encadenamientos indirectos (Consejo Minero / InvestChile) [verificar año exacto de cada cifra].</w:t>
      </w:r>
    </w:p>
    <w:p>
      <w:pPr>
        <w:pStyle w:val="ListBullet"/>
      </w:pPr>
      <w:r>
        <w:rPr>
          <w:b/>
        </w:rPr>
        <w:t>CODELCO.</w:t>
      </w:r>
      <w:r>
        <w:t xml:space="preserve"> Sigue siendo uno de los mayores productores mundiales: en 2024 produjo cerca de </w:t>
      </w:r>
      <w:r>
        <w:rPr>
          <w:b/>
        </w:rPr>
        <w:t>1,44 millones de toneladas</w:t>
      </w:r>
      <w:r>
        <w:t>, disputando el liderazgo con BHP, y mantiene un aporte fiscal directo relevante (US$ 1.778 millones de aporte al Fisco según su reporte de resultados 2024, +16% interanual) (CODELCO; BioBioChile).</w:t>
      </w:r>
    </w:p>
    <w:p>
      <w:pPr>
        <w:pStyle w:val="ListBullet"/>
      </w:pPr>
      <w:r>
        <w:rPr>
          <w:b/>
        </w:rPr>
        <w:t>Transición energética.</w:t>
      </w:r>
      <w:r>
        <w:t xml:space="preserve"> El cobre es insumo esencial de la electromovilidad, las redes eléctricas, la energía solar y eólica y las baterías, lo que sustenta proyecciones de demanda estructural creciente. CODELCO ha sumado además un rol estratégico en litio, reforzando la posición de Chile en la cadena de minerales críticos para la transición global.</w:t>
      </w:r>
    </w:p>
    <w:p>
      <w:pPr>
        <w:pStyle w:val="Heading3"/>
      </w:pPr>
      <w:r>
        <w:t>11. Tabla de hitos cronológicos</w:t>
      </w:r>
    </w:p>
    <w:tbl>
      <w:tblPr>
        <w:tblW w:type="auto" w:w="0"/>
        <w:jc w:val="left"/>
        <w:tblLayout w:type="autofit"/>
        <w:tblLook w:firstColumn="1" w:firstRow="1" w:lastColumn="0" w:lastRow="0" w:noHBand="0" w:noVBand="1" w:val="04A0"/>
      </w:tblPr>
      <w:tblGrid>
        <w:gridCol w:w="2871"/>
        <w:gridCol w:w="2871"/>
        <w:gridCol w:w="2871"/>
      </w:tblGrid>
      <w:tr>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Año</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Hito</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Fuente principal</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1831</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Charles Lambert introduce el horno de reverbero</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Memoria Chilena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1832</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Descubrimiento de plata de Chañarcillo</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Memoria Chilena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1851</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Ferrocarril Copiapó–Caldera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Memoria Chilena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1852</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José Tomás Urmeneta descubre el mineral de Tamaya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Memoria Chilena / Wikipedia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~1870s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Chile, primer exportador mundial de cobre</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Memoria Chilena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1874</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Colapso de precios e inicio de recesión minera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Memoria Chilena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1904</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Inicio de operaciones de El Teniente (Braden / Kennecott)</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CODELCO</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1910–1915</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Explotación a gran escala de Chuquicamata (Anaconda)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CODELCO</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1966</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Ley N° 16.425: "chilenización" del cobre (Frei Montalva)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Casa Museo E. Frei / Wikipedia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1967</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Estado adquiere 51% de El Teniente; participación en Andina y Exótica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Wikipedia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1971</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Nacionalización del cobre, Ley N° 17.450 (11 de julio, Allende)</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BCN / Memoria Chilena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1976</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Creación de CODELCO, DL N° 1.349 y N° 1.350 (1 de abril)</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BCN / CODELCO</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2003</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Inicio del súper-ciclo (cobre vuelve a US$1/lb en diciembre)</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Emol</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2011</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Máximo histórico del período: ~US$4,60/lb (14 de febrero)</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Emol</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2019</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Derogación de la Ley Reservada del Cobre, Ley N° 21.174 (julio)</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El Mostrador / BioBioChile</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2023</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Ley N° 21.591 de Royalty a la Minería (publicada 10 de agosto)</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BCN / Hacienda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2024</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Producción de 5,5 Mt; Chile sigue siendo primer productor mundial</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Cochilco</w:t>
            </w:r>
          </w:p>
        </w:tc>
      </w:tr>
    </w:tbl>
    <w:p>
      <w:pPr>
        <w:spacing w:after="40"/>
      </w:pPr>
    </w:p>
    <w:p>
      <w:pPr>
        <w:pStyle w:val="Heading3"/>
      </w:pPr>
      <w:r>
        <w:t>12. Fuentes (URLs)</w:t>
      </w:r>
    </w:p>
    <w:p>
      <w:r>
        <w:rPr>
          <w:b/>
        </w:rPr>
        <w:t>Fuentes primarias e institucionales</w:t>
      </w:r>
    </w:p>
    <w:p>
      <w:pPr>
        <w:pStyle w:val="ListBullet"/>
      </w:pPr>
      <w:r>
        <w:t xml:space="preserve">Memoria Chilena, Biblioteca Nacional de Chile — </w:t>
      </w:r>
      <w:r>
        <w:rPr>
          <w:i/>
        </w:rPr>
        <w:t>Los ciclos mineros del cobre y la plata (1820-1880)</w:t>
      </w:r>
      <w:r>
        <w:t xml:space="preserve">: </w:t>
      </w:r>
      <w:hyperlink r:id="rId10">
        <w:r>
          <w:rPr>
            <w:rFonts w:ascii="Segoe UI" w:hAnsi="Segoe UI"/>
            <w:color w:val="0071E3"/>
            <w:u w:val="single"/>
          </w:rPr>
          <w:t xml:space="preserve">https://www.memoriachilena.gob.cl/602/w3-article-727.html</w:t>
        </w:r>
      </w:hyperlink>
    </w:p>
    <w:p>
      <w:pPr>
        <w:pStyle w:val="ListBullet"/>
      </w:pPr>
      <w:r>
        <w:t xml:space="preserve">Memoria Chilena — </w:t>
      </w:r>
      <w:r>
        <w:rPr>
          <w:i/>
        </w:rPr>
        <w:t>La nacionalización de la gran minería del cobre (1964-1971)</w:t>
      </w:r>
      <w:r>
        <w:t xml:space="preserve">: </w:t>
      </w:r>
      <w:hyperlink r:id="rId11">
        <w:r>
          <w:rPr>
            <w:rFonts w:ascii="Segoe UI" w:hAnsi="Segoe UI"/>
            <w:color w:val="0071E3"/>
            <w:u w:val="single"/>
          </w:rPr>
          <w:t xml:space="preserve">https://www.memoriachilena.gob.cl/602/w3-article-3622.html</w:t>
        </w:r>
      </w:hyperlink>
    </w:p>
    <w:p>
      <w:pPr>
        <w:pStyle w:val="ListBullet"/>
      </w:pPr>
      <w:r>
        <w:t xml:space="preserve">Memoria Chilena — </w:t>
      </w:r>
      <w:r>
        <w:rPr>
          <w:i/>
        </w:rPr>
        <w:t>Minería del cobre</w:t>
      </w:r>
      <w:r>
        <w:t xml:space="preserve">: </w:t>
      </w:r>
      <w:hyperlink r:id="rId12">
        <w:r>
          <w:rPr>
            <w:rFonts w:ascii="Segoe UI" w:hAnsi="Segoe UI"/>
            <w:color w:val="0071E3"/>
            <w:u w:val="single"/>
          </w:rPr>
          <w:t xml:space="preserve">https://www.memoriachilena.gob.cl/602/w3-article-92796.html</w:t>
        </w:r>
      </w:hyperlink>
    </w:p>
    <w:p>
      <w:pPr>
        <w:pStyle w:val="ListBullet"/>
      </w:pPr>
      <w:r>
        <w:t xml:space="preserve">Biblioteca del Congreso Nacional (BCN), Ley Chile — </w:t>
      </w:r>
      <w:r>
        <w:rPr>
          <w:i/>
        </w:rPr>
        <w:t>Decreto Ley 1350 (28-feb-1976), crea CODELCO</w:t>
      </w:r>
      <w:r>
        <w:t xml:space="preserve">: </w:t>
      </w:r>
      <w:hyperlink r:id="rId13">
        <w:r>
          <w:rPr>
            <w:rFonts w:ascii="Segoe UI" w:hAnsi="Segoe UI"/>
            <w:color w:val="0071E3"/>
            <w:u w:val="single"/>
          </w:rPr>
          <w:t xml:space="preserve">https://www.bcn.cl/leychile/Navegar?idNorma=6578</w:t>
        </w:r>
      </w:hyperlink>
    </w:p>
    <w:p>
      <w:pPr>
        <w:pStyle w:val="ListBullet"/>
      </w:pPr>
      <w:r>
        <w:t xml:space="preserve">BCN, Ley Chile — </w:t>
      </w:r>
      <w:r>
        <w:rPr>
          <w:i/>
        </w:rPr>
        <w:t>Ley N° 21.591 sobre Royalty a la Minería</w:t>
      </w:r>
      <w:r>
        <w:t xml:space="preserve">: </w:t>
      </w:r>
      <w:hyperlink r:id="rId14">
        <w:r>
          <w:rPr>
            <w:rFonts w:ascii="Segoe UI" w:hAnsi="Segoe UI"/>
            <w:color w:val="0071E3"/>
            <w:u w:val="single"/>
          </w:rPr>
          <w:t xml:space="preserve">https://www.bcn.cl/leychile/navegar?idNorma=1194982</w:t>
        </w:r>
      </w:hyperlink>
    </w:p>
    <w:p>
      <w:pPr>
        <w:pStyle w:val="ListBullet"/>
      </w:pPr>
      <w:r>
        <w:t xml:space="preserve">BCN — </w:t>
      </w:r>
      <w:r>
        <w:rPr>
          <w:i/>
        </w:rPr>
        <w:t>Historia política: la nacionalización del cobre</w:t>
      </w:r>
      <w:r>
        <w:t xml:space="preserve">: </w:t>
      </w:r>
      <w:hyperlink r:id="rId15">
        <w:r>
          <w:rPr>
            <w:rFonts w:ascii="Segoe UI" w:hAnsi="Segoe UI"/>
            <w:color w:val="0071E3"/>
            <w:u w:val="single"/>
          </w:rPr>
          <w:t xml:space="preserve">https://www.bcn.cl/historiapolitica/archivohales/colecciones/v/participacion-politica-y-membresias/la-nacionalizacion-del-cobre</w:t>
        </w:r>
      </w:hyperlink>
    </w:p>
    <w:p>
      <w:pPr>
        <w:pStyle w:val="ListBullet"/>
      </w:pPr>
      <w:r>
        <w:t xml:space="preserve">CODELCO — </w:t>
      </w:r>
      <w:r>
        <w:rPr>
          <w:i/>
        </w:rPr>
        <w:t>Historia de la Corporación</w:t>
      </w:r>
      <w:r>
        <w:t xml:space="preserve">: </w:t>
      </w:r>
      <w:hyperlink r:id="rId16">
        <w:r>
          <w:rPr>
            <w:rFonts w:ascii="Segoe UI" w:hAnsi="Segoe UI"/>
            <w:color w:val="0071E3"/>
            <w:u w:val="single"/>
          </w:rPr>
          <w:t xml:space="preserve">https://www.codelco.com/nosotros/la-corporacion/historia</w:t>
        </w:r>
      </w:hyperlink>
    </w:p>
    <w:p>
      <w:pPr>
        <w:pStyle w:val="ListBullet"/>
      </w:pPr>
      <w:r>
        <w:t xml:space="preserve">COCHILCO — </w:t>
      </w:r>
      <w:r>
        <w:rPr>
          <w:i/>
        </w:rPr>
        <w:t>Producción chilena de cobre crece 4,9% en 2024</w:t>
      </w:r>
      <w:r>
        <w:t xml:space="preserve">: </w:t>
      </w:r>
      <w:hyperlink r:id="rId17">
        <w:r>
          <w:rPr>
            <w:rFonts w:ascii="Segoe UI" w:hAnsi="Segoe UI"/>
            <w:color w:val="0071E3"/>
            <w:u w:val="single"/>
          </w:rPr>
          <w:t xml:space="preserve">https://www.cochilco.cl/web/produccion-chilena-de-cobre-crece-49-en-2024-quebrando-tendencia-a-la-baja-de-los-ultimos-cinco-anos/</w:t>
        </w:r>
      </w:hyperlink>
    </w:p>
    <w:p>
      <w:pPr>
        <w:pStyle w:val="ListBullet"/>
      </w:pPr>
      <w:r>
        <w:t xml:space="preserve">COCHILCO — </w:t>
      </w:r>
      <w:r>
        <w:rPr>
          <w:i/>
        </w:rPr>
        <w:t>Chile aumentará a 27,3% su participación en la producción mundial de cobre en 2034</w:t>
      </w:r>
      <w:r>
        <w:t xml:space="preserve">: </w:t>
      </w:r>
      <w:hyperlink r:id="rId18">
        <w:r>
          <w:rPr>
            <w:rFonts w:ascii="Segoe UI" w:hAnsi="Segoe UI"/>
            <w:color w:val="0071E3"/>
            <w:u w:val="single"/>
          </w:rPr>
          <w:t xml:space="preserve">https://www.cochilco.cl/web/chile-aumentara-a-273-su-participacion-en-la-produccion-mundial-de-cobre-en-2034/</w:t>
        </w:r>
      </w:hyperlink>
    </w:p>
    <w:p>
      <w:pPr>
        <w:pStyle w:val="ListBullet"/>
      </w:pPr>
      <w:r>
        <w:t xml:space="preserve">COCHILCO — sitio institucional y Anuario de Estadísticas: </w:t>
      </w:r>
      <w:hyperlink r:id="rId19">
        <w:r>
          <w:rPr>
            <w:rFonts w:ascii="Segoe UI" w:hAnsi="Segoe UI"/>
            <w:color w:val="0071E3"/>
            <w:u w:val="single"/>
          </w:rPr>
          <w:t xml:space="preserve">https://www.cochilco.cl/web/</w:t>
        </w:r>
      </w:hyperlink>
    </w:p>
    <w:p>
      <w:pPr>
        <w:pStyle w:val="ListBullet"/>
      </w:pPr>
      <w:r>
        <w:t xml:space="preserve">Ministerio de Hacienda — </w:t>
      </w:r>
      <w:r>
        <w:rPr>
          <w:i/>
        </w:rPr>
        <w:t>Entra en vigor la nueva Ley de Royalty a la Minería</w:t>
      </w:r>
      <w:r>
        <w:t xml:space="preserve">: </w:t>
      </w:r>
      <w:hyperlink r:id="rId20">
        <w:r>
          <w:rPr>
            <w:rFonts w:ascii="Segoe UI" w:hAnsi="Segoe UI"/>
            <w:color w:val="0071E3"/>
            <w:u w:val="single"/>
          </w:rPr>
          <w:t xml:space="preserve">https://www.hacienda.cl/noticias-y-eventos/noticias/1-de-enero-entra-en-vigor-nueva-ley-de-royalty-a-la-mineria</w:t>
        </w:r>
      </w:hyperlink>
    </w:p>
    <w:p>
      <w:pPr>
        <w:pStyle w:val="ListBullet"/>
      </w:pPr>
      <w:r>
        <w:t xml:space="preserve">Casa Museo Eduardo Frei Montalva — </w:t>
      </w:r>
      <w:r>
        <w:rPr>
          <w:i/>
        </w:rPr>
        <w:t>Chilenización del cobre: a 60 años de la Ley N° 16.425</w:t>
      </w:r>
      <w:r>
        <w:t xml:space="preserve">: </w:t>
      </w:r>
      <w:hyperlink r:id="rId21">
        <w:r>
          <w:rPr>
            <w:rFonts w:ascii="Segoe UI" w:hAnsi="Segoe UI"/>
            <w:color w:val="0071E3"/>
            <w:u w:val="single"/>
          </w:rPr>
          <w:t xml:space="preserve">https://www.casamuseoeduardofrei.cl/en/destacado-del-mes-chilenizacion-del-cobre-a-60-anos-de-la-promulgacion-de-la-ley-n16-425/</w:t>
        </w:r>
      </w:hyperlink>
    </w:p>
    <w:p>
      <w:pPr>
        <w:pStyle w:val="ListBullet"/>
      </w:pPr>
      <w:r>
        <w:t xml:space="preserve">Consejo Minero — </w:t>
      </w:r>
      <w:r>
        <w:rPr>
          <w:i/>
        </w:rPr>
        <w:t>La industria minera en 2024</w:t>
      </w:r>
      <w:r>
        <w:t xml:space="preserve"> (reporte anual, PDF): </w:t>
      </w:r>
      <w:hyperlink r:id="rId22">
        <w:r>
          <w:rPr>
            <w:rFonts w:ascii="Segoe UI" w:hAnsi="Segoe UI"/>
            <w:color w:val="0071E3"/>
            <w:u w:val="single"/>
          </w:rPr>
          <w:t xml:space="preserve">https://consejominero.cl/wp-content/uploads/2025/05/Reporte-Anual-CM-2024-La-industria-minera-en-2024.pdf</w:t>
        </w:r>
      </w:hyperlink>
    </w:p>
    <w:p>
      <w:r>
        <w:rPr>
          <w:b/>
        </w:rPr>
        <w:t>Enciclopedia y prensa (verificadas contra fuentes primarias)</w:t>
      </w:r>
    </w:p>
    <w:p>
      <w:pPr>
        <w:pStyle w:val="ListBullet"/>
      </w:pPr>
      <w:r>
        <w:t xml:space="preserve">Wikipedia — </w:t>
      </w:r>
      <w:r>
        <w:rPr>
          <w:i/>
        </w:rPr>
        <w:t>Nacionalización del cobre</w:t>
      </w:r>
      <w:r>
        <w:t xml:space="preserve">: </w:t>
      </w:r>
      <w:hyperlink r:id="rId23">
        <w:r>
          <w:rPr>
            <w:rFonts w:ascii="Segoe UI" w:hAnsi="Segoe UI"/>
            <w:color w:val="0071E3"/>
            <w:u w:val="single"/>
          </w:rPr>
          <w:t xml:space="preserve">https://es.wikipedia.org/wiki/Nacionalizaci%C3%B3n_del_cobre</w:t>
        </w:r>
      </w:hyperlink>
    </w:p>
    <w:p>
      <w:pPr>
        <w:pStyle w:val="ListBullet"/>
      </w:pPr>
      <w:r>
        <w:t xml:space="preserve">Wikipedia — </w:t>
      </w:r>
      <w:r>
        <w:rPr>
          <w:i/>
        </w:rPr>
        <w:t>Chilenización del cobre</w:t>
      </w:r>
      <w:r>
        <w:t xml:space="preserve">: </w:t>
      </w:r>
      <w:hyperlink r:id="rId24">
        <w:r>
          <w:rPr>
            <w:rFonts w:ascii="Segoe UI" w:hAnsi="Segoe UI"/>
            <w:color w:val="0071E3"/>
            <w:u w:val="single"/>
          </w:rPr>
          <w:t xml:space="preserve">https://es.wikipedia.org/wiki/Chilenizaci%C3%B3n_del_cobre</w:t>
        </w:r>
      </w:hyperlink>
    </w:p>
    <w:p>
      <w:pPr>
        <w:pStyle w:val="ListBullet"/>
      </w:pPr>
      <w:r>
        <w:t xml:space="preserve">Wikipedia — </w:t>
      </w:r>
      <w:r>
        <w:rPr>
          <w:i/>
        </w:rPr>
        <w:t>Mineral de Tamaya</w:t>
      </w:r>
      <w:r>
        <w:t xml:space="preserve">: </w:t>
      </w:r>
      <w:hyperlink r:id="rId25">
        <w:r>
          <w:rPr>
            <w:rFonts w:ascii="Segoe UI" w:hAnsi="Segoe UI"/>
            <w:color w:val="0071E3"/>
            <w:u w:val="single"/>
          </w:rPr>
          <w:t xml:space="preserve">https://es.wikipedia.org/wiki/Mineral_de_Tamaya</w:t>
        </w:r>
      </w:hyperlink>
    </w:p>
    <w:p>
      <w:pPr>
        <w:pStyle w:val="ListBullet"/>
      </w:pPr>
      <w:r>
        <w:t xml:space="preserve">Wikipedia (EN) — </w:t>
      </w:r>
      <w:r>
        <w:rPr>
          <w:i/>
        </w:rPr>
        <w:t>Ley Reservada del Cobre</w:t>
      </w:r>
      <w:r>
        <w:t xml:space="preserve">: </w:t>
      </w:r>
      <w:hyperlink r:id="rId26">
        <w:r>
          <w:rPr>
            <w:rFonts w:ascii="Segoe UI" w:hAnsi="Segoe UI"/>
            <w:color w:val="0071E3"/>
            <w:u w:val="single"/>
          </w:rPr>
          <w:t xml:space="preserve">https://en.wikipedia.org/wiki/Ley_Reservada_del_Cobre</w:t>
        </w:r>
      </w:hyperlink>
    </w:p>
    <w:p>
      <w:pPr>
        <w:pStyle w:val="ListBullet"/>
      </w:pPr>
      <w:r>
        <w:t xml:space="preserve">El Mostrador — </w:t>
      </w:r>
      <w:r>
        <w:rPr>
          <w:i/>
        </w:rPr>
        <w:t>Se deroga la Ley Reservada del Cobre</w:t>
      </w:r>
      <w:r>
        <w:t xml:space="preserve"> (24-07-2019): </w:t>
      </w:r>
      <w:hyperlink r:id="rId27">
        <w:r>
          <w:rPr>
            <w:rFonts w:ascii="Segoe UI" w:hAnsi="Segoe UI"/>
            <w:color w:val="0071E3"/>
            <w:u w:val="single"/>
          </w:rPr>
          <w:t xml:space="preserve">https://www.elmostrador.cl/noticias/pais/2019/07/24/se-deroga-la-ley-reservada-del-cobre-congreso-despacha-a-ley-el-nuevo-sistema-de-financiamiento-para-las-ffaa/</w:t>
        </w:r>
      </w:hyperlink>
    </w:p>
    <w:p>
      <w:pPr>
        <w:pStyle w:val="ListBullet"/>
      </w:pPr>
      <w:r>
        <w:t xml:space="preserve">BioBioChile — </w:t>
      </w:r>
      <w:r>
        <w:rPr>
          <w:i/>
        </w:rPr>
        <w:t>Congreso aprueba derogar Ley Reservada del Cobre</w:t>
      </w:r>
      <w:r>
        <w:t xml:space="preserve"> (24-07-2019): </w:t>
      </w:r>
      <w:hyperlink r:id="rId28">
        <w:r>
          <w:rPr>
            <w:rFonts w:ascii="Segoe UI" w:hAnsi="Segoe UI"/>
            <w:color w:val="0071E3"/>
            <w:u w:val="single"/>
          </w:rPr>
          <w:t xml:space="preserve">https://www.biobiochile.cl/noticias/nacional/chile/2019/07/24/codelco-ya-no-financiara-a-las-fuerzas-armadas-congreso-aprueba-derogar-ley-reservada-del-cobre.shtml</w:t>
        </w:r>
      </w:hyperlink>
    </w:p>
    <w:p>
      <w:pPr>
        <w:pStyle w:val="ListBullet"/>
      </w:pPr>
      <w:r>
        <w:t xml:space="preserve">Emol — </w:t>
      </w:r>
      <w:r>
        <w:rPr>
          <w:i/>
        </w:rPr>
        <w:t>Cómo fue el "súper ciclo" del cobre: hitos y cifras</w:t>
      </w:r>
      <w:r>
        <w:t xml:space="preserve">: </w:t>
      </w:r>
      <w:hyperlink r:id="rId29">
        <w:r>
          <w:rPr>
            <w:rFonts w:ascii="Segoe UI" w:hAnsi="Segoe UI"/>
            <w:color w:val="0071E3"/>
            <w:u w:val="single"/>
          </w:rPr>
          <w:t xml:space="preserve">https://www.emol.com/noticias/Economia/2021/02/23/1013056/Super-ciclo-cobre-hitos-cifras.html</w:t>
        </w:r>
      </w:hyperlink>
    </w:p>
    <w:p>
      <w:pPr>
        <w:pStyle w:val="ListBullet"/>
      </w:pPr>
      <w:r>
        <w:t xml:space="preserve">plusmining — </w:t>
      </w:r>
      <w:r>
        <w:rPr>
          <w:i/>
        </w:rPr>
        <w:t>Chile's share in the global copper market drops from 30% to 24% in a decade</w:t>
      </w:r>
      <w:r>
        <w:t xml:space="preserve">: </w:t>
      </w:r>
      <w:hyperlink r:id="rId30">
        <w:r>
          <w:rPr>
            <w:rFonts w:ascii="Segoe UI" w:hAnsi="Segoe UI"/>
            <w:color w:val="0071E3"/>
            <w:u w:val="single"/>
          </w:rPr>
          <w:t xml:space="preserve">https://plusmining.com/en/2025/02/24/chiles-share-in-the-global-copper-market-drops-from-30-to-24-in-a-decade/</w:t>
        </w:r>
      </w:hyperlink>
    </w:p>
    <w:p>
      <w:pPr>
        <w:pStyle w:val="ListBullet"/>
      </w:pPr>
      <w:r>
        <w:t xml:space="preserve">Cooperativa — </w:t>
      </w:r>
      <w:r>
        <w:rPr>
          <w:i/>
        </w:rPr>
        <w:t>Royalty minero será ley y repartirá recursos a regiones</w:t>
      </w:r>
      <w:r>
        <w:t xml:space="preserve">: </w:t>
      </w:r>
      <w:hyperlink r:id="rId31">
        <w:r>
          <w:rPr>
            <w:rFonts w:ascii="Segoe UI" w:hAnsi="Segoe UI"/>
            <w:color w:val="0071E3"/>
            <w:u w:val="single"/>
          </w:rPr>
          <w:t xml:space="preserve">https://cooperativa.cl/noticias/economia/sectores-productivos/mineria/royalty-minero-sera-ley-y-repartira-392-mil-millones-entre-las-regiones/2023-05-17/175831.html</w:t>
        </w:r>
      </w:hyperlink>
    </w:p>
    <w:p>
      <w:pPr>
        <w:pStyle w:val="ListBullet"/>
      </w:pPr>
      <w:r>
        <w:t xml:space="preserve">EY Chile — </w:t>
      </w:r>
      <w:r>
        <w:rPr>
          <w:i/>
        </w:rPr>
        <w:t>Alerta tributaria: nuevo Royalty Minero</w:t>
      </w:r>
      <w:r>
        <w:t xml:space="preserve">: </w:t>
      </w:r>
      <w:hyperlink r:id="rId32">
        <w:r>
          <w:rPr>
            <w:rFonts w:ascii="Segoe UI" w:hAnsi="Segoe UI"/>
            <w:color w:val="0071E3"/>
            <w:u w:val="single"/>
          </w:rPr>
          <w:t xml:space="preserve">https://www.ey.com/es_cl/technical/tax/ey-tax-alert-chile/alerta-tributaria-extendida-nuevo-royalty-minero-es-aprobado-y-esta-listo-para-convertirse-en-ley</w:t>
        </w:r>
      </w:hyperlink>
    </w:p>
    <w:p>
      <w:r>
        <w:br w:type="page"/>
      </w:r>
    </w:p>
    <w:p>
      <w:pPr>
        <w:pStyle w:val="Heading1"/>
      </w:pPr>
      <w:r>
        <w:t>Revisión de Literatura</w:t>
      </w:r>
    </w:p>
    <w:p>
      <w:r>
        <w:rPr>
          <w:color w:val="6E6E73"/>
          <w:sz w:val="24"/>
        </w:rPr>
        <w:t>Marco de antecedentes estructurado</w:t>
      </w:r>
    </w:p>
    <w:p>
      <w:pPr>
        <w:spacing w:before="40" w:after="200"/>
        <w:pBdr>
          <w:bottom w:val="single" w:sz="6" w:space="1" w:color="D2D2D7"/>
        </w:pBdr>
      </w:pPr>
    </w:p>
    <w:p>
      <w:r>
        <w:t xml:space="preserve">Estructura el Capítulo 2 en seis bloques, cada uno alineado con tus hipótesis y métodos. Para cada bloque: </w:t>
      </w:r>
      <w:r>
        <w:rPr>
          <w:b/>
        </w:rPr>
        <w:t>anclas seminales</w:t>
      </w:r>
      <w:r>
        <w:t xml:space="preserve"> (obras de referencia ampliamente citadas) + </w:t>
      </w:r>
      <w:r>
        <w:rPr>
          <w:b/>
        </w:rPr>
        <w:t>qué buscar tú</w:t>
      </w:r>
      <w:r>
        <w:t>.</w:t>
      </w:r>
    </w:p>
    <w:p>
      <w:pPr>
        <w:pStyle w:val="Heading3"/>
      </w:pPr>
      <w:r>
        <w:t>Bloque 2.1 — Determinantes macro de los retornos accionarios (marco teórico base)</w:t>
      </w:r>
    </w:p>
    <w:p>
      <w:r>
        <w:t>Sustenta el enfoque multifactorial (OE2, H1–H4, H6).</w:t>
      </w:r>
    </w:p>
    <w:p>
      <w:r>
        <w:rPr>
          <w:b/>
        </w:rPr>
        <w:t>Anclas seminales (verificar cita):</w:t>
      </w:r>
    </w:p>
    <w:p>
      <w:pPr>
        <w:pStyle w:val="ListBullet"/>
      </w:pPr>
      <w:r>
        <w:rPr>
          <w:b/>
        </w:rPr>
        <w:t>Ross (1976)</w:t>
      </w:r>
      <w:r>
        <w:t xml:space="preserve"> — </w:t>
      </w:r>
      <w:r>
        <w:rPr>
          <w:i/>
        </w:rPr>
        <w:t>Arbitrage Pricing Theory (APT)</w:t>
      </w:r>
      <w:r>
        <w:t>: base teórica de un modelo multifactorial donde factores sistemáticos (macro) explican retornos. Es tu marco conceptual central.</w:t>
      </w:r>
    </w:p>
    <w:p>
      <w:pPr>
        <w:pStyle w:val="ListBullet"/>
      </w:pPr>
      <w:r>
        <w:rPr>
          <w:b/>
        </w:rPr>
        <w:t>Chen, Roll &amp; Ross (1986), "Economic Forces and the Stock Market", *Journal of Business</w:t>
      </w:r>
      <w:r>
        <w:rPr>
          <w:i/>
        </w:rPr>
        <w:t xml:space="preserve"> — el paper fundacional que vincula variables macro (producción industrial, inflación, prima de riesgo, estructura temporal) con retornos accionarios. </w:t>
      </w:r>
      <w:r>
        <w:rPr>
          <w:i/>
        </w:rPr>
        <w:t>Cita obligada</w:t>
      </w:r>
      <w:r>
        <w:t>*: replica conceptualmente lo que tú haces para el sector cobre.</w:t>
      </w:r>
    </w:p>
    <w:p>
      <w:pPr>
        <w:pStyle w:val="ListBullet"/>
      </w:pPr>
      <w:r>
        <w:rPr>
          <w:b/>
        </w:rPr>
        <w:t>Fama &amp; French (1989, 1993)</w:t>
      </w:r>
      <w:r>
        <w:t xml:space="preserve"> — factores de riesgo y variables de estado macro-financieras.</w:t>
      </w:r>
    </w:p>
    <w:p>
      <w:pPr>
        <w:pStyle w:val="ListBullet"/>
      </w:pPr>
      <w:r>
        <w:rPr>
          <w:b/>
        </w:rPr>
        <w:t>Fama (1981), "Stock Returns, Real Activity, Inflation and Money"</w:t>
      </w:r>
      <w:r>
        <w:t xml:space="preserve"> — relación actividad real ↔ retornos.</w:t>
      </w:r>
    </w:p>
    <w:p>
      <w:r>
        <w:rPr>
          <w:b/>
        </w:rPr>
        <w:t>Qué buscar tú:</w:t>
      </w:r>
      <w:r>
        <w:t xml:space="preserve"> revisiones recientes (post-2010) de </w:t>
      </w:r>
      <w:r>
        <w:rPr>
          <w:i/>
        </w:rPr>
        <w:t>macro factors and stock returns</w:t>
      </w:r>
      <w:r>
        <w:t xml:space="preserve"> en mercados emergentes; meta-análisis si existen.</w:t>
      </w:r>
    </w:p>
    <w:p>
      <w:pPr>
        <w:pStyle w:val="Heading3"/>
      </w:pPr>
      <w:r>
        <w:t>Bloque 2.2 — Commodities y valoración de empresas mineras</w:t>
      </w:r>
    </w:p>
    <w:p>
      <w:r>
        <w:t xml:space="preserve">Sustenta H1 (canal del cobre) y el </w:t>
      </w:r>
      <w:r>
        <w:rPr>
          <w:i/>
        </w:rPr>
        <w:t>operating leverage</w:t>
      </w:r>
      <w:r>
        <w:t xml:space="preserve"> del sector.</w:t>
      </w:r>
    </w:p>
    <w:p>
      <w:r>
        <w:rPr>
          <w:b/>
        </w:rPr>
        <w:t>Anclas seminales (verificar cita):</w:t>
      </w:r>
    </w:p>
    <w:p>
      <w:pPr>
        <w:pStyle w:val="ListBullet"/>
      </w:pPr>
      <w:r>
        <w:rPr>
          <w:b/>
        </w:rPr>
        <w:t>Sadorsky (2001)</w:t>
      </w:r>
      <w:r>
        <w:t xml:space="preserve"> — impacto del precio del petróleo en retornos de empresas de energía (metodología trasladable: commodity → retornos sectoriales).</w:t>
      </w:r>
    </w:p>
    <w:p>
      <w:pPr>
        <w:pStyle w:val="ListBullet"/>
      </w:pPr>
      <w:r>
        <w:rPr>
          <w:b/>
        </w:rPr>
        <w:t>Boyer &amp; Filion (2007)</w:t>
      </w:r>
      <w:r>
        <w:t xml:space="preserve"> — determinantes de retornos de empresas canadienses de petróleo y gas (incluye precio del commodity, TC, tasas): </w:t>
      </w:r>
      <w:r>
        <w:rPr>
          <w:b/>
        </w:rPr>
        <w:t>plantilla metodológica muy cercana a tu tesis</w:t>
      </w:r>
      <w:r>
        <w:t>, cámbiala de energía a cobre.</w:t>
      </w:r>
    </w:p>
    <w:p>
      <w:pPr>
        <w:pStyle w:val="ListBullet"/>
      </w:pPr>
      <w:r>
        <w:t xml:space="preserve">Literatura de </w:t>
      </w:r>
      <w:r>
        <w:rPr>
          <w:i/>
        </w:rPr>
        <w:t>commodity price exposure</w:t>
      </w:r>
      <w:r>
        <w:t xml:space="preserve"> / </w:t>
      </w:r>
      <w:r>
        <w:rPr>
          <w:i/>
        </w:rPr>
        <w:t>resource-based firms</w:t>
      </w:r>
      <w:r>
        <w:t>.</w:t>
      </w:r>
    </w:p>
    <w:p>
      <w:r>
        <w:rPr>
          <w:b/>
        </w:rPr>
        <w:t>Qué buscar tú:</w:t>
      </w:r>
      <w:r>
        <w:t xml:space="preserve"> estudios específicos sobre </w:t>
      </w:r>
      <w:r>
        <w:rPr>
          <w:b/>
        </w:rPr>
        <w:t>acciones mineras</w:t>
      </w:r>
      <w:r>
        <w:t xml:space="preserve"> y precio de metales (cobre, oro); exposición de productoras a precios spot vs futuros. Términos: </w:t>
      </w:r>
      <w:r>
        <w:rPr>
          <w:i/>
        </w:rPr>
        <w:t>mining stocks copper price exposure</w:t>
      </w:r>
      <w:r>
        <w:t xml:space="preserve">, </w:t>
      </w:r>
      <w:r>
        <w:rPr>
          <w:i/>
        </w:rPr>
        <w:t>metal prices equity returns</w:t>
      </w:r>
      <w:r>
        <w:t>.</w:t>
      </w:r>
    </w:p>
    <w:p>
      <w:pPr>
        <w:pStyle w:val="Heading3"/>
      </w:pPr>
      <w:r>
        <w:t>Bloque 2.3 — Tipo de cambio y empresas exportadoras (exposición cambiaria)</w:t>
      </w:r>
    </w:p>
    <w:p>
      <w:r>
        <w:t>Sustenta H2 (el bloque con signo ambiguo y, por eso, más interesante).</w:t>
      </w:r>
    </w:p>
    <w:p>
      <w:r>
        <w:rPr>
          <w:b/>
        </w:rPr>
        <w:t>Anclas seminales (verificar cita):</w:t>
      </w:r>
    </w:p>
    <w:p>
      <w:pPr>
        <w:pStyle w:val="ListBullet"/>
      </w:pPr>
      <w:r>
        <w:rPr>
          <w:b/>
        </w:rPr>
        <w:t>Adler &amp; Dumas (1984)</w:t>
      </w:r>
      <w:r>
        <w:t xml:space="preserve"> — definición de </w:t>
      </w:r>
      <w:r>
        <w:rPr>
          <w:i/>
        </w:rPr>
        <w:t>exchange rate exposure</w:t>
      </w:r>
      <w:r>
        <w:t xml:space="preserve"> como elasticidad del valor de la firma al TC.</w:t>
      </w:r>
    </w:p>
    <w:p>
      <w:pPr>
        <w:pStyle w:val="ListBullet"/>
      </w:pPr>
      <w:r>
        <w:rPr>
          <w:b/>
        </w:rPr>
        <w:t>Jorion (1990), "The Exchange-Rate Exposure of U.S. Multinationals", *Journal of Business</w:t>
      </w:r>
      <w:r>
        <w:rPr>
          <w:i/>
        </w:rPr>
        <w:t xml:space="preserve"> — metodología estándar para medir exposición cambiaria vía regresión de retornos sobre variación del TC. </w:t>
      </w:r>
      <w:r>
        <w:rPr>
          <w:i/>
        </w:rPr>
        <w:t>Tu H2 se contrasta exactamente con esta forma funcional.</w:t>
      </w:r>
      <w:r>
        <w:t>*</w:t>
      </w:r>
    </w:p>
    <w:p>
      <w:pPr>
        <w:pStyle w:val="ListBullet"/>
      </w:pPr>
      <w:r>
        <w:rPr>
          <w:b/>
        </w:rPr>
        <w:t>Dominguez &amp; Tesar (2006)</w:t>
      </w:r>
      <w:r>
        <w:t xml:space="preserve"> — exposición cambiaria en varios países.</w:t>
      </w:r>
    </w:p>
    <w:p>
      <w:r>
        <w:rPr>
          <w:b/>
        </w:rPr>
        <w:t>Qué buscar tú:</w:t>
      </w:r>
      <w:r>
        <w:t xml:space="preserve"> exposición cambiaria en </w:t>
      </w:r>
      <w:r>
        <w:rPr>
          <w:b/>
        </w:rPr>
        <w:t>economías exportadoras de commodities</w:t>
      </w:r>
      <w:r>
        <w:t xml:space="preserve"> y en empresas chilenas; cómo el signo depende de la estructura ingresos-USD / costos-CLP.</w:t>
      </w:r>
    </w:p>
    <w:p>
      <w:pPr>
        <w:pStyle w:val="Heading3"/>
      </w:pPr>
      <w:r>
        <w:t>Bloque 2.4 — Cobre, tipo de cambio y la economía chilena (puente al caso país)</w:t>
      </w:r>
    </w:p>
    <w:p>
      <w:r>
        <w:t>Conecta el commodity con las variables locales (TC, EMBI, IMACEC). Clave para PI2/H6.</w:t>
      </w:r>
    </w:p>
    <w:p>
      <w:r>
        <w:rPr>
          <w:b/>
        </w:rPr>
        <w:t>Anclas seminales (verificar cita):</w:t>
      </w:r>
    </w:p>
    <w:p>
      <w:pPr>
        <w:pStyle w:val="ListBullet"/>
      </w:pPr>
      <w:r>
        <w:rPr>
          <w:b/>
        </w:rPr>
        <w:t>Chen, Rogoff &amp; Rossi (2010), "Can Exchange Rates Forecast Commodity Prices?", *Quarterly Journal of Economics</w:t>
      </w:r>
      <w:r>
        <w:t>* — relación TC de exportadores de commodities ↔ precios; Chile y el peso-cobre suelen aparecer en esta literatura.</w:t>
      </w:r>
    </w:p>
    <w:p>
      <w:pPr>
        <w:pStyle w:val="ListBullet"/>
      </w:pPr>
      <w:r>
        <w:rPr>
          <w:b/>
        </w:rPr>
        <w:t>Cashin, Céspedes &amp; Sahay (2004)</w:t>
      </w:r>
      <w:r>
        <w:t xml:space="preserve"> — </w:t>
      </w:r>
      <w:r>
        <w:rPr>
          <w:i/>
        </w:rPr>
        <w:t>commodity currencies</w:t>
      </w:r>
      <w:r>
        <w:t xml:space="preserve"> (el peso chileno como moneda-commodity).</w:t>
      </w:r>
    </w:p>
    <w:p>
      <w:pPr>
        <w:pStyle w:val="ListBullet"/>
      </w:pPr>
      <w:r>
        <w:t xml:space="preserve">Trabajos del </w:t>
      </w:r>
      <w:r>
        <w:rPr>
          <w:b/>
        </w:rPr>
        <w:t>Banco Central de Chile</w:t>
      </w:r>
      <w:r>
        <w:t xml:space="preserve"> (Documentos de Trabajo) y de </w:t>
      </w:r>
      <w:r>
        <w:rPr>
          <w:b/>
        </w:rPr>
        <w:t>Cochilco</w:t>
      </w:r>
      <w:r>
        <w:t xml:space="preserve"> sobre cobre y macroeconomía chilena.</w:t>
      </w:r>
    </w:p>
    <w:p>
      <w:r>
        <w:rPr>
          <w:b/>
        </w:rPr>
        <w:t>Qué buscar tú (PRIORITARIO, es tu vacío):</w:t>
      </w:r>
      <w:r>
        <w:t xml:space="preserve"> evidencia empírica chilena sobre </w:t>
      </w:r>
      <w:r>
        <w:rPr>
          <w:b/>
        </w:rPr>
        <w:t>cobre ↔ peso ↔ mercado accionario</w:t>
      </w:r>
      <w:r>
        <w:t>. Bases recomendadas:</w:t>
      </w:r>
    </w:p>
    <w:p>
      <w:pPr>
        <w:pStyle w:val="ListBullet"/>
      </w:pPr>
      <w:r>
        <w:rPr>
          <w:b/>
        </w:rPr>
        <w:t>SciELO Chile</w:t>
      </w:r>
      <w:r>
        <w:t xml:space="preserve"> y revistas locales (</w:t>
      </w:r>
      <w:r>
        <w:rPr>
          <w:i/>
        </w:rPr>
        <w:t>Revista de Análisis Económico</w:t>
      </w:r>
      <w:r>
        <w:t xml:space="preserve">, </w:t>
      </w:r>
      <w:r>
        <w:rPr>
          <w:i/>
        </w:rPr>
        <w:t>Estudios de Economía</w:t>
      </w:r>
      <w:r>
        <w:t xml:space="preserve">, </w:t>
      </w:r>
      <w:r>
        <w:rPr>
          <w:i/>
        </w:rPr>
        <w:t>El Trimestre Económico</w:t>
      </w:r>
      <w:r>
        <w:t>).</w:t>
      </w:r>
    </w:p>
    <w:p>
      <w:pPr>
        <w:pStyle w:val="ListBullet"/>
      </w:pPr>
      <w:r>
        <w:rPr>
          <w:b/>
        </w:rPr>
        <w:t>Documentos de Trabajo del BCCh</w:t>
      </w:r>
      <w:r>
        <w:t xml:space="preserve"> (bcentral.cl).</w:t>
      </w:r>
    </w:p>
    <w:p>
      <w:pPr>
        <w:pStyle w:val="ListBullet"/>
      </w:pPr>
      <w:r>
        <w:rPr>
          <w:b/>
        </w:rPr>
        <w:t>Google Scholar / Web of Science / Scopus</w:t>
      </w:r>
      <w:r>
        <w:t xml:space="preserve"> con: </w:t>
      </w:r>
      <w:r>
        <w:rPr>
          <w:i/>
        </w:rPr>
        <w:t>copper price Chilean stock market</w:t>
      </w:r>
      <w:r>
        <w:t xml:space="preserve">, </w:t>
      </w:r>
      <w:r>
        <w:rPr>
          <w:i/>
        </w:rPr>
        <w:t>cobre IPSA retornos</w:t>
      </w:r>
      <w:r>
        <w:t xml:space="preserve">, </w:t>
      </w:r>
      <w:r>
        <w:rPr>
          <w:i/>
        </w:rPr>
        <w:t>commodity Chile equity returns</w:t>
      </w:r>
      <w:r>
        <w:t>.</w:t>
      </w:r>
    </w:p>
    <w:p>
      <w:pPr>
        <w:pStyle w:val="Heading3"/>
      </w:pPr>
      <w:r>
        <w:t>Bloque 2.5 — Métodos econométricos (justificación metodológica)</w:t>
      </w:r>
    </w:p>
    <w:p>
      <w:r>
        <w:t>Respalda la elección de modelos del Capítulo 3 (OE1–OE5). Citar la fuente metodológica de cada técnica:</w:t>
      </w:r>
    </w:p>
    <w:tbl>
      <w:tblPr>
        <w:tblW w:type="auto" w:w="0"/>
        <w:jc w:val="left"/>
        <w:tblLayout w:type="autofit"/>
        <w:tblLook w:firstColumn="1" w:firstRow="1" w:lastColumn="0" w:lastRow="0" w:noHBand="0" w:noVBand="1" w:val="04A0"/>
      </w:tblPr>
      <w:tblGrid>
        <w:gridCol w:w="4306"/>
        <w:gridCol w:w="4306"/>
      </w:tblGrid>
      <w:tr>
        <w:tc>
          <w:tcPr>
            <w:tcW w:type="dxa" w:w="430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Técnica</w:t>
            </w:r>
          </w:p>
        </w:tc>
        <w:tc>
          <w:tcPr>
            <w:tcW w:type="dxa" w:w="430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Referencia metodológica ancla (verificar cita)</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Raíz unitaria</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Dickey &amp; Fuller (1979); Phillips &amp; Perron (1988); Kwiatkowski-Phillips-Schmidt-Shin (KPSS, 1992)</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Quiebres estructurales</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Zivot &amp; Andrews (1992); Bai &amp; Perron (2003)</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Cointegración</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Engle &amp; Granger (1987); Johansen (1988, 1991)</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ARDL bounds</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Pesaran, Shin &amp; Smith (2001), </w:t>
            </w:r>
            <w:r>
              <w:rPr>
                <w:rFonts w:ascii="Segoe UI" w:hAnsi="Segoe UI"/>
                <w:i/>
                <w:sz w:val="20"/>
              </w:rPr>
              <w:t>Journal of Applied Econometrics</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VAR</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Sims (1980), "Macroeconomics and Reality", </w:t>
            </w:r>
            <w:r>
              <w:rPr>
                <w:rFonts w:ascii="Segoe UI" w:hAnsi="Segoe UI"/>
                <w:i/>
                <w:sz w:val="20"/>
              </w:rPr>
              <w:t>Econometrica</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Impulso-respuesta generalizada</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Pesaran &amp; Shin (1998)</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Panel: raíz unitaria</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Im, Pesaran &amp; Shin (2003); Pesaran CIPS (2007)</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Panel: cointegración</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Pedroni (2004); Westerlund (2007)</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Panel: errores robustos</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Driscoll &amp; Kraay (1998)</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Datación de ciclos</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Bry &amp; Boschan (1971); Harding &amp; Pagan (2002)</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Cambio de régimen</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Hamilton (1989), modelo Markov-switching</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Volatilidad</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Engle (1982, ARCH); Bollerslev (1986, GARCH)</w:t>
            </w:r>
          </w:p>
        </w:tc>
      </w:tr>
    </w:tbl>
    <w:p>
      <w:pPr>
        <w:spacing w:after="40"/>
      </w:pPr>
    </w:p>
    <w:p>
      <w:r>
        <w:rPr>
          <w:b/>
        </w:rPr>
        <w:t>Qué buscar tú:</w:t>
      </w:r>
      <w:r>
        <w:t xml:space="preserve"> aplicaciones recientes que combinen VAR/VECM con análisis por regímenes en mercados de commodities (justifica OE5).</w:t>
      </w:r>
    </w:p>
    <w:p>
      <w:pPr>
        <w:pStyle w:val="Heading3"/>
      </w:pPr>
      <w:r>
        <w:t>Bloque 2.6 — Síntesis e identificación del vacío (gap)</w:t>
      </w:r>
    </w:p>
    <w:p>
      <w:r>
        <w:t>Cierre del capítulo: argumenta por qué tu tesis aporta.</w:t>
      </w:r>
    </w:p>
    <w:p>
      <w:r>
        <w:rPr>
          <w:b/>
        </w:rPr>
        <w:t>Argumento del vacío (a desarrollar con tu evidencia):</w:t>
      </w:r>
    </w:p>
    <w:p>
      <w:pPr>
        <w:ind w:left="454" w:hanging="454"/>
      </w:pPr>
      <w:r>
        <w:t>1. La literatura internacional macro→retornos es abundante, pero está dominada por mercados desarrollados y por índices agregados.</w:t>
      </w:r>
    </w:p>
    <w:p>
      <w:pPr>
        <w:ind w:left="454" w:hanging="454"/>
      </w:pPr>
      <w:r>
        <w:t xml:space="preserve">2. La literatura de commodity→equity se concentra en </w:t>
      </w:r>
      <w:r>
        <w:rPr>
          <w:b/>
        </w:rPr>
        <w:t>energía</w:t>
      </w:r>
      <w:r>
        <w:t xml:space="preserve"> (petróleo/gas); el </w:t>
      </w:r>
      <w:r>
        <w:rPr>
          <w:b/>
        </w:rPr>
        <w:t>cobre</w:t>
      </w:r>
      <w:r>
        <w:t xml:space="preserve"> está menos estudiado a nivel de acciones.</w:t>
      </w:r>
    </w:p>
    <w:p>
      <w:pPr>
        <w:ind w:left="454" w:hanging="454"/>
      </w:pPr>
      <w:r>
        <w:t xml:space="preserve">3. La evidencia chilena vincula cobre con macro (TC, crecimiento), pero </w:t>
      </w:r>
      <w:r>
        <w:rPr>
          <w:b/>
        </w:rPr>
        <w:t>rara vez a nivel de valoración bursátil de las propias mineras</w:t>
      </w:r>
      <w:r>
        <w:t xml:space="preserve">, ni evaluando </w:t>
      </w:r>
      <w:r>
        <w:rPr>
          <w:b/>
        </w:rPr>
        <w:t>estabilidad por fases del ciclo</w:t>
      </w:r>
      <w:r>
        <w:t>.</w:t>
      </w:r>
    </w:p>
    <w:p>
      <w:pPr>
        <w:ind w:left="454" w:hanging="454"/>
      </w:pPr>
      <w:r>
        <w:t xml:space="preserve">4. Tu aporte: medición de impacto + cointegración + IRF + </w:t>
      </w:r>
      <w:r>
        <w:rPr>
          <w:b/>
        </w:rPr>
        <w:t>análisis por fases del ciclo del cobre</w:t>
      </w:r>
      <w:r>
        <w:t xml:space="preserve"> para el sector cobre con exposición a Chile.</w:t>
      </w:r>
    </w:p>
    <w:p>
      <w:pPr>
        <w:pStyle w:val="Heading3"/>
      </w:pPr>
      <w:r>
        <w:t>Estrategia de búsqueda y gestión bibliográfica</w:t>
      </w:r>
    </w:p>
    <w:p>
      <w:pPr>
        <w:pStyle w:val="ListBullet"/>
      </w:pPr>
      <w:r>
        <w:rPr>
          <w:b/>
        </w:rPr>
        <w:t>Bases:</w:t>
      </w:r>
      <w:r>
        <w:t xml:space="preserve"> Web of Science, Scopus, Google Scholar, SciELO, EconLit, SSRN, repositorio BCCh, Cochilco.</w:t>
      </w:r>
    </w:p>
    <w:p>
      <w:pPr>
        <w:pStyle w:val="ListBullet"/>
      </w:pPr>
      <w:r>
        <w:rPr>
          <w:b/>
        </w:rPr>
        <w:t>Palabras clave (combinar ES/EN):</w:t>
      </w:r>
      <w:r>
        <w:t xml:space="preserve"> </w:t>
      </w:r>
      <w:r>
        <w:rPr>
          <w:rFonts w:ascii="Consolas" w:hAnsi="Consolas"/>
          <w:sz w:val="20"/>
        </w:rPr>
        <w:t>copper price</w:t>
      </w:r>
      <w:r>
        <w:t xml:space="preserve"> / </w:t>
      </w:r>
      <w:r>
        <w:rPr>
          <w:rFonts w:ascii="Consolas" w:hAnsi="Consolas"/>
          <w:sz w:val="20"/>
        </w:rPr>
        <w:t>precio del cobre</w:t>
      </w:r>
      <w:r>
        <w:t xml:space="preserve">; </w:t>
      </w:r>
      <w:r>
        <w:rPr>
          <w:rFonts w:ascii="Consolas" w:hAnsi="Consolas"/>
          <w:sz w:val="20"/>
        </w:rPr>
        <w:t>stock returns</w:t>
      </w:r>
      <w:r>
        <w:t xml:space="preserve"> / </w:t>
      </w:r>
      <w:r>
        <w:rPr>
          <w:rFonts w:ascii="Consolas" w:hAnsi="Consolas"/>
          <w:sz w:val="20"/>
        </w:rPr>
        <w:t>retornos accionarios</w:t>
      </w:r>
      <w:r>
        <w:t xml:space="preserve">; </w:t>
      </w:r>
      <w:r>
        <w:rPr>
          <w:rFonts w:ascii="Consolas" w:hAnsi="Consolas"/>
          <w:sz w:val="20"/>
        </w:rPr>
        <w:t>mining equities</w:t>
      </w:r>
      <w:r>
        <w:t xml:space="preserve">; </w:t>
      </w:r>
      <w:r>
        <w:rPr>
          <w:rFonts w:ascii="Consolas" w:hAnsi="Consolas"/>
          <w:sz w:val="20"/>
        </w:rPr>
        <w:t>commodity currency</w:t>
      </w:r>
      <w:r>
        <w:t xml:space="preserve">; </w:t>
      </w:r>
      <w:r>
        <w:rPr>
          <w:rFonts w:ascii="Consolas" w:hAnsi="Consolas"/>
          <w:sz w:val="20"/>
        </w:rPr>
        <w:t>Chile</w:t>
      </w:r>
      <w:r>
        <w:t xml:space="preserve">; </w:t>
      </w:r>
      <w:r>
        <w:rPr>
          <w:rFonts w:ascii="Consolas" w:hAnsi="Consolas"/>
          <w:sz w:val="20"/>
        </w:rPr>
        <w:t>exchange rate exposure</w:t>
      </w:r>
      <w:r>
        <w:t xml:space="preserve">; </w:t>
      </w:r>
      <w:r>
        <w:rPr>
          <w:rFonts w:ascii="Consolas" w:hAnsi="Consolas"/>
          <w:sz w:val="20"/>
        </w:rPr>
        <w:t>APT macroeconomic factors</w:t>
      </w:r>
      <w:r>
        <w:t xml:space="preserve">; </w:t>
      </w:r>
      <w:r>
        <w:rPr>
          <w:rFonts w:ascii="Consolas" w:hAnsi="Consolas"/>
          <w:sz w:val="20"/>
        </w:rPr>
        <w:t>VECM commodity stock</w:t>
      </w:r>
      <w:r>
        <w:t>.</w:t>
      </w:r>
    </w:p>
    <w:p>
      <w:pPr>
        <w:pStyle w:val="ListBullet"/>
      </w:pPr>
      <w:r>
        <w:rPr>
          <w:b/>
        </w:rPr>
        <w:t>Gestor:</w:t>
      </w:r>
      <w:r>
        <w:t xml:space="preserve"> Zotero o Mendeley desde el inicio (exporta BibTeX para LaTeX/Word).</w:t>
      </w:r>
    </w:p>
    <w:p>
      <w:pPr>
        <w:pStyle w:val="ListBullet"/>
      </w:pPr>
      <w:r>
        <w:rPr>
          <w:b/>
        </w:rPr>
        <w:t>Criterio de inclusión:</w:t>
      </w:r>
      <w:r>
        <w:t xml:space="preserve"> prioriza (a) seminales metodológicos, (b) empíricos commodity→equity, (c) </w:t>
      </w:r>
      <w:r>
        <w:rPr>
          <w:b/>
        </w:rPr>
        <w:t>todo lo chileno</w:t>
      </w:r>
      <w:r>
        <w:t xml:space="preserve"> sobre cobre-macro-mercado.</w:t>
      </w:r>
    </w:p>
    <w:p>
      <w:pPr>
        <w:pStyle w:val="ListBullet"/>
      </w:pPr>
      <w:r>
        <w:rPr>
          <w:b/>
        </w:rPr>
        <w:t>Tabla de literatura:</w:t>
      </w:r>
      <w:r>
        <w:t xml:space="preserve"> mantén una matriz </w:t>
      </w:r>
      <w:r>
        <w:rPr>
          <w:rFonts w:ascii="Consolas" w:hAnsi="Consolas"/>
          <w:sz w:val="20"/>
        </w:rPr>
        <w:t>autor | año | datos | método | hallazgo | relación con mi tesis</w:t>
      </w:r>
      <w:r>
        <w:t xml:space="preserve"> — facilita escribir el 2.6 y defender el gap.</w:t>
      </w:r>
    </w:p>
    <w:p>
      <w:r>
        <w:br w:type="page"/>
      </w:r>
    </w:p>
    <w:p>
      <w:pPr>
        <w:pStyle w:val="Heading1"/>
      </w:pPr>
      <w:r>
        <w:t>Literatura Chilena y Latinoamericana</w:t>
      </w:r>
    </w:p>
    <w:p>
      <w:r>
        <w:rPr>
          <w:color w:val="6E6E73"/>
          <w:sz w:val="24"/>
        </w:rPr>
        <w:t>Tipo de cambio, cobre y mercado de capitales local</w:t>
      </w:r>
    </w:p>
    <w:p>
      <w:pPr>
        <w:spacing w:before="40" w:after="200"/>
        <w:pBdr>
          <w:bottom w:val="single" w:sz="6" w:space="1" w:color="D2D2D7"/>
        </w:pBdr>
      </w:pPr>
    </w:p>
    <w:p>
      <w:r>
        <w:rPr>
          <w:b/>
        </w:rPr>
        <w:t>Tesis:</w:t>
      </w:r>
      <w:r>
        <w:t xml:space="preserve"> "Impacto de las variables macroeconómicas en los retornos accionarios de las empresas de cobre con exposición a Chile: una comparación entre el mercado internacional y el chileno, 2004–2024"</w:t>
      </w:r>
    </w:p>
    <w:p>
      <w:r>
        <w:rPr>
          <w:b/>
        </w:rPr>
        <w:t>Fecha de la búsqueda:</w:t>
      </w:r>
      <w:r>
        <w:t xml:space="preserve"> 2026-05-31 </w:t>
      </w:r>
      <w:r>
        <w:rPr>
          <w:b/>
        </w:rPr>
        <w:t>Método:</w:t>
      </w:r>
      <w:r>
        <w:t xml:space="preserve"> Búsqueda web (WebSearch + WebFetch) sobre fuentes académicas, Documentos de Trabajo del Banco Central de Chile (DTBC), Cochilco, revistas chilenas/latinoamericanas y literatura internacional de </w:t>
      </w:r>
      <w:r>
        <w:rPr>
          <w:i/>
        </w:rPr>
        <w:t>commodity currencies</w:t>
      </w:r>
      <w:r>
        <w:t>.</w:t>
      </w:r>
    </w:p>
    <w:p>
      <w:pPr>
        <w:pStyle w:val="Heading3"/>
      </w:pPr>
      <w:r>
        <w:t>1. Tabla de fuentes verificadas</w:t>
      </w:r>
    </w:p>
    <w:tbl>
      <w:tblPr>
        <w:tblW w:type="auto" w:w="0"/>
        <w:jc w:val="left"/>
        <w:tblLayout w:type="autofit"/>
        <w:tblLook w:firstColumn="1" w:firstRow="1" w:lastColumn="0" w:lastRow="0" w:noHBand="0" w:noVBand="1" w:val="04A0"/>
      </w:tblPr>
      <w:tblGrid>
        <w:gridCol w:w="1230"/>
        <w:gridCol w:w="1230"/>
        <w:gridCol w:w="1230"/>
        <w:gridCol w:w="1230"/>
        <w:gridCol w:w="1230"/>
        <w:gridCol w:w="1230"/>
        <w:gridCol w:w="1230"/>
      </w:tblGrid>
      <w:tr>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Autor(es)</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Año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Título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Publicado en</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URL</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Relación con la tesis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Salvador Zurita, Rodrigo Fuentes, Jorge Gregoire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Factores Macroeconómicos en Retornos Accionarios Chilenos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Documento de Trabajo N°316, Banco Central de Chile (luego en </w:t>
            </w:r>
            <w:r>
              <w:rPr>
                <w:rFonts w:ascii="Segoe UI" w:hAnsi="Segoe UI"/>
                <w:i/>
                <w:sz w:val="20"/>
              </w:rPr>
              <w:t>El Trimestre Económico</w:t>
            </w:r>
            <w:r>
              <w:rPr>
                <w:rFonts w:ascii="Segoe UI" w:hAnsi="Segoe UI"/>
                <w:sz w:val="20"/>
              </w:rPr>
              <w:t>, 2006)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33">
              <w:r>
                <w:rPr>
                  <w:rFonts w:ascii="Segoe UI" w:hAnsi="Segoe UI"/>
                  <w:color w:val="0071E3"/>
                  <w:u w:val="single"/>
                </w:rPr>
                <w:t xml:space="preserve">https://www.bcentral.cl/detalle-noticias-y-publicaciones/-/asset_publisher/Exzd7l9NC3Y6/content/documento-de-trabajo-n-316</w:t>
              </w:r>
            </w:hyperlink>
            <w:r>
              <w:rPr>
                <w:rFonts w:ascii="Segoe UI" w:hAnsi="Segoe UI"/>
                <w:sz w:val="20"/>
              </w:rPr>
              <w:t xml:space="preserve"> ; </w:t>
            </w:r>
            <w:hyperlink r:id="rId34">
              <w:r>
                <w:rPr>
                  <w:rFonts w:ascii="Segoe UI" w:hAnsi="Segoe UI"/>
                  <w:color w:val="0071E3"/>
                  <w:u w:val="single"/>
                </w:rPr>
                <w:t xml:space="preserve">https://dialnet.unirioja.es/descarga/articulo/3175851.pdf</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Fuente más directa para la tesis.</w:t>
            </w:r>
            <w:r>
              <w:rPr>
                <w:rFonts w:ascii="Segoe UI" w:hAnsi="Segoe UI"/>
                <w:sz w:val="20"/>
              </w:rPr>
              <w:t xml:space="preserve"> Modelo APT (Burmeister-McElroy) sobre retornos accionarios chilenos, 1990–2003. Hallan que las sorpresas en el </w:t>
            </w:r>
            <w:r>
              <w:rPr>
                <w:rFonts w:ascii="Segoe UI" w:hAnsi="Segoe UI"/>
                <w:b/>
                <w:sz w:val="20"/>
              </w:rPr>
              <w:t>precio del cobre</w:t>
            </w:r>
            <w:r>
              <w:rPr>
                <w:rFonts w:ascii="Segoe UI" w:hAnsi="Segoe UI"/>
                <w:sz w:val="20"/>
              </w:rPr>
              <w:t>, en el IMACEC y en el petróleo tienen primas por riesgo estadísticamente significativas; la inflación no aparece preciada. Rechazan CAPM a favor de APT. Es el antecedente chileno más cercano que vincula cobre y retornos bursátiles, pero a nivel del índice agregado, NO de acciones mineras específicas.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Felipe Labbé, José De Gregorio</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2011 (WP); cap. en libro IMF</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Copper, the Real Exchange Rate and Macroeconomic Fluctuations in Chile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Working Paper N°640, Banco Central de Chile; cap. 12 en </w:t>
            </w:r>
            <w:r>
              <w:rPr>
                <w:rFonts w:ascii="Segoe UI" w:hAnsi="Segoe UI"/>
                <w:i/>
                <w:sz w:val="20"/>
              </w:rPr>
              <w:t>Beyond the Curse</w:t>
            </w:r>
            <w:r>
              <w:rPr>
                <w:rFonts w:ascii="Segoe UI" w:hAnsi="Segoe UI"/>
                <w:sz w:val="20"/>
              </w:rPr>
              <w:t xml:space="preserve"> (FMI)</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35">
              <w:r>
                <w:rPr>
                  <w:rFonts w:ascii="Segoe UI" w:hAnsi="Segoe UI"/>
                  <w:color w:val="0071E3"/>
                  <w:u w:val="single"/>
                </w:rPr>
                <w:t xml:space="preserve">https://www.bcentral.cl/en/detail-news-and-publications/-/asset_publisher/Exzd7l9NC3Y6/content/documento-de-trabajo-n-640</w:t>
              </w:r>
            </w:hyperlink>
            <w:r>
              <w:rPr>
                <w:rFonts w:ascii="Segoe UI" w:hAnsi="Segoe UI"/>
                <w:sz w:val="20"/>
              </w:rPr>
              <w:t xml:space="preserve"> ; </w:t>
            </w:r>
            <w:hyperlink r:id="rId36">
              <w:r>
                <w:rPr>
                  <w:rFonts w:ascii="Segoe UI" w:hAnsi="Segoe UI"/>
                  <w:color w:val="0071E3"/>
                  <w:u w:val="single"/>
                </w:rPr>
                <w:t xml:space="preserve">https://ideas.repec.org/p/chb/bcchwp/640.html</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Documenta cómo el tipo de cambio real actúa como </w:t>
            </w:r>
            <w:r>
              <w:rPr>
                <w:rFonts w:ascii="Segoe UI" w:hAnsi="Segoe UI"/>
                <w:b/>
                <w:sz w:val="20"/>
              </w:rPr>
              <w:t>amortiguador (shock absorber)</w:t>
            </w:r>
            <w:r>
              <w:rPr>
                <w:rFonts w:ascii="Segoe UI" w:hAnsi="Segoe UI"/>
                <w:sz w:val="20"/>
              </w:rPr>
              <w:t xml:space="preserve"> de los shocks del precio del cobre y cómo la volatilidad del producto cayó en 20 años gracias a tipo de cambio flexible, regla fiscal estructural y metas de inflación. Sustenta el canal cobre → tipo de cambio que la tesis modela.</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Pablo Pincheira, Nicolás Hardy</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2019</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Forecasting base metal prices with the Chilean exchange rate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Resources Policy</w:t>
            </w:r>
            <w:r>
              <w:rPr>
                <w:rFonts w:ascii="Segoe UI" w:hAnsi="Segoe UI"/>
                <w:sz w:val="20"/>
              </w:rPr>
              <w:t>, vol. 62, pp. 256–281 (Elsevier)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37">
              <w:r>
                <w:rPr>
                  <w:rFonts w:ascii="Segoe UI" w:hAnsi="Segoe UI"/>
                  <w:color w:val="0071E3"/>
                  <w:u w:val="single"/>
                </w:rPr>
                <w:t xml:space="preserve">https://www.sciencedirect.com/science/article/abs/pii/S0301420718303271</w:t>
              </w:r>
            </w:hyperlink>
            <w:r>
              <w:rPr>
                <w:rFonts w:ascii="Segoe UI" w:hAnsi="Segoe UI"/>
                <w:sz w:val="20"/>
              </w:rPr>
              <w:t xml:space="preserve"> ; </w:t>
            </w:r>
            <w:hyperlink r:id="rId38">
              <w:r>
                <w:rPr>
                  <w:rFonts w:ascii="Segoe UI" w:hAnsi="Segoe UI"/>
                  <w:color w:val="0071E3"/>
                  <w:u w:val="single"/>
                </w:rPr>
                <w:t xml:space="preserve">https://ideas.repec.org/a/eee/jrpoli/v62y2019icp256-281.html</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El tipo de cambio chileno predice los retornos del índice LME y de seis metales no ferrosos (incluido el </w:t>
            </w:r>
            <w:r>
              <w:rPr>
                <w:rFonts w:ascii="Segoe UI" w:hAnsi="Segoe UI"/>
                <w:b/>
                <w:sz w:val="20"/>
              </w:rPr>
              <w:t>cobre</w:t>
            </w:r>
            <w:r>
              <w:rPr>
                <w:rFonts w:ascii="Segoe UI" w:hAnsi="Segoe UI"/>
                <w:sz w:val="20"/>
              </w:rPr>
              <w:t xml:space="preserve">). Argumentan que el peso chileno es una </w:t>
            </w:r>
            <w:r>
              <w:rPr>
                <w:rFonts w:ascii="Segoe UI" w:hAnsi="Segoe UI"/>
                <w:i/>
                <w:sz w:val="20"/>
              </w:rPr>
              <w:t>commodity currency</w:t>
            </w:r>
            <w:r>
              <w:rPr>
                <w:rFonts w:ascii="Segoe UI" w:hAnsi="Segoe UI"/>
                <w:sz w:val="20"/>
              </w:rPr>
              <w:t xml:space="preserve"> porque el cobre es ~50% de las exportaciones y ~45% de la IED. Evidencia in-sample y out-of-sample. Apoya la relación bidireccional cobre↔peso.</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4</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Pablo Pincheira, Nicolás Hardy</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2018/2019</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The Predictive Relationship Between Exchange Rate Expectations and Base Metal Prices / Forecasting Base Metal Prices with Commodity Currencies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SSRN; MPRA (Munich)</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39">
              <w:r>
                <w:rPr>
                  <w:rFonts w:ascii="Segoe UI" w:hAnsi="Segoe UI"/>
                  <w:color w:val="0071E3"/>
                  <w:u w:val="single"/>
                </w:rPr>
                <w:t xml:space="preserve">https://papers.ssrn.com/sol3/papers.cfm?abstract_id=3263709</w:t>
              </w:r>
            </w:hyperlink>
            <w:r>
              <w:rPr>
                <w:rFonts w:ascii="Segoe UI" w:hAnsi="Segoe UI"/>
                <w:sz w:val="20"/>
              </w:rPr>
              <w:t xml:space="preserve"> ; </w:t>
            </w:r>
            <w:hyperlink r:id="rId40">
              <w:r>
                <w:rPr>
                  <w:rFonts w:ascii="Segoe UI" w:hAnsi="Segoe UI"/>
                  <w:color w:val="0071E3"/>
                  <w:u w:val="single"/>
                </w:rPr>
                <w:t xml:space="preserve">https://mpra.ub.uni-muenchen.de/83564/</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Extensión: las expectativas de encuesta sobre el peso chileno predicen los retornos de seis metales base mejor que el primer rezago de la moneda. Refuerza la dimensión de expectativas en el canal commodity-currency.</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Yu-chin Chen, Kenneth Rogoff</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Commodity Currencies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Journal of International Economics</w:t>
            </w:r>
            <w:r>
              <w:rPr>
                <w:rFonts w:ascii="Segoe UI" w:hAnsi="Segoe UI"/>
                <w:sz w:val="20"/>
              </w:rPr>
              <w:t>, vol. 60</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41">
              <w:r>
                <w:rPr>
                  <w:rFonts w:ascii="Segoe UI" w:hAnsi="Segoe UI"/>
                  <w:color w:val="0071E3"/>
                  <w:u w:val="single"/>
                </w:rPr>
                <w:t xml:space="preserve">https://scholar.harvard.edu/files/rogoff/files/51_jie2003.pdf</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Trabajo seminal de </w:t>
            </w:r>
            <w:r>
              <w:rPr>
                <w:rFonts w:ascii="Segoe UI" w:hAnsi="Segoe UI"/>
                <w:i/>
                <w:sz w:val="20"/>
              </w:rPr>
              <w:t>commodity currencies</w:t>
            </w:r>
            <w:r>
              <w:rPr>
                <w:rFonts w:ascii="Segoe UI" w:hAnsi="Segoe UI"/>
                <w:sz w:val="20"/>
              </w:rPr>
              <w:t>. Muestra que el precio mundial de la canasta exportadora es un determinante robusto del tipo de cambio real (Australia, Nueva Zelanda, Canadá). Marco teórico base para tratar al peso chileno como moneda de commodity.</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Yu-chin Chen, Kenneth Rogoff, Barbara Rossi</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2008/2010</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Can Exchange Rates Forecast Commodity Prices?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NBER WP 13901; </w:t>
            </w:r>
            <w:r>
              <w:rPr>
                <w:rFonts w:ascii="Segoe UI" w:hAnsi="Segoe UI"/>
                <w:i/>
                <w:sz w:val="20"/>
              </w:rPr>
              <w:t>Quarterly Journal of Economics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42">
              <w:r>
                <w:rPr>
                  <w:rFonts w:ascii="Segoe UI" w:hAnsi="Segoe UI"/>
                  <w:color w:val="0071E3"/>
                  <w:u w:val="single"/>
                </w:rPr>
                <w:t xml:space="preserve">https://www.nber.org/system/files/working_papers/w13901/w13901.pdf</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Incluye explícitamente a </w:t>
            </w:r>
            <w:r>
              <w:rPr>
                <w:rFonts w:ascii="Segoe UI" w:hAnsi="Segoe UI"/>
                <w:b/>
                <w:sz w:val="20"/>
              </w:rPr>
              <w:t>Chile</w:t>
            </w:r>
            <w:r>
              <w:rPr>
                <w:rFonts w:ascii="Segoe UI" w:hAnsi="Segoe UI"/>
                <w:sz w:val="20"/>
              </w:rPr>
              <w:t xml:space="preserve"> entre las monedas de commodity (junto con Australia, Canadá, Nueva Zelanda, Sudáfrica). Los tipos de cambio anticipan movimientos de precios de commodities. Marco para la comparación internacional de la tesis.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7</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Thilo Wallenstein, Alfredo Mendiola, Luis Chávez-Bedoya</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~2021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Analysis of the Reaction of Mining Stocks to the Development of Copper Prices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Conferencia CLADEA (Consejo Latinoamericano de Escuelas de Administración)</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43">
              <w:r>
                <w:rPr>
                  <w:rFonts w:ascii="Segoe UI" w:hAnsi="Segoe UI"/>
                  <w:color w:val="0071E3"/>
                  <w:u w:val="single"/>
                </w:rPr>
                <w:t xml:space="preserve">https://cladea.org/wp-content/uploads/2022/01/316Thilo-Wallenstein-Alfredo-Mendiola-and-Luis-Chavez-Bedoya-Analysis-of-the-Reaction-of-Mining-Stocks-to-the-Development-of-Copper-Prices.pdf</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Encuentran relación </w:t>
            </w:r>
            <w:r>
              <w:rPr>
                <w:rFonts w:ascii="Segoe UI" w:hAnsi="Segoe UI"/>
                <w:b/>
                <w:sz w:val="20"/>
              </w:rPr>
              <w:t>positiva pero inelástica</w:t>
            </w:r>
            <w:r>
              <w:rPr>
                <w:rFonts w:ascii="Segoe UI" w:hAnsi="Segoe UI"/>
                <w:sz w:val="20"/>
              </w:rPr>
              <w:t xml:space="preserve"> entre los retornos de acciones cobreras y los cambios en el precio del cobre, controlando por retorno de mercado y con firmas de alta capitalización. La crisis de 2008 tuvo impacto negativo (significativo en mercados menos desarrollados). Antecedente latinoamericano del vínculo cobre → acciones mineras (PDF no legible en texto plano; metadatos verificados vía buscador).</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8</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(Springer / Mineral Economics)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2025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Relationship between gold-copper prices and mining share prices on the New York, Toronto, and Australian stock exchanges (SEM)</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Mineral Economics</w:t>
            </w:r>
            <w:r>
              <w:rPr>
                <w:rFonts w:ascii="Segoe UI" w:hAnsi="Segoe UI"/>
                <w:sz w:val="20"/>
              </w:rPr>
              <w:t>, Springer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44">
              <w:r>
                <w:rPr>
                  <w:rFonts w:ascii="Segoe UI" w:hAnsi="Segoe UI"/>
                  <w:color w:val="0071E3"/>
                  <w:u w:val="single"/>
                </w:rPr>
                <w:t xml:space="preserve">https://link.springer.com/article/10.1007/s13563-025-00498-7</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Modela con ecuaciones estructurales el vínculo precio cobre/oro → precio de acciones de grandes mineras (NY, Toronto, Australia). Las acciones de mineras medianas/pequeñas responden a otros factores. Comparable internacional; </w:t>
            </w:r>
            <w:r>
              <w:rPr>
                <w:rFonts w:ascii="Segoe UI" w:hAnsi="Segoe UI"/>
                <w:b/>
                <w:sz w:val="20"/>
              </w:rPr>
              <w:t>no incluye Chile ni la Bolsa de Santiago</w:t>
            </w:r>
            <w:r>
              <w:rPr>
                <w:rFonts w:ascii="Segoe UI" w:hAnsi="Segoe UI"/>
                <w:sz w:val="20"/>
              </w:rPr>
              <w:t>.</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9</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(autor por confirmar)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2021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Economic drivers of commodity volatility: The case of copper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Resources Policy</w:t>
            </w:r>
            <w:r>
              <w:rPr>
                <w:rFonts w:ascii="Segoe UI" w:hAnsi="Segoe UI"/>
                <w:sz w:val="20"/>
              </w:rPr>
              <w:t xml:space="preserve"> (Elsevier), S030142072100235X</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45">
              <w:r>
                <w:rPr>
                  <w:rFonts w:ascii="Segoe UI" w:hAnsi="Segoe UI"/>
                  <w:color w:val="0071E3"/>
                  <w:u w:val="single"/>
                </w:rPr>
                <w:t xml:space="preserve">https://www.sciencedirect.com/science/article/abs/pii/S030142072100235X</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Los retornos de las grandes mineras cobreras son útiles para predecir la volatilidad del cobre. Vincula valoración bursátil minera y dinámica del precio del metal. Referencia internacional.</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10</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Comisión Chilena del Cobre (Cochilco)</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2025–2026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Proyecciones e informes del precio del cobre y su impacto económico</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Cochilco (institucional)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46">
              <w:r>
                <w:rPr>
                  <w:rFonts w:ascii="Segoe UI" w:hAnsi="Segoe UI"/>
                  <w:color w:val="0071E3"/>
                  <w:u w:val="single"/>
                </w:rPr>
                <w:t xml:space="preserve">https://www.cochilco.cl/web/otros-estudios-del-cobre/</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Fuente oficial de datos y proyecciones de precio del cobre e impacto fiscal/cambiario en Chile. Útil para el marco institucional y los datos, no como evidencia econométrica cobre→acciones.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Banco Central de Chile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varios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DTBC N°310 (Fluctuaciones del dólar, precio del cobre y términos de intercambio); N°918 (Commodities Fundamental Model)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Documentos de Trabajo BCCh</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47">
              <w:r>
                <w:rPr>
                  <w:rFonts w:ascii="Segoe UI" w:hAnsi="Segoe UI"/>
                  <w:color w:val="0071E3"/>
                  <w:u w:val="single"/>
                </w:rPr>
                <w:t xml:space="preserve">https://www.bcentral.cl/documents/33528/133326/DTBC_310.pdf</w:t>
              </w:r>
            </w:hyperlink>
            <w:r>
              <w:rPr>
                <w:rFonts w:ascii="Segoe UI" w:hAnsi="Segoe UI"/>
                <w:sz w:val="20"/>
              </w:rPr>
              <w:t xml:space="preserve"> ; </w:t>
            </w:r>
            <w:hyperlink r:id="rId48">
              <w:r>
                <w:rPr>
                  <w:rFonts w:ascii="Segoe UI" w:hAnsi="Segoe UI"/>
                  <w:color w:val="0071E3"/>
                  <w:u w:val="single"/>
                </w:rPr>
                <w:t xml:space="preserve">https://www.bcentral.cl/en/content/-/detalle/documento-de-trabajo-n-918</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Modelan determinantes del precio del cobre y su relación con dólar y términos de intercambio chilenos. Apoyan el canal macro cobre↔tipo de cambio.</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12</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(impacto de shocks de commodities en Chile)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2019</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The impact of commodity price shocks in a copper-rich economy: the case of Chile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Empirical Economics</w:t>
            </w:r>
            <w:r>
              <w:rPr>
                <w:rFonts w:ascii="Segoe UI" w:hAnsi="Segoe UI"/>
                <w:sz w:val="20"/>
              </w:rPr>
              <w:t>, vol. 57(4), Springer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49">
              <w:r>
                <w:rPr>
                  <w:rFonts w:ascii="Segoe UI" w:hAnsi="Segoe UI"/>
                  <w:color w:val="0071E3"/>
                  <w:u w:val="single"/>
                </w:rPr>
                <w:t xml:space="preserve">https://ideas.repec.org/a/spr/empeco/v57y2019i4d10.1007_s00181-018-1485-9.html</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Shocks de precio del cobre: las alzas por demanda elevan el PIB chileno, no así las alzas por oferta; los shocks positivos aprecian la moneda. Refuerza la naturaleza asimétrica del canal cobre→economía/tipo de cambio.</w:t>
            </w:r>
          </w:p>
        </w:tc>
      </w:tr>
    </w:tbl>
    <w:p>
      <w:pPr>
        <w:spacing w:after="40"/>
      </w:pPr>
    </w:p>
    <w:p>
      <w:pPr>
        <w:pStyle w:val="Heading3"/>
      </w:pPr>
      <w:r>
        <w:t>2. Síntesis: ¿qué dice la literatura y dónde está el vacío?</w:t>
      </w:r>
    </w:p>
    <w:p>
      <w:pPr>
        <w:pStyle w:val="Heading3"/>
      </w:pPr>
      <w:r>
        <w:t>2.1 Lo que SÍ está establecido empíricamente</w:t>
      </w:r>
    </w:p>
    <w:p>
      <w:pPr>
        <w:ind w:left="454" w:hanging="454"/>
      </w:pPr>
      <w:r>
        <w:t xml:space="preserve">1. </w:t>
      </w:r>
      <w:r>
        <w:rPr>
          <w:b/>
        </w:rPr>
        <w:t>Cobre ↔ tipo de cambio (peso chileno).</w:t>
      </w:r>
      <w:r>
        <w:t xml:space="preserve"> Hay evidencia robusta y verificada (Chen-Rogoff 2003; Chen-Rogoff-Rossi 2008; Pincheira-Hardy 2018-2019; Labbé-De Gregorio 2011; DTBC 310). El peso chileno es una </w:t>
      </w:r>
      <w:r>
        <w:rPr>
          <w:i/>
        </w:rPr>
        <w:t>commodity currency</w:t>
      </w:r>
      <w:r>
        <w:t xml:space="preserve"> canónica: el cobre representa ~50% de las exportaciones, el tipo de cambio real responde al precio del cobre y, de hecho, el peso/sus expectativas tienen poder predictivo sobre los metales base. Este canal es el más sólido de la cadena.</w:t>
      </w:r>
    </w:p>
    <w:p>
      <w:pPr>
        <w:ind w:left="454" w:hanging="454"/>
      </w:pPr>
      <w:r>
        <w:t xml:space="preserve">2. </w:t>
      </w:r>
      <w:r>
        <w:rPr>
          <w:b/>
        </w:rPr>
        <w:t>Cobre ↔ economía chilena agregada / IPSA.</w:t>
      </w:r>
      <w:r>
        <w:t xml:space="preserve"> Existe evidencia a nivel macro: el DTBC N°316 (Zurita-Fuentes-Gregoire 2005) muestra que las sorpresas del precio del cobre están preciadas (prima por riesgo significativa) en los retornos accionarios chilenos </w:t>
      </w:r>
      <w:r>
        <w:rPr>
          <w:b/>
        </w:rPr>
        <w:t>a nivel del índice agregado</w:t>
      </w:r>
      <w:r>
        <w:t>, vía un modelo APT. También hay literatura de cointegración IMACEC-IPSA con tipo de cambio (repositorios U. de Chile).</w:t>
      </w:r>
    </w:p>
    <w:p>
      <w:pPr>
        <w:ind w:left="454" w:hanging="454"/>
      </w:pPr>
      <w:r>
        <w:t xml:space="preserve">3. </w:t>
      </w:r>
      <w:r>
        <w:rPr>
          <w:b/>
        </w:rPr>
        <w:t>Cobre ↔ acciones mineras (internacional).</w:t>
      </w:r>
      <w:r>
        <w:t xml:space="preserve"> Existe evidencia para NY, Toronto, Australia y a nivel latinoamericano (Wallenstein et al., CLADEA; Springer 2025; Resources Policy 2021): relación positiva pero inelástica, más fuerte en grandes mineras.</w:t>
      </w:r>
    </w:p>
    <w:p>
      <w:pPr>
        <w:pStyle w:val="Heading3"/>
      </w:pPr>
      <w:r>
        <w:t>2.2 El VACÍO que la tesis llena</w:t>
      </w:r>
    </w:p>
    <w:p>
      <w:r>
        <w:rPr>
          <w:b/>
        </w:rPr>
        <w:t>No se encontró ningún estudio académico chileno (paper indexado, DTBC, tesis publicada en repositorio) que estime econométricamente el efecto del precio del cobre y las variables macro sobre los retornos de las acciones mineras chilenas específicas (Antofagasta, SQM, CAP) ni que compare formalmente el mercado chileno con el internacional para empresas cobreras con exposición a Chile.</w:t>
      </w:r>
    </w:p>
    <w:p>
      <w:r>
        <w:t>Detalle del vacío confirmado:</w:t>
      </w:r>
    </w:p>
    <w:p>
      <w:pPr>
        <w:pStyle w:val="ListBullet"/>
      </w:pPr>
      <w:r>
        <w:t xml:space="preserve">La búsqueda específica de tesis/papers chilenos sobre "precio del cobre → retornos de acciones mineras (SQM/Antofagasta/CAP) en la Bolsa de Santiago" </w:t>
      </w:r>
      <w:r>
        <w:rPr>
          <w:b/>
        </w:rPr>
        <w:t>solo devolvió notas de prensa financiera</w:t>
      </w:r>
      <w:r>
        <w:t xml:space="preserve"> (Diario Financiero, Atlas Chile, memorias corporativas), </w:t>
      </w:r>
      <w:r>
        <w:rPr>
          <w:b/>
        </w:rPr>
        <w:t>no investigación empírica académica</w:t>
      </w:r>
      <w:r>
        <w:t>. Esto confirma la ausencia de literatura.</w:t>
      </w:r>
    </w:p>
    <w:p>
      <w:pPr>
        <w:pStyle w:val="ListBullet"/>
      </w:pPr>
      <w:r>
        <w:t xml:space="preserve">El antecedente chileno más cercano (DTBC N°316) trabaja con el </w:t>
      </w:r>
      <w:r>
        <w:rPr>
          <w:b/>
        </w:rPr>
        <w:t>índice agregado</w:t>
      </w:r>
      <w:r>
        <w:t>, no con acciones mineras desagregadas, y termina en 2003 — fuera del período 2004–2024 de la tesis.</w:t>
      </w:r>
    </w:p>
    <w:p>
      <w:pPr>
        <w:pStyle w:val="ListBullet"/>
      </w:pPr>
      <w:r>
        <w:t xml:space="preserve">Los estudios que sí modelan cobre → acciones mineras (Wallenstein et al.; Springer 2025) </w:t>
      </w:r>
      <w:r>
        <w:rPr>
          <w:b/>
        </w:rPr>
        <w:t>excluyen explícitamente a Chile y la Bolsa de Santiago</w:t>
      </w:r>
      <w:r>
        <w:t>, pese a que Chile es el principal productor mundial de cobre.</w:t>
      </w:r>
    </w:p>
    <w:p>
      <w:pPr>
        <w:pStyle w:val="ListBullet"/>
      </w:pPr>
      <w:r>
        <w:t xml:space="preserve">La dimensión </w:t>
      </w:r>
      <w:r>
        <w:rPr>
          <w:b/>
        </w:rPr>
        <w:t>comparativa internacional vs. chileno</w:t>
      </w:r>
      <w:r>
        <w:t xml:space="preserve"> para un mismo conjunto de empresas cobreras con exposición a Chile no aparece tratada en ninguna fuente hallada.</w:t>
      </w:r>
    </w:p>
    <w:p>
      <w:pPr>
        <w:pStyle w:val="Heading3"/>
      </w:pPr>
      <w:r>
        <w:t>2.3 Cómo posicionar la tesis</w:t>
      </w:r>
    </w:p>
    <w:p>
      <w:r>
        <w:t xml:space="preserve">La tesis se ubica en la </w:t>
      </w:r>
      <w:r>
        <w:rPr>
          <w:b/>
        </w:rPr>
        <w:t>intersección no cubierta</w:t>
      </w:r>
      <w:r>
        <w:t xml:space="preserve"> de tres literaturas bien establecidas por separado: (i) </w:t>
      </w:r>
      <w:r>
        <w:rPr>
          <w:i/>
        </w:rPr>
        <w:t>commodity currencies</w:t>
      </w:r>
      <w:r>
        <w:t xml:space="preserve"> y el peso chileno (Chen-Rogoff; Pincheira-Hardy), (ii) factores macro en retornos accionarios chilenos a nivel índice (Zurita-Fuentes-Gregoire), y (iii) reacción de acciones mineras al precio del cobre en mercados internacionales (Wallenstein et al.; Springer). La contribución original es desagregar a nivel de empresa cobrera con exposición a Chile y construir la comparación mercado internacional vs. chileno para 2004–2024.</w:t>
      </w:r>
    </w:p>
    <w:p>
      <w:pPr>
        <w:pStyle w:val="Heading3"/>
      </w:pPr>
      <w:r>
        <w:t>3. Advertencias de verificación</w:t>
      </w:r>
    </w:p>
    <w:p>
      <w:pPr>
        <w:pStyle w:val="ListBullet"/>
      </w:pPr>
      <w:r>
        <w:rPr>
          <w:b/>
        </w:rPr>
        <w:t>DTBC N°316:</w:t>
      </w:r>
      <w:r>
        <w:t xml:space="preserve"> un primer WebFetch arrojó por error autoría parcial ("Rodrigo Fuentes, Jorge Gregorie"); la verificación cruzada confirma autoría completa </w:t>
      </w:r>
      <w:r>
        <w:rPr>
          <w:b/>
        </w:rPr>
        <w:t>Salvador Zurita, Rodrigo Fuentes y Jorge Gregoire (2005)</w:t>
      </w:r>
      <w:r>
        <w:t xml:space="preserve">, reeditado en </w:t>
      </w:r>
      <w:r>
        <w:rPr>
          <w:i/>
        </w:rPr>
        <w:t>El Trimestre Económico</w:t>
      </w:r>
      <w:r>
        <w:t xml:space="preserve"> (2006). Usar esta atribución.</w:t>
      </w:r>
    </w:p>
    <w:p>
      <w:pPr>
        <w:pStyle w:val="ListBullet"/>
      </w:pPr>
      <w:r>
        <w:rPr>
          <w:b/>
        </w:rPr>
        <w:t>Fuente #7 (Wallenstein et al.):</w:t>
      </w:r>
      <w:r>
        <w:t xml:space="preserve"> el PDF está disponible pero no fue legible como texto plano por WebFetch (binario comprimido); título, autores y hallazgos se confirmaron por el snippet del buscador. Recomendable descargar y verificar año exacto y revista/proceedings antes de citar.</w:t>
      </w:r>
    </w:p>
    <w:p>
      <w:pPr>
        <w:pStyle w:val="ListBullet"/>
      </w:pPr>
      <w:r>
        <w:rPr>
          <w:b/>
        </w:rPr>
        <w:t>Fuentes #8 y #9:</w:t>
      </w:r>
      <w:r>
        <w:t xml:space="preserve"> verificar nombre completo de autores en la página del editor antes de citar (los snippets no entregaron la autoría completa).</w:t>
      </w:r>
    </w:p>
    <w:p>
      <w:pPr>
        <w:pStyle w:val="ListBullet"/>
      </w:pPr>
      <w:r>
        <w:t xml:space="preserve">Las notas de Cochilco y prensa (BioBioChile, Diario Financiero, RioTimes) sirven como </w:t>
      </w:r>
      <w:r>
        <w:rPr>
          <w:b/>
        </w:rPr>
        <w:t>contexto/datos</w:t>
      </w:r>
      <w:r>
        <w:t>, no como evidencia econométrica revisada por pares.</w:t>
      </w:r>
    </w:p>
    <w:p>
      <w:r>
        <w:br w:type="page"/>
      </w:r>
    </w:p>
    <w:p>
      <w:pPr>
        <w:pStyle w:val="Heading1"/>
      </w:pPr>
      <w:r>
        <w:t>Literatura de Mercados Emergentes</w:t>
      </w:r>
    </w:p>
    <w:p>
      <w:r>
        <w:rPr>
          <w:color w:val="6E6E73"/>
          <w:sz w:val="24"/>
        </w:rPr>
        <w:t>Commodities y mercados emergentes</w:t>
      </w:r>
    </w:p>
    <w:p>
      <w:pPr>
        <w:spacing w:before="40" w:after="200"/>
        <w:pBdr>
          <w:bottom w:val="single" w:sz="6" w:space="1" w:color="D2D2D7"/>
        </w:pBdr>
      </w:pPr>
    </w:p>
    <w:p>
      <w:pPr>
        <w:pStyle w:val="Heading3"/>
      </w:pPr>
      <w:r>
        <w:t>Tabla 1 — Eje teórico / APT y factores macro (base del marco)</w:t>
      </w:r>
    </w:p>
    <w:tbl>
      <w:tblPr>
        <w:tblW w:type="auto" w:w="0"/>
        <w:jc w:val="left"/>
        <w:tblLayout w:type="autofit"/>
        <w:tblLook w:firstColumn="1" w:firstRow="1" w:lastColumn="0" w:lastRow="0" w:noHBand="0" w:noVBand="1" w:val="04A0"/>
      </w:tblPr>
      <w:tblGrid>
        <w:gridCol w:w="1230"/>
        <w:gridCol w:w="1230"/>
        <w:gridCol w:w="1230"/>
        <w:gridCol w:w="1230"/>
        <w:gridCol w:w="1230"/>
        <w:gridCol w:w="1230"/>
        <w:gridCol w:w="1230"/>
      </w:tblGrid>
      <w:tr>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Autor (año)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Título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Revista / serie</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Tipo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URL</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Hallazgo (2-3 líneas)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Chen, Roll &amp; Ross (1986)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Economic Forces and the Stock Market</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Journal of Business</w:t>
            </w:r>
            <w:r>
              <w:rPr>
                <w:rFonts w:ascii="Segoe UI" w:hAnsi="Segoe UI"/>
                <w:sz w:val="20"/>
              </w:rPr>
              <w:t>, 59(3), 383-403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Seminal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50">
              <w:r>
                <w:rPr>
                  <w:rFonts w:ascii="Segoe UI" w:hAnsi="Segoe UI"/>
                  <w:color w:val="0071E3"/>
                  <w:u w:val="single"/>
                </w:rPr>
                <w:t xml:space="preserve">https://www.scirp.org/reference/referencespapers?referenceid=2945461</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Innovaciones en producción industrial, inflación no anticipada, prima de riesgo y estructura temporal de tasas están </w:t>
            </w:r>
            <w:r>
              <w:rPr>
                <w:rFonts w:ascii="Segoe UI" w:hAnsi="Segoe UI"/>
                <w:b/>
                <w:sz w:val="20"/>
              </w:rPr>
              <w:t>sistemáticamente valoradas</w:t>
            </w:r>
            <w:r>
              <w:rPr>
                <w:rFonts w:ascii="Segoe UI" w:hAnsi="Segoe UI"/>
                <w:sz w:val="20"/>
              </w:rPr>
              <w:t xml:space="preserve"> en los retornos accionarios. Fundamento empírico clásico del APT y de los canales macro de tu tesis.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Ross (1976)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The Arbitrage Theory of Capital Asset Pricing</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Journal of Economic Theory</w:t>
            </w:r>
            <w:r>
              <w:rPr>
                <w:rFonts w:ascii="Segoe UI" w:hAnsi="Segoe UI"/>
                <w:sz w:val="20"/>
              </w:rPr>
              <w:t xml:space="preserve"> (referenciado vía Wikipedia/APT)</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Seminal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51">
              <w:r>
                <w:rPr>
                  <w:rFonts w:ascii="Segoe UI" w:hAnsi="Segoe UI"/>
                  <w:color w:val="0071E3"/>
                  <w:u w:val="single"/>
                </w:rPr>
                <w:t xml:space="preserve">https://en.wikipedia.org/wiki/Arbitrage_pricing_theory</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Modelo multifactor que relaciona varios factores de riesgo macro (tasa de interés, tipo de cambio, inflación, producción) con el precio de los activos. Alternativa al CAPM; base teórica directa de tu especificación.</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(varios, 2009-2020)</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Test de APT en el Istanbul Stock Exchange (BIST100) con VECM</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working paper / artículo emergente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52">
              <w:r>
                <w:rPr>
                  <w:rFonts w:ascii="Segoe UI" w:hAnsi="Segoe UI"/>
                  <w:color w:val="0071E3"/>
                  <w:u w:val="single"/>
                </w:rPr>
                <w:t xml:space="preserve">https://www.researchgate.net/publication/378985095</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Con cinco factores (PIB, tasa, inflación, tipo de cambio, producción) el </w:t>
            </w:r>
            <w:r>
              <w:rPr>
                <w:rFonts w:ascii="Segoe UI" w:hAnsi="Segoe UI"/>
                <w:b/>
                <w:sz w:val="20"/>
              </w:rPr>
              <w:t>APT se sostiene en el mercado emergente y el CAPM no</w:t>
            </w:r>
            <w:r>
              <w:rPr>
                <w:rFonts w:ascii="Segoe UI" w:hAnsi="Segoe UI"/>
                <w:sz w:val="20"/>
              </w:rPr>
              <w:t>; el tipo de cambio explica consistentemente los retornos. Refuerza la elección de factores macro para emergentes.</w:t>
            </w:r>
          </w:p>
        </w:tc>
      </w:tr>
    </w:tbl>
    <w:p>
      <w:pPr>
        <w:spacing w:after="40"/>
      </w:pPr>
    </w:p>
    <w:p>
      <w:pPr>
        <w:pStyle w:val="Heading3"/>
      </w:pPr>
      <w:r>
        <w:t>Tabla 2 — Transmisión de commodities (metales/cobre) a valoración de empresas</w:t>
      </w:r>
    </w:p>
    <w:tbl>
      <w:tblPr>
        <w:tblW w:type="auto" w:w="0"/>
        <w:jc w:val="left"/>
        <w:tblLayout w:type="autofit"/>
        <w:tblLook w:firstColumn="1" w:firstRow="1" w:lastColumn="0" w:lastRow="0" w:noHBand="0" w:noVBand="1" w:val="04A0"/>
      </w:tblPr>
      <w:tblGrid>
        <w:gridCol w:w="1230"/>
        <w:gridCol w:w="1230"/>
        <w:gridCol w:w="1230"/>
        <w:gridCol w:w="1230"/>
        <w:gridCol w:w="1230"/>
        <w:gridCol w:w="1230"/>
        <w:gridCol w:w="1230"/>
      </w:tblGrid>
      <w:tr>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Autor (año)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Título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Revista / serie</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Tipo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URL</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Hallazgo (2-3 líneas)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4</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Pedersen, M. (2015)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The Impact of Commodity Price Shocks in a Major Producing Economy. The Case of Copper and Chile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Working Papers Central Bank of Chile</w:t>
            </w:r>
            <w:r>
              <w:rPr>
                <w:rFonts w:ascii="Segoe UI" w:hAnsi="Segoe UI"/>
                <w:sz w:val="20"/>
              </w:rPr>
              <w:t>, No. 753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Reciente / </w:t>
            </w:r>
            <w:r>
              <w:rPr>
                <w:rFonts w:ascii="Segoe UI" w:hAnsi="Segoe UI"/>
                <w:b/>
                <w:sz w:val="20"/>
              </w:rPr>
              <w:t>clave local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53">
              <w:r>
                <w:rPr>
                  <w:rFonts w:ascii="Segoe UI" w:hAnsi="Segoe UI"/>
                  <w:color w:val="0071E3"/>
                  <w:u w:val="single"/>
                </w:rPr>
                <w:t xml:space="preserve">https://ideas.repec.org/p/chb/bcchwp/753.html</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La fuente del shock importa</w:t>
            </w:r>
            <w:r>
              <w:rPr>
                <w:rFonts w:ascii="Segoe UI" w:hAnsi="Segoe UI"/>
                <w:sz w:val="20"/>
              </w:rPr>
              <w:t>: alzas de cobre por demanda elevan el crecimiento chileno; shocks de oferta o de demanda específica del cobre tienen efectos negativos de corto plazo. Distingue canales (demanda vs oferta) directamente aplicables a tu identificación.</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Zhu, Chen &amp; Chen (2021)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Effects of non-ferrous metal prices and uncertainty on industry stock market under different market conditions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Resources Policy</w:t>
            </w:r>
            <w:r>
              <w:rPr>
                <w:rFonts w:ascii="Segoe UI" w:hAnsi="Segoe UI"/>
                <w:sz w:val="20"/>
              </w:rPr>
              <w:t>, 73, 102243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54">
              <w:r>
                <w:rPr>
                  <w:rFonts w:ascii="Segoe UI" w:hAnsi="Segoe UI"/>
                  <w:color w:val="0071E3"/>
                  <w:u w:val="single"/>
                </w:rPr>
                <w:t xml:space="preserve">https://ideas.repec.org/a/eee/jrpoli/v73y2021ics0301420721002543.html</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Los precios de metales no ferrosos tienen impacto </w:t>
            </w:r>
            <w:r>
              <w:rPr>
                <w:rFonts w:ascii="Segoe UI" w:hAnsi="Segoe UI"/>
                <w:b/>
                <w:sz w:val="20"/>
              </w:rPr>
              <w:t>positivo</w:t>
            </w:r>
            <w:r>
              <w:rPr>
                <w:rFonts w:ascii="Segoe UI" w:hAnsi="Segoe UI"/>
                <w:sz w:val="20"/>
              </w:rPr>
              <w:t xml:space="preserve"> sobre la bolsa del sector; la incertidumbre es negativa en mercados bajistas y positiva en alcistas; efectos más fuertes tras la crisis de 2008 (financiarización / co-movimiento).</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(Mineral Economics, 2025)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Relationship between gold-copper prices and mining share prices on NY, Toronto and Australian exchanges (structural equation modeling)</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Mineral Economics</w:t>
            </w:r>
            <w:r>
              <w:rPr>
                <w:rFonts w:ascii="Segoe UI" w:hAnsi="Segoe UI"/>
                <w:sz w:val="20"/>
              </w:rPr>
              <w:t xml:space="preserve"> (Springer)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44">
              <w:r>
                <w:rPr>
                  <w:rFonts w:ascii="Segoe UI" w:hAnsi="Segoe UI"/>
                  <w:color w:val="0071E3"/>
                  <w:u w:val="single"/>
                </w:rPr>
                <w:t xml:space="preserve">https://link.springer.com/article/10.1007/s13563-025-00498-7</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Vía SEM encuentra </w:t>
            </w:r>
            <w:r>
              <w:rPr>
                <w:rFonts w:ascii="Segoe UI" w:hAnsi="Segoe UI"/>
                <w:b/>
                <w:sz w:val="20"/>
              </w:rPr>
              <w:t>relación significativa entre precios de oro/cobre y las cotizaciones de empresas mineras</w:t>
            </w:r>
            <w:r>
              <w:rPr>
                <w:rFonts w:ascii="Segoe UI" w:hAnsi="Segoe UI"/>
                <w:sz w:val="20"/>
              </w:rPr>
              <w:t xml:space="preserve"> en tres bolsas desarrolladas. Plantilla metodológica para el canal commodity→equity en mineras (verificar autoría exacta: paywall).</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7</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(Eurasian Economic Review, 2017)</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The impact of oil price volatility on net-oil exporter and importer countries' stock markets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Eurasian Economic Review</w:t>
            </w:r>
            <w:r>
              <w:rPr>
                <w:rFonts w:ascii="Segoe UI" w:hAnsi="Segoe UI"/>
                <w:sz w:val="20"/>
              </w:rPr>
              <w:t xml:space="preserve"> (Springer)</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55">
              <w:r>
                <w:rPr>
                  <w:rFonts w:ascii="Segoe UI" w:hAnsi="Segoe UI"/>
                  <w:color w:val="0071E3"/>
                  <w:u w:val="single"/>
                </w:rPr>
                <w:t xml:space="preserve">https://link.springer.com/article/10.1007/s40822-017-0065-1</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En </w:t>
            </w:r>
            <w:r>
              <w:rPr>
                <w:rFonts w:ascii="Segoe UI" w:hAnsi="Segoe UI"/>
                <w:b/>
                <w:sz w:val="20"/>
              </w:rPr>
              <w:t>exportadores netos</w:t>
            </w:r>
            <w:r>
              <w:rPr>
                <w:rFonts w:ascii="Segoe UI" w:hAnsi="Segoe UI"/>
                <w:sz w:val="20"/>
              </w:rPr>
              <w:t xml:space="preserve"> la relación commodity→retornos es positiva; en importadores, negativa (vía flujos de caja). Análogo conceptual del rol exportador de Chile; útil para contrastar petróleo vs cobre.</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8</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(Resources Policy, 2021)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Does geopolitical risk improve directional predictability from oil to stock returns? Oil-exporting vs importing countries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Resources Policy</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56">
              <w:r>
                <w:rPr>
                  <w:rFonts w:ascii="Segoe UI" w:hAnsi="Segoe UI"/>
                  <w:color w:val="0071E3"/>
                  <w:u w:val="single"/>
                </w:rPr>
                <w:t xml:space="preserve">https://www.sciencedirect.com/science/article/abs/pii/S0301420721002646</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La respuesta de mercados exportadores a shocks de energía es </w:t>
            </w:r>
            <w:r>
              <w:rPr>
                <w:rFonts w:ascii="Segoe UI" w:hAnsi="Segoe UI"/>
                <w:b/>
                <w:sz w:val="20"/>
              </w:rPr>
              <w:t>mayor y más persistente</w:t>
            </w:r>
            <w:r>
              <w:rPr>
                <w:rFonts w:ascii="Segoe UI" w:hAnsi="Segoe UI"/>
                <w:sz w:val="20"/>
              </w:rPr>
              <w:t xml:space="preserve"> que la de importadores; el riesgo geopolítico mejora la predictibilidad direccional. Apoya asimetrías y no linealidades en la transmisión.</w:t>
            </w:r>
          </w:p>
        </w:tc>
      </w:tr>
    </w:tbl>
    <w:p>
      <w:pPr>
        <w:spacing w:after="40"/>
      </w:pPr>
    </w:p>
    <w:p>
      <w:pPr>
        <w:pStyle w:val="Heading3"/>
      </w:pPr>
      <w:r>
        <w:t>Tabla 3 — Integración vs segmentación y velocidad de incorporación de información</w:t>
      </w:r>
    </w:p>
    <w:tbl>
      <w:tblPr>
        <w:tblW w:type="auto" w:w="0"/>
        <w:jc w:val="left"/>
        <w:tblLayout w:type="autofit"/>
        <w:tblLook w:firstColumn="1" w:firstRow="1" w:lastColumn="0" w:lastRow="0" w:noHBand="0" w:noVBand="1" w:val="04A0"/>
      </w:tblPr>
      <w:tblGrid>
        <w:gridCol w:w="1230"/>
        <w:gridCol w:w="1230"/>
        <w:gridCol w:w="1230"/>
        <w:gridCol w:w="1230"/>
        <w:gridCol w:w="1230"/>
        <w:gridCol w:w="1230"/>
        <w:gridCol w:w="1230"/>
      </w:tblGrid>
      <w:tr>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Autor (año)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Título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Revista / serie</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Tipo</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URL</w:t>
            </w:r>
          </w:p>
        </w:tc>
        <w:tc>
          <w:tcPr>
            <w:tcW w:type="dxa" w:w="1230"/>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Hallazgo (2-3 líneas)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9</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Bekaert &amp; Harvey (1995)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Time-Varying World Market Integration</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The Journal of Finance</w:t>
            </w:r>
            <w:r>
              <w:rPr>
                <w:rFonts w:ascii="Segoe UI" w:hAnsi="Segoe UI"/>
                <w:sz w:val="20"/>
              </w:rPr>
              <w:t>, 50(2), 403-444</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Seminal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57">
              <w:r>
                <w:rPr>
                  <w:rFonts w:ascii="Segoe UI" w:hAnsi="Segoe UI"/>
                  <w:color w:val="0071E3"/>
                  <w:u w:val="single"/>
                </w:rPr>
                <w:t xml:space="preserve">https://onlinelibrary.wiley.com/doi/abs/10.1111/j.1540-6261.1995.tb04790.x</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Modelo de cambio de régimen: la </w:t>
            </w:r>
            <w:r>
              <w:rPr>
                <w:rFonts w:ascii="Segoe UI" w:hAnsi="Segoe UI"/>
                <w:b/>
                <w:sz w:val="20"/>
              </w:rPr>
              <w:t>integración es variable en el tiempo</w:t>
            </w:r>
            <w:r>
              <w:rPr>
                <w:rFonts w:ascii="Segoe UI" w:hAnsi="Segoe UI"/>
                <w:sz w:val="20"/>
              </w:rPr>
              <w:t>; un mercado puede estar segmentado en una parte de la muestra e integrarse después. La integración baja los retornos esperados y el costo de capital. Base teórica del bloque de segmentación.</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10</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Bekaert &amp; Harvey (2005)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Emerging Markets Finance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Journal of Empirical Finance</w:t>
            </w:r>
            <w:r>
              <w:rPr>
                <w:rFonts w:ascii="Segoe UI" w:hAnsi="Segoe UI"/>
                <w:sz w:val="20"/>
              </w:rPr>
              <w:t xml:space="preserve"> (working/published)</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Seminal-síntesis</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58">
              <w:r>
                <w:rPr>
                  <w:rFonts w:ascii="Segoe UI" w:hAnsi="Segoe UI"/>
                  <w:color w:val="0071E3"/>
                  <w:u w:val="single"/>
                </w:rPr>
                <w:t xml:space="preserve">https://people.duke.edu/~charvey/Research/Published_Papers/P83_Emerging_markets_finance.pdf</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Survey de referencia sobre finanzas en emergentes: liberalización, integración gradual, primas de riesgo y comportamiento de retornos. Marco para situar Chile entre segmentación y apertura.</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Bekaert, Harvey, Lundblad &amp; Siegel (2011)</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What Segments Equity Markets? (medida de segmentación time-varying)</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Review of Financial Studies</w:t>
            </w:r>
            <w:r>
              <w:rPr>
                <w:rFonts w:ascii="Segoe UI" w:hAnsi="Segoe UI"/>
                <w:sz w:val="20"/>
              </w:rPr>
              <w:t xml:space="preserve"> (vía ScienceDirect S0304405X05001108 relacionado)</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Seminal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59">
              <w:r>
                <w:rPr>
                  <w:rFonts w:ascii="Segoe UI" w:hAnsi="Segoe UI"/>
                  <w:color w:val="0071E3"/>
                  <w:u w:val="single"/>
                </w:rPr>
                <w:t xml:space="preserve">https://www.sciencedirect.com/science/article/abs/pii/S0304405X05001108</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Integración variable en el tiempo es </w:t>
            </w:r>
            <w:r>
              <w:rPr>
                <w:rFonts w:ascii="Segoe UI" w:hAnsi="Segoe UI"/>
                <w:b/>
                <w:sz w:val="20"/>
              </w:rPr>
              <w:t>determinante de los retornos esperados</w:t>
            </w:r>
            <w:r>
              <w:rPr>
                <w:rFonts w:ascii="Segoe UI" w:hAnsi="Segoe UI"/>
                <w:sz w:val="20"/>
              </w:rPr>
              <w:t xml:space="preserve"> en emergentes; mayor integración → menores retornos esperados y menor costo de capital. (Verificar año/revista exactos del paper concreto antes de citar.)</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12</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(J. Economics, Finance and Admin. Science, 2015)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Emerging Markets Integration in Latin America (MILA): Chile, Colombia y Perú</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Journal of Economics, Finance and Administrative Science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Reciente / </w:t>
            </w:r>
            <w:r>
              <w:rPr>
                <w:rFonts w:ascii="Segoe UI" w:hAnsi="Segoe UI"/>
                <w:b/>
                <w:sz w:val="20"/>
              </w:rPr>
              <w:t>local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60">
              <w:r>
                <w:rPr>
                  <w:rFonts w:ascii="Segoe UI" w:hAnsi="Segoe UI"/>
                  <w:color w:val="0071E3"/>
                  <w:u w:val="single"/>
                </w:rPr>
                <w:t xml:space="preserve">https://www.elsevier.es/en-revista-journal-economics-finance-administrative-science-352-articulo-emerging-markets-integration-in-S207718861500027X</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Documenta el primer esfuerzo de integración bursátil andino (MILA). Evidencia sobre actividad, correlaciones dinámicas y asimetría informacional en Chile/Colombia/Perú. Contexto directo para discutir (semi)segmentación del mercado chileno.</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(Int. Review of Economics &amp; Finance, 2023)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Towards understanding MILA stock markets integration beyond MILA: pre-GFC vs COVID-19</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ScienceDirect S1059056023002393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61">
              <w:r>
                <w:rPr>
                  <w:rFonts w:ascii="Segoe UI" w:hAnsi="Segoe UI"/>
                  <w:color w:val="0071E3"/>
                  <w:u w:val="single"/>
                </w:rPr>
                <w:t xml:space="preserve">https://www.sciencedirect.com/science/article/abs/pii/S1059056023002393</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Analiza la integración de MILA antes de la crisis global y durante COVID-19; integración </w:t>
            </w:r>
            <w:r>
              <w:rPr>
                <w:rFonts w:ascii="Segoe UI" w:hAnsi="Segoe UI"/>
                <w:b/>
                <w:sz w:val="20"/>
              </w:rPr>
              <w:t>dependiente del régimen/episodio</w:t>
            </w:r>
            <w:r>
              <w:rPr>
                <w:rFonts w:ascii="Segoe UI" w:hAnsi="Segoe UI"/>
                <w:sz w:val="20"/>
              </w:rPr>
              <w:t>. Útil para la velocidad de incorporación de información en distintos estados de mercado.</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14</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(J. Int. Financial Markets, Inst. &amp; Money, 2023)</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Reporting quality, stock market integration, and investment efficiency in Latin America</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ScienceDirect S2214845023000182</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Reciente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62">
              <w:r>
                <w:rPr>
                  <w:rFonts w:ascii="Segoe UI" w:hAnsi="Segoe UI"/>
                  <w:color w:val="0071E3"/>
                  <w:u w:val="single"/>
                </w:rPr>
                <w:t xml:space="preserve">https://www.sciencedirect.com/science/article/pii/S2214845023000182</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La integración bursátil </w:t>
            </w:r>
            <w:r>
              <w:rPr>
                <w:rFonts w:ascii="Segoe UI" w:hAnsi="Segoe UI"/>
                <w:b/>
                <w:sz w:val="20"/>
              </w:rPr>
              <w:t>reduce la asimetría de información</w:t>
            </w:r>
            <w:r>
              <w:rPr>
                <w:rFonts w:ascii="Segoe UI" w:hAnsi="Segoe UI"/>
                <w:sz w:val="20"/>
              </w:rPr>
              <w:t xml:space="preserve"> y mejora la eficiencia de inversión en América Latina; la calidad del reporte refuerza el efecto. Conecta integración con incorporación de información a precios.</w:t>
            </w:r>
          </w:p>
        </w:tc>
      </w:tr>
      <w:tr>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15</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Cashin, Céspedes &amp; Sahay (2004)</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Commodity Currencies and the Real Exchange Rate</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Journal of Development Economics</w:t>
            </w:r>
            <w:r>
              <w:rPr>
                <w:rFonts w:ascii="Segoe UI" w:hAnsi="Segoe UI"/>
                <w:sz w:val="20"/>
              </w:rPr>
              <w:t xml:space="preserve"> (también BCCh WP 236)</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Seminal</w:t>
            </w:r>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hyperlink r:id="rId63">
              <w:r>
                <w:rPr>
                  <w:rFonts w:ascii="Segoe UI" w:hAnsi="Segoe UI"/>
                  <w:color w:val="0071E3"/>
                  <w:u w:val="single"/>
                </w:rPr>
                <w:t xml:space="preserve">https://ideas.repec.org/p/chb/bcchwp/236.html</w:t>
              </w:r>
            </w:hyperlink>
          </w:p>
        </w:tc>
        <w:tc>
          <w:tcPr>
            <w:tcW w:type="dxa" w:w="1230"/>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Para ~2/5 de los exportadores de commodities existe </w:t>
            </w:r>
            <w:r>
              <w:rPr>
                <w:rFonts w:ascii="Segoe UI" w:hAnsi="Segoe UI"/>
                <w:b/>
                <w:sz w:val="20"/>
              </w:rPr>
              <w:t>relación de largo plazo entre tipo de cambio real y precio real del commodity</w:t>
            </w:r>
            <w:r>
              <w:rPr>
                <w:rFonts w:ascii="Segoe UI" w:hAnsi="Segoe UI"/>
                <w:sz w:val="20"/>
              </w:rPr>
              <w:t>. El peso chileno es de las monedas con co-movimiento fuerte con el cobre. Canal tipo de cambio↔cobre de tu tesis.</w:t>
            </w:r>
          </w:p>
        </w:tc>
      </w:tr>
    </w:tbl>
    <w:p>
      <w:pPr>
        <w:spacing w:after="40"/>
      </w:pPr>
    </w:p>
    <w:p>
      <w:pPr>
        <w:pStyle w:val="Heading3"/>
      </w:pPr>
      <w:r>
        <w:t>Síntesis — conexión con el marco teórico</w:t>
      </w:r>
    </w:p>
    <w:p>
      <w:r>
        <w:rPr>
          <w:b/>
        </w:rPr>
        <w:t>1. APT y canales macro (factores de riesgo valorados).</w:t>
      </w:r>
      <w:r>
        <w:t xml:space="preserve"> Chen, Roll &amp; Ross (1986) y Ross (1976) [#1, #2] dan el sustento de que un conjunto reducido de innovaciones macro (producción, inflación, tasas, tipo de cambio) está sistemáticamente valorado en los retornos. La evidencia reciente en emergentes (BIST100 con VECM) [#3] muestra que el APT </w:t>
      </w:r>
      <w:r>
        <w:rPr>
          <w:b/>
        </w:rPr>
        <w:t>se sostiene mejor que el CAPM</w:t>
      </w:r>
      <w:r>
        <w:t xml:space="preserve"> y que el tipo de cambio es un factor recurrente: esto justifica directamente tu especificación multifactor para acciones del cobre con exposición a Chile.</w:t>
      </w:r>
    </w:p>
    <w:p>
      <w:r>
        <w:rPr>
          <w:b/>
        </w:rPr>
        <w:t>2. Canales de transmisión commodity → empresa.</w:t>
      </w:r>
      <w:r>
        <w:t xml:space="preserve"> El paper del BCCh de Pedersen (2015) [#4] es la pieza local más valiosa: muestra que </w:t>
      </w:r>
      <w:r>
        <w:rPr>
          <w:b/>
        </w:rPr>
        <w:t>la fuente del shock de cobre (demanda agregada vs oferta vs demanda específica) determina el signo y la persistencia del efecto</w:t>
      </w:r>
      <w:r>
        <w:t xml:space="preserve"> macro, lo que respalda identificar shocks en vez de usar el precio en crudo. Zhu et al. (2021) [#5] y el estudio de mineras de </w:t>
      </w:r>
      <w:r>
        <w:rPr>
          <w:i/>
        </w:rPr>
        <w:t>Mineral Economics</w:t>
      </w:r>
      <w:r>
        <w:t xml:space="preserve"> (2025) [#6] confirman el canal directo precio-del-metal → cotización de empresas (financiarización y co-movimiento), mientras que los estudios de exportadores vs importadores de petróleo [#7, #8] aportan la lógica del </w:t>
      </w:r>
      <w:r>
        <w:rPr>
          <w:b/>
        </w:rPr>
        <w:t>rol exportador</w:t>
      </w:r>
      <w:r>
        <w:t xml:space="preserve"> (signo positivo y respuesta más persistente para economías exportadoras como Chile) y la presencia de </w:t>
      </w:r>
      <w:r>
        <w:rPr>
          <w:b/>
        </w:rPr>
        <w:t>asimetrías/no linealidades</w:t>
      </w:r>
      <w:r>
        <w:t>.</w:t>
      </w:r>
    </w:p>
    <w:p>
      <w:r>
        <w:rPr>
          <w:b/>
        </w:rPr>
        <w:t>3. Segmentación / integración y velocidad de incorporación de información.</w:t>
      </w:r>
      <w:r>
        <w:t xml:space="preserve"> Bekaert &amp; Harvey (1995, 2005) y la línea de medidas de segmentación variable en el tiempo [#9, #10, #11] son el marco seminal: un mercado emergente puede estar parcialmente segmentado y la integración reduce retornos esperados y costo de capital. Para Chile, la literatura MILA [#12, #13] y el trabajo sobre calidad de reporte e integración [#14] aterrizan el punto: la integración </w:t>
      </w:r>
      <w:r>
        <w:rPr>
          <w:b/>
        </w:rPr>
        <w:t>reduce la asimetría informacional</w:t>
      </w:r>
      <w:r>
        <w:t xml:space="preserve"> y la incorporación de información depende del régimen de mercado (pre-GFC vs COVID-19), lo que respalda evaluar la </w:t>
      </w:r>
      <w:r>
        <w:rPr>
          <w:b/>
        </w:rPr>
        <w:t>velocidad de respuesta</w:t>
      </w:r>
      <w:r>
        <w:t xml:space="preserve"> de las acciones del cobre a noticias macro y contrastar mercados.</w:t>
      </w:r>
    </w:p>
    <w:p>
      <w:r>
        <w:rPr>
          <w:b/>
        </w:rPr>
        <w:t>4. Puente cobre ↔ tipo de cambio (nexo de los tres ejes).</w:t>
      </w:r>
      <w:r>
        <w:t xml:space="preserve"> Cashin, Céspedes &amp; Sahay (2004) [#15] cierra el circuito: el peso chileno co-mueve con el precio real del cobre en el largo plazo. Esto conecta el factor macro "tipo de cambio" del APT con el canal commodity y con el grado de (segmentación/integración) del mercado chileno frente a shocks globales del cobre.</w:t>
      </w:r>
    </w:p>
    <w:p>
      <w:r>
        <w:rPr>
          <w:b/>
        </w:rPr>
        <w:t>Vacío que refuerzan estas fuentes:</w:t>
      </w:r>
      <w:r>
        <w:t xml:space="preserve"> existe abundante evidencia (a) de factores macro en emergentes, (b) de transmisión commodity→equity (sobre todo petróleo) y (c) de segmentación en Latinoamérica/MILA, pero </w:t>
      </w:r>
      <w:r>
        <w:rPr>
          <w:b/>
        </w:rPr>
        <w:t>ninguna combina los tres</w:t>
      </w:r>
      <w:r>
        <w:t xml:space="preserve"> a nivel de empresas del cobre con exposición a Chile comparando velocidad de incorporación de información. Ese es el espacio que ocupa tu tesis.</w:t>
      </w:r>
    </w:p>
    <w:p>
      <w:pPr>
        <w:pStyle w:val="Heading3"/>
      </w:pPr>
      <w:r>
        <w:t>Notas de verificación pendientes (antes de citar en la tesis)</w:t>
      </w:r>
    </w:p>
    <w:p>
      <w:pPr>
        <w:pStyle w:val="ListBullet"/>
      </w:pPr>
      <w:r>
        <w:rPr>
          <w:b/>
        </w:rPr>
        <w:t>#6 (Mineral Economics 2025)</w:t>
      </w:r>
      <w:r>
        <w:t xml:space="preserve"> y </w:t>
      </w:r>
      <w:r>
        <w:rPr>
          <w:b/>
        </w:rPr>
        <w:t>#5/#8 (ScienceDirect)</w:t>
      </w:r>
      <w:r>
        <w:t>: páginas bajo paywall/redirección; confirmar autoría completa, volumen y páginas en la fuente original o vía biblioteca USS.</w:t>
      </w:r>
    </w:p>
    <w:p>
      <w:pPr>
        <w:pStyle w:val="ListBullet"/>
      </w:pPr>
      <w:r>
        <w:rPr>
          <w:b/>
        </w:rPr>
        <w:t>#11</w:t>
      </w:r>
      <w:r>
        <w:t xml:space="preserve">: la URL ScienceDirect S0304405X05001108 corresponde a un paper de la línea Bekaert-Harvey sobre integración variable en el tiempo; confirmar título, autores, revista y año exactos (posible </w:t>
      </w:r>
      <w:r>
        <w:rPr>
          <w:i/>
        </w:rPr>
        <w:t>Journal of Financial Economics</w:t>
      </w:r>
      <w:r>
        <w:t xml:space="preserve"> / </w:t>
      </w:r>
      <w:r>
        <w:rPr>
          <w:i/>
        </w:rPr>
        <w:t>RFS</w:t>
      </w:r>
      <w:r>
        <w:t>) antes de citar.</w:t>
      </w:r>
    </w:p>
    <w:p>
      <w:pPr>
        <w:pStyle w:val="ListBullet"/>
      </w:pPr>
      <w:r>
        <w:rPr>
          <w:b/>
        </w:rPr>
        <w:t>#2 y #15</w:t>
      </w:r>
      <w:r>
        <w:t xml:space="preserve">: verificar datos de publicación originales (Ross 1976 </w:t>
      </w:r>
      <w:r>
        <w:rPr>
          <w:i/>
        </w:rPr>
        <w:t>JET</w:t>
      </w:r>
      <w:r>
        <w:t xml:space="preserve">; Cashin et al. </w:t>
      </w:r>
      <w:r>
        <w:rPr>
          <w:i/>
        </w:rPr>
        <w:t>JDE</w:t>
      </w:r>
      <w:r>
        <w:t xml:space="preserve"> 2004), además del working paper del BCCh.</w:t>
      </w:r>
    </w:p>
    <w:p>
      <w:pPr>
        <w:pStyle w:val="ListBullet"/>
      </w:pPr>
      <w:r>
        <w:t xml:space="preserve">Cruzar estas referencias con tu </w:t>
      </w:r>
      <w:r>
        <w:rPr>
          <w:rFonts w:ascii="Consolas" w:hAnsi="Consolas"/>
          <w:sz w:val="20"/>
        </w:rPr>
        <w:t>docs/referencias.md</w:t>
      </w:r>
      <w:r>
        <w:t xml:space="preserve"> (APA 7) para no duplicar y mantener formato.</w:t>
      </w:r>
    </w:p>
    <w:p>
      <w:r>
        <w:br w:type="page"/>
      </w:r>
    </w:p>
    <w:p>
      <w:pPr>
        <w:pStyle w:val="Heading1"/>
      </w:pPr>
      <w:r>
        <w:t>Estrategia de Búsqueda Bibliográfica</w:t>
      </w:r>
    </w:p>
    <w:p>
      <w:r>
        <w:rPr>
          <w:color w:val="6E6E73"/>
          <w:sz w:val="24"/>
        </w:rPr>
        <w:t>Términos, fuentes y criterios de inclusión</w:t>
      </w:r>
    </w:p>
    <w:p>
      <w:pPr>
        <w:spacing w:before="40" w:after="200"/>
        <w:pBdr>
          <w:bottom w:val="single" w:sz="6" w:space="1" w:color="D2D2D7"/>
        </w:pBdr>
      </w:pPr>
    </w:p>
    <w:p>
      <w:pPr>
        <w:pStyle w:val="Heading3"/>
      </w:pPr>
      <w:r>
        <w:t>1. Bases de datos (en orden de prioridad)</w:t>
      </w:r>
    </w:p>
    <w:tbl>
      <w:tblPr>
        <w:tblW w:type="auto" w:w="0"/>
        <w:jc w:val="left"/>
        <w:tblLayout w:type="autofit"/>
        <w:tblLook w:firstColumn="1" w:firstRow="1" w:lastColumn="0" w:lastRow="0" w:noHBand="0" w:noVBand="1" w:val="04A0"/>
      </w:tblPr>
      <w:tblGrid>
        <w:gridCol w:w="2871"/>
        <w:gridCol w:w="2871"/>
        <w:gridCol w:w="2871"/>
      </w:tblGrid>
      <w:tr>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Base</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URL</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Para qué</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Google Scholar</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scholar.google.com</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Barrido amplio inicial; "citado por" para rastrear</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SciELO Chile</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scielo.cl</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Revistas chilenas (clave para el aporte local)</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Web of Science / Scopus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(vía biblioteca USS)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Indexadas de alto impacto; filtros por país</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Repositorio BCCh</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bcentral.cl → Documentos de Trabajo</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Working papers sobre cobre y macro chilena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Cochilco</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cochilco.cl → Estudios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Informes sectoriales del cobre</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SSRN / RePEc</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ssrn.com / ideas.repec.org</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Preprints de economía financiera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Repositorios USS / tesis CL</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(bibliotecas universitarias)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Tesis previas comparables</w:t>
            </w:r>
          </w:p>
        </w:tc>
      </w:tr>
    </w:tbl>
    <w:p>
      <w:pPr>
        <w:spacing w:after="40"/>
      </w:pPr>
    </w:p>
    <w:p>
      <w:pPr>
        <w:pStyle w:val="Heading3"/>
      </w:pPr>
      <w:r>
        <w:t>2. Cadenas de búsqueda (copiar y pegar)</w:t>
      </w:r>
    </w:p>
    <w:p>
      <w:r>
        <w:rPr>
          <w:b/>
        </w:rPr>
        <w:t>En español (SciELO, Scholar, repositorios):</w:t>
      </w:r>
      <w:r>
        <w:t xml:space="preserve"> ``</w:t>
      </w:r>
      <w:r>
        <w:rPr>
          <w:rFonts w:ascii="Consolas" w:hAnsi="Consolas"/>
          <w:sz w:val="20"/>
        </w:rPr>
        <w:t xml:space="preserve"> ("precio del cobre" OR "cobre") AND ("retornos accionarios" OR "mercado bursátil" OR "acciones") AND Chile ("tipo de cambio" OR "peso chileno") AND ("precio del cobre" OR commodity) AND Chile ("IPSA" OR "Bolsa de Santiago") AND (cobre OR commodity OR macroeconómic*) ("variables macroeconómicas") AND ("retornos" OR "valoración bursátil") AND Chile </w:t>
      </w:r>
      <w:r>
        <w:rPr>
          <w:rFonts w:ascii="Consolas" w:hAnsi="Consolas"/>
          <w:sz w:val="20"/>
        </w:rPr>
      </w:r>
    </w:p>
    <w:p>
      <w:r>
        <w:rPr>
          <w:b/>
        </w:rPr>
        <w:t>En inglés (Scopus, WoS, Scholar):</w:t>
      </w:r>
      <w:r>
        <w:t xml:space="preserve"> ``</w:t>
      </w:r>
      <w:r>
        <w:rPr>
          <w:rFonts w:ascii="Consolas" w:hAnsi="Consolas"/>
          <w:sz w:val="20"/>
        </w:rPr>
        <w:t xml:space="preserve"> ("copper price" OR copper) AND ("stock returns" OR "equity returns") AND Chile ("commodity currency" OR "commodity prices") AND ("exchange rate") AND Chile ("mining stocks" OR "mining equities") AND ("macroeconomic factors" OR "copper price") ("market segmentation" OR "informational efficiency") AND ("emerging market" OR Chile) AND equity ("arbitrage pricing theory" OR APT) AND ("macroeconomic") AND ("emerging market" OR "Latin America") </w:t>
      </w:r>
      <w:r>
        <w:rPr>
          <w:rFonts w:ascii="Consolas" w:hAnsi="Consolas"/>
          <w:sz w:val="20"/>
        </w:rPr>
      </w:r>
    </w:p>
    <w:p>
      <w:r>
        <w:rPr>
          <w:b/>
        </w:rPr>
        <w:t>Operadores útiles:</w:t>
      </w:r>
      <w:r>
        <w:t xml:space="preserve"> comillas para frase exacta; </w:t>
      </w:r>
      <w:r>
        <w:rPr>
          <w:rFonts w:ascii="Consolas" w:hAnsi="Consolas"/>
          <w:sz w:val="20"/>
        </w:rPr>
        <w:t>AND/OR</w:t>
      </w:r>
      <w:r>
        <w:t xml:space="preserve"> en mayúsculas; en Scholar usa </w:t>
      </w:r>
      <w:r>
        <w:rPr>
          <w:rFonts w:ascii="Consolas" w:hAnsi="Consolas"/>
          <w:sz w:val="20"/>
        </w:rPr>
        <w:t>source:</w:t>
      </w:r>
      <w:r>
        <w:t xml:space="preserve"> para revista y el rango de años (2005–2025). En WoS/Scopus filtra por </w:t>
      </w:r>
      <w:r>
        <w:rPr>
          <w:i/>
        </w:rPr>
        <w:t>Country = Chile</w:t>
      </w:r>
      <w:r>
        <w:t xml:space="preserve"> y </w:t>
      </w:r>
      <w:r>
        <w:rPr>
          <w:i/>
        </w:rPr>
        <w:t>Subject = Economics/Finance/Business</w:t>
      </w:r>
      <w:r>
        <w:t>.</w:t>
      </w:r>
    </w:p>
    <w:p>
      <w:pPr>
        <w:pStyle w:val="Heading3"/>
      </w:pPr>
      <w:r>
        <w:t>3. Criterios de inclusión / exclusión</w:t>
      </w:r>
    </w:p>
    <w:p>
      <w:r>
        <w:rPr>
          <w:b/>
        </w:rPr>
        <w:t>Incluir si:</w:t>
      </w:r>
      <w:r>
        <w:t xml:space="preserve"> (a) es seminal metodológico (cointegración, panel, APT, exposición cambiaria); (b) es empírico commodity→equity (cualquier país, como plantilla); (c) </w:t>
      </w:r>
      <w:r>
        <w:rPr>
          <w:b/>
        </w:rPr>
        <w:t>es chileno</w:t>
      </w:r>
      <w:r>
        <w:t xml:space="preserve"> sobre cobre-macro-mercado (prioridad máxima, aunque sea working paper). </w:t>
      </w:r>
      <w:r>
        <w:rPr>
          <w:b/>
        </w:rPr>
        <w:t>Excluir si:</w:t>
      </w:r>
      <w:r>
        <w:t xml:space="preserve"> es puramente geológico/operacional del cobre, o macro chilena sin vínculo a mercados financieros, o predicción pura sin inferencia.</w:t>
      </w:r>
    </w:p>
    <w:p>
      <w:pPr>
        <w:pStyle w:val="Heading3"/>
      </w:pPr>
      <w:r>
        <w:t>4. Objetivos concretos a encontrar (mínimos para defender el vacío)</w:t>
      </w:r>
    </w:p>
    <w:p>
      <w:pPr>
        <w:pStyle w:val="ListBullet"/>
      </w:pPr>
      <w:r>
        <w:t xml:space="preserve">[ ] ≥3 estudios chilenos que vinculen </w:t>
      </w:r>
      <w:r>
        <w:rPr>
          <w:b/>
        </w:rPr>
        <w:t>cobre y tipo de cambio / peso</w:t>
      </w:r>
      <w:r>
        <w:t xml:space="preserve"> (probable: Documentos de Trabajo del BCCh; Cashin-Céspedes-Sahay ya lo tienes como internacional).</w:t>
      </w:r>
    </w:p>
    <w:p>
      <w:pPr>
        <w:pStyle w:val="ListBullet"/>
      </w:pPr>
      <w:r>
        <w:t xml:space="preserve">[ ] ≥2 estudios sobre </w:t>
      </w:r>
      <w:r>
        <w:rPr>
          <w:b/>
        </w:rPr>
        <w:t>determinantes macro del IPSA o de acciones chilenas</w:t>
      </w:r>
      <w:r>
        <w:t>.</w:t>
      </w:r>
    </w:p>
    <w:p>
      <w:pPr>
        <w:pStyle w:val="ListBullet"/>
      </w:pPr>
      <w:r>
        <w:t xml:space="preserve">[ ] ≥1 estudio sobre </w:t>
      </w:r>
      <w:r>
        <w:rPr>
          <w:b/>
        </w:rPr>
        <w:t>exposición cambiaria de empresas chilenas</w:t>
      </w:r>
      <w:r>
        <w:t>.</w:t>
      </w:r>
    </w:p>
    <w:p>
      <w:pPr>
        <w:pStyle w:val="ListBullet"/>
      </w:pPr>
      <w:r>
        <w:t xml:space="preserve">[ ] ≥1 referencia de </w:t>
      </w:r>
      <w:r>
        <w:rPr>
          <w:b/>
        </w:rPr>
        <w:t>segmentación/eficiencia del mercado bursátil chileno</w:t>
      </w:r>
      <w:r>
        <w:t xml:space="preserve"> (para el bloque 2.5).</w:t>
      </w:r>
    </w:p>
    <w:p>
      <w:pPr>
        <w:pStyle w:val="ListBullet"/>
      </w:pPr>
      <w:r>
        <w:t xml:space="preserve">[ ] Confirmar la </w:t>
      </w:r>
      <w:r>
        <w:rPr>
          <w:b/>
        </w:rPr>
        <w:t>ausencia</w:t>
      </w:r>
      <w:r>
        <w:t xml:space="preserve"> de estudios que hagan exactamente lo tuyo (cobre + empresas + comparación de mercados) → ESE es tu vacío. Documenta qué buscaste y no encontraste.</w:t>
      </w:r>
    </w:p>
    <w:p>
      <w:pPr>
        <w:pStyle w:val="Heading3"/>
      </w:pPr>
      <w:r>
        <w:t>5. Matriz de fichaje (rellena una fila por paper)</w:t>
      </w:r>
    </w:p>
    <w:tbl>
      <w:tblPr>
        <w:tblW w:type="auto" w:w="0"/>
        <w:jc w:val="left"/>
        <w:tblLayout w:type="autofit"/>
        <w:tblLook w:firstColumn="1" w:firstRow="1" w:lastColumn="0" w:lastRow="0" w:noHBand="0" w:noVBand="1" w:val="04A0"/>
      </w:tblPr>
      <w:tblGrid>
        <w:gridCol w:w="1076"/>
        <w:gridCol w:w="1076"/>
        <w:gridCol w:w="1076"/>
        <w:gridCol w:w="1076"/>
        <w:gridCol w:w="1076"/>
        <w:gridCol w:w="1076"/>
        <w:gridCol w:w="1076"/>
        <w:gridCol w:w="1076"/>
      </w:tblGrid>
      <w:tr>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Autor (año)</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País / datos</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Período</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Variables</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Método</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Hallazgo principal</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Relación con mi tesis</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Cita verificada ✔</w:t>
            </w:r>
          </w:p>
        </w:tc>
      </w:tr>
    </w:tbl>
    <w:p>
      <w:pPr>
        <w:spacing w:after="40"/>
      </w:pPr>
    </w:p>
    <w:p>
      <w:pPr>
        <w:pStyle w:val="Heading3"/>
      </w:pPr>
      <w:r>
        <w:t>6. Gestión bibliográfica</w:t>
      </w:r>
    </w:p>
    <w:p>
      <w:pPr>
        <w:pStyle w:val="ListBullet"/>
      </w:pPr>
      <w:r>
        <w:t xml:space="preserve">Usa </w:t>
      </w:r>
      <w:r>
        <w:rPr>
          <w:b/>
        </w:rPr>
        <w:t>Zotero</w:t>
      </w:r>
      <w:r>
        <w:t xml:space="preserve"> (gratis): instala el conector del navegador, guarda cada referencia con un clic, y exporta a BibTeX (LaTeX) o a Word (cita y bibliografía automáticas).</w:t>
      </w:r>
    </w:p>
    <w:p>
      <w:pPr>
        <w:pStyle w:val="ListBullet"/>
      </w:pPr>
      <w:r>
        <w:t xml:space="preserve">Crea una colección "Tesis Cobre" con subcarpetas: </w:t>
      </w:r>
      <w:r>
        <w:rPr>
          <w:i/>
        </w:rPr>
        <w:t>Metodología</w:t>
      </w:r>
      <w:r>
        <w:t xml:space="preserve">, </w:t>
      </w:r>
      <w:r>
        <w:rPr>
          <w:i/>
        </w:rPr>
        <w:t>Commodity-Equity</w:t>
      </w:r>
      <w:r>
        <w:t xml:space="preserve">, </w:t>
      </w:r>
      <w:r>
        <w:rPr>
          <w:i/>
        </w:rPr>
        <w:t>Chile-Cobre</w:t>
      </w:r>
      <w:r>
        <w:t xml:space="preserve">, </w:t>
      </w:r>
      <w:r>
        <w:rPr>
          <w:i/>
        </w:rPr>
        <w:t>Segmentación</w:t>
      </w:r>
      <w:r>
        <w:t>.</w:t>
      </w:r>
    </w:p>
    <w:p>
      <w:pPr>
        <w:pStyle w:val="ListBullet"/>
      </w:pPr>
      <w:r>
        <w:t xml:space="preserve">Al cerrar, exporta la bibliografía en </w:t>
      </w:r>
      <w:r>
        <w:rPr>
          <w:b/>
        </w:rPr>
        <w:t>formato APA 7</w:t>
      </w:r>
      <w:r>
        <w:t xml:space="preserve"> y reemplaza el archivo </w:t>
      </w:r>
      <w:r>
        <w:rPr>
          <w:rFonts w:ascii="Consolas" w:hAnsi="Consolas"/>
          <w:sz w:val="20"/>
        </w:rPr>
        <w:t>docs/referencias.md</w:t>
      </w:r>
      <w:r>
        <w:t xml:space="preserve"> (las 32 referencias actuales ya están en APA como base verificable).</w:t>
      </w:r>
    </w:p>
    <w:p>
      <w:pPr>
        <w:pStyle w:val="Heading3"/>
      </w:pPr>
      <w:r>
        <w:t>7. Errores a evitar</w:t>
      </w:r>
    </w:p>
    <w:p>
      <w:pPr>
        <w:pStyle w:val="ListBullet"/>
      </w:pPr>
      <w:r>
        <w:t>No cites lo que no leíste (al menos el abstract y las conclusiones).</w:t>
      </w:r>
    </w:p>
    <w:p>
      <w:pPr>
        <w:pStyle w:val="ListBullet"/>
      </w:pPr>
      <w:r>
        <w:t>No mezcles "no encontré evidencia" con "no existe evidencia": documenta tu estrategia de búsqueda.</w:t>
      </w:r>
    </w:p>
    <w:p>
      <w:pPr>
        <w:pStyle w:val="ListBullet"/>
      </w:pPr>
      <w:r>
        <w:t xml:space="preserve">Verifica </w:t>
      </w:r>
      <w:r>
        <w:rPr>
          <w:b/>
        </w:rPr>
        <w:t>cada</w:t>
      </w:r>
      <w:r>
        <w:t xml:space="preserve"> cita en la fuente original antes de la entrega (año, revista, páginas).</w:t>
      </w:r>
    </w:p>
    <w:p>
      <w:r>
        <w:br w:type="page"/>
      </w:r>
    </w:p>
    <w:p>
      <w:pPr>
        <w:pStyle w:val="Heading1"/>
      </w:pPr>
      <w:r>
        <w:t>Mejoras Metodológicas</w:t>
      </w:r>
    </w:p>
    <w:p>
      <w:r>
        <w:rPr>
          <w:color w:val="6E6E73"/>
          <w:sz w:val="24"/>
        </w:rPr>
        <w:t>Batería econométrica de segunda generación</w:t>
      </w:r>
    </w:p>
    <w:p>
      <w:pPr>
        <w:spacing w:before="40" w:after="200"/>
        <w:pBdr>
          <w:bottom w:val="single" w:sz="6" w:space="1" w:color="D2D2D7"/>
        </w:pBdr>
      </w:pPr>
    </w:p>
    <w:p>
      <w:r>
        <w:rPr>
          <w:b/>
        </w:rPr>
        <w:t>Tesis:</w:t>
      </w:r>
      <w:r>
        <w:t xml:space="preserve"> </w:t>
      </w:r>
      <w:r>
        <w:rPr>
          <w:i/>
        </w:rPr>
        <w:t>Impacto de las variables macroeconómicas en los retornos accionarios de las empresas de cobre con exposición a Chile: una comparación entre el mercado bursátil internacional y el chileno, 2004–2024.</w:t>
      </w:r>
    </w:p>
    <w:p>
      <w:r>
        <w:t>Documento de asesoría metodológica. Sintetiza (1) qué caracteriza a una tesis de magíster de nota máxima en finanzas/econometría empírica según rúbricas universitarias reales, (2) mejoras concretas priorizadas que elevarían esta tesis, y (3) errores comunes que bajan la nota. Última actualización: 2026-05-31.</w:t>
      </w:r>
    </w:p>
    <w:p>
      <w:pPr>
        <w:pStyle w:val="Heading3"/>
      </w:pPr>
      <w:r>
        <w:t>1. Qué caracteriza a una tesis de NOTA MÁXIMA (rúbricas reales)</w:t>
      </w:r>
    </w:p>
    <w:p>
      <w:r>
        <w:t>Las rúbricas convergen en cinco ejes. Síntesis a partir de guías universitarias publicadas:</w:t>
      </w:r>
    </w:p>
    <w:tbl>
      <w:tblPr>
        <w:tblW w:type="auto" w:w="0"/>
        <w:jc w:val="left"/>
        <w:tblLayout w:type="autofit"/>
        <w:tblLook w:firstColumn="1" w:firstRow="1" w:lastColumn="0" w:lastRow="0" w:noHBand="0" w:noVBand="1" w:val="04A0"/>
      </w:tblPr>
      <w:tblGrid>
        <w:gridCol w:w="4306"/>
        <w:gridCol w:w="4306"/>
      </w:tblGrid>
      <w:tr>
        <w:tc>
          <w:tcPr>
            <w:tcW w:type="dxa" w:w="430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Eje</w:t>
            </w:r>
          </w:p>
        </w:tc>
        <w:tc>
          <w:tcPr>
            <w:tcW w:type="dxa" w:w="430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Qué exige el nivel sobresaliente (A / &gt;85%)</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Pregunta y aporte</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Pregunta clara que "busca ampliar el estado del conocimiento"; gap explícito; contribución delimitada y honesta (no sobre-vendida).</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Teoría y método</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Conocimiento de las teorías y métodos relevantes y </w:t>
            </w:r>
            <w:r>
              <w:rPr>
                <w:rFonts w:ascii="Segoe UI" w:hAnsi="Segoe UI"/>
                <w:b/>
                <w:sz w:val="20"/>
              </w:rPr>
              <w:t>buen juicio en la elección</w:t>
            </w:r>
            <w:r>
              <w:rPr>
                <w:rFonts w:ascii="Segoe UI" w:hAnsi="Segoe UI"/>
                <w:sz w:val="20"/>
              </w:rPr>
              <w:t>; diseño de investigación descrito de forma clara y objetiva; método aplicado de forma "apropiada y convincente".</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Análisis y resultados</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Ejecución técnicamente correcta; conclusiones apropiadas que identifican los hallazgos clave; </w:t>
            </w:r>
            <w:r>
              <w:rPr>
                <w:rFonts w:ascii="Segoe UI" w:hAnsi="Segoe UI"/>
                <w:b/>
                <w:sz w:val="20"/>
              </w:rPr>
              <w:t>reflexión crítica sobre supuestos y limitaciones</w:t>
            </w:r>
            <w:r>
              <w:rPr>
                <w:rFonts w:ascii="Segoe UI" w:hAnsi="Segoe UI"/>
                <w:sz w:val="20"/>
              </w:rPr>
              <w:t>.</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Rigor y reproducibilidad</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Diseño, ejecución, análisis e interpretación sin fallos fundamentales; transparencia que permita replicar (datos, código, semillas, versiones).</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Redacción e integridad</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Argumentación efectiva, texto legible, ética de investigación y citación correcta.</w:t>
            </w:r>
          </w:p>
        </w:tc>
      </w:tr>
    </w:tbl>
    <w:p>
      <w:pPr>
        <w:spacing w:after="40"/>
      </w:pPr>
    </w:p>
    <w:p>
      <w:r>
        <w:t>Fuentes:</w:t>
      </w:r>
    </w:p>
    <w:p>
      <w:pPr>
        <w:pStyle w:val="ListBullet"/>
      </w:pPr>
      <w:r>
        <w:t xml:space="preserve">NHH (Norwegian School of Economics), </w:t>
      </w:r>
      <w:r>
        <w:rPr>
          <w:i/>
        </w:rPr>
        <w:t>Assessment criteria for the Master Thesis</w:t>
      </w:r>
      <w:r>
        <w:t xml:space="preserve"> — </w:t>
      </w:r>
      <w:hyperlink r:id="rId64">
        <w:r>
          <w:rPr>
            <w:rFonts w:ascii="Segoe UI" w:hAnsi="Segoe UI"/>
            <w:color w:val="0071E3"/>
            <w:u w:val="single"/>
          </w:rPr>
          <w:t xml:space="preserve">https://www.nhh.no/en/for-students/masters-thesis/assessment-criteria/</w:t>
        </w:r>
      </w:hyperlink>
    </w:p>
    <w:p>
      <w:pPr>
        <w:pStyle w:val="ListBullet"/>
      </w:pPr>
      <w:r>
        <w:t xml:space="preserve">University of the Free State, </w:t>
      </w:r>
      <w:r>
        <w:rPr>
          <w:i/>
        </w:rPr>
        <w:t>Rubric Masters Dissertation</w:t>
      </w:r>
      <w:r>
        <w:t xml:space="preserve"> (criterios para puntajes &gt;85%) — </w:t>
      </w:r>
      <w:hyperlink r:id="rId65">
        <w:r>
          <w:rPr>
            <w:rFonts w:ascii="Segoe UI" w:hAnsi="Segoe UI"/>
            <w:color w:val="0071E3"/>
            <w:u w:val="single"/>
          </w:rPr>
          <w:t xml:space="preserve">https://www.ufs.ac.za/docs/default-source/regulations-documents/rubric-masters-dissertation-1004-eng.pdf</w:t>
        </w:r>
      </w:hyperlink>
    </w:p>
    <w:p>
      <w:pPr>
        <w:pStyle w:val="ListBullet"/>
      </w:pPr>
      <w:r>
        <w:t xml:space="preserve">University of Twente (EST), </w:t>
      </w:r>
      <w:r>
        <w:rPr>
          <w:i/>
        </w:rPr>
        <w:t>Master's Thesis Rubric and Grading Form</w:t>
      </w:r>
      <w:r>
        <w:t xml:space="preserve"> — </w:t>
      </w:r>
      <w:hyperlink r:id="rId66">
        <w:r>
          <w:rPr>
            <w:rFonts w:ascii="Segoe UI" w:hAnsi="Segoe UI"/>
            <w:color w:val="0071E3"/>
            <w:u w:val="single"/>
          </w:rPr>
          <w:t xml:space="preserve">https://www.utwente.nl/en/est/masterest/final-project-trajectory-started-in-2025-2026/assessment-form-and-rubric-final-project-est.pdf</w:t>
        </w:r>
      </w:hyperlink>
    </w:p>
    <w:p>
      <w:pPr>
        <w:pStyle w:val="ListBullet"/>
      </w:pPr>
      <w:r>
        <w:t xml:space="preserve">NIH rigor &amp; reproducibility: Lithgow et al., </w:t>
      </w:r>
      <w:r>
        <w:rPr>
          <w:i/>
        </w:rPr>
        <w:t>Rigor Me This</w:t>
      </w:r>
      <w:r>
        <w:t xml:space="preserve"> — </w:t>
      </w:r>
      <w:hyperlink r:id="rId67">
        <w:r>
          <w:rPr>
            <w:rFonts w:ascii="Segoe UI" w:hAnsi="Segoe UI"/>
            <w:color w:val="0071E3"/>
            <w:u w:val="single"/>
          </w:rPr>
          <w:t xml:space="preserve">https://www.ncbi.nlm.nih.gov/pmc/articles/PMC9283916/</w:t>
        </w:r>
      </w:hyperlink>
    </w:p>
    <w:p>
      <w:pPr>
        <w:pStyle w:val="ListBullet"/>
      </w:pPr>
      <w:r>
        <w:t xml:space="preserve">Reproducibilidad/robustez en economía empírica: Lusher et al. (Nature) — </w:t>
      </w:r>
      <w:hyperlink r:id="rId68">
        <w:r>
          <w:rPr>
            <w:rFonts w:ascii="Segoe UI" w:hAnsi="Segoe UI"/>
            <w:color w:val="0071E3"/>
            <w:u w:val="single"/>
          </w:rPr>
          <w:t xml:space="preserve">https://lrlusher.weebly.com/uploads/1/0/0/4/10048967/meta_paper_i__nature_v2___4_.pdf</w:t>
        </w:r>
      </w:hyperlink>
    </w:p>
    <w:p>
      <w:r>
        <w:rPr>
          <w:b/>
        </w:rPr>
        <w:t>Lectura para esta tesis:</w:t>
      </w:r>
      <w:r>
        <w:t xml:space="preserve"> la suite econométrica ya es ambiciosa (cubre el eje "teoría y método" con holgura). Donde se gana o se pierde la nota máxima es en los ejes </w:t>
      </w:r>
      <w:r>
        <w:rPr>
          <w:b/>
        </w:rPr>
        <w:t>rigor/identificación</w:t>
      </w:r>
      <w:r>
        <w:t xml:space="preserve">, </w:t>
      </w:r>
      <w:r>
        <w:rPr>
          <w:b/>
        </w:rPr>
        <w:t>reproducibilidad</w:t>
      </w:r>
      <w:r>
        <w:t xml:space="preserve"> y </w:t>
      </w:r>
      <w:r>
        <w:rPr>
          <w:b/>
        </w:rPr>
        <w:t>reflexión crítica</w:t>
      </w:r>
      <w:r>
        <w:t xml:space="preserve"> — precisamente donde concentro las recomendaciones de la sección 2.</w:t>
      </w:r>
    </w:p>
    <w:p>
      <w:pPr>
        <w:pStyle w:val="Heading3"/>
      </w:pPr>
      <w:r>
        <w:t>2. Mejoras priorizadas y accionables</w:t>
      </w:r>
    </w:p>
    <w:p>
      <w:r>
        <w:t>Leyenda de estado: ✅ ya cubierto · 🟡 parcial / a reforzar · ❌ falta.</w:t>
      </w:r>
    </w:p>
    <w:p>
      <w:pPr>
        <w:pStyle w:val="Heading3"/>
      </w:pPr>
      <w:r>
        <w:t>Prioridad ALTA — alto impacto, implementable en Python (statsmodels/linearmodels/arch)</w:t>
      </w:r>
    </w:p>
    <w:p>
      <w:pPr>
        <w:pStyle w:val="Heading3"/>
      </w:pPr>
      <w:r>
        <w:t>2.1 ❌ Local Projections (Jordà 2005) como IRF alternativa al VAR/VECM</w:t>
      </w:r>
    </w:p>
    <w:p>
      <w:r>
        <w:t xml:space="preserve">La comisión valora ver que las IRF no dependen de una sola tecnología. Las LP se estiman por OLS horizonte a horizonte, son </w:t>
      </w:r>
      <w:r>
        <w:rPr>
          <w:b/>
        </w:rPr>
        <w:t>más robustas a mala especificación</w:t>
      </w:r>
      <w:r>
        <w:t xml:space="preserve"> (no propagan el error de lags al iterar hacia adelante) y permiten bandas analíticas simples. Úsalas como </w:t>
      </w:r>
      <w:r>
        <w:rPr>
          <w:b/>
        </w:rPr>
        <w:t>chequeo de robustez de tus IRF del VAR</w:t>
      </w:r>
      <w:r>
        <w:t>: si la forma y el signo coinciden, tu narrativa se blinda.</w:t>
      </w:r>
    </w:p>
    <w:p>
      <w:pPr>
        <w:pStyle w:val="ListBullet"/>
      </w:pPr>
      <w:r>
        <w:t xml:space="preserve">Implementación: para cada horizonte </w:t>
      </w:r>
      <w:r>
        <w:rPr>
          <w:rFonts w:ascii="Consolas" w:hAnsi="Consolas"/>
          <w:sz w:val="20"/>
        </w:rPr>
        <w:t>h</w:t>
      </w:r>
      <w:r>
        <w:t xml:space="preserve">, regresión </w:t>
      </w:r>
      <w:r>
        <w:rPr>
          <w:rFonts w:ascii="Consolas" w:hAnsi="Consolas"/>
          <w:sz w:val="20"/>
        </w:rPr>
        <w:t>ret_{t+h} = α + β_h · shock_t + controles_{t-1} + Σ lags + ε</w:t>
      </w:r>
      <w:r>
        <w:t xml:space="preserve">, con HAC/Newey-West. </w:t>
      </w:r>
      <w:r>
        <w:rPr>
          <w:rFonts w:ascii="Consolas" w:hAnsi="Consolas"/>
          <w:sz w:val="20"/>
        </w:rPr>
        <w:t>statsmodels.OLS</w:t>
      </w:r>
      <w:r>
        <w:t xml:space="preserve"> + </w:t>
      </w:r>
      <w:r>
        <w:rPr>
          <w:rFonts w:ascii="Consolas" w:hAnsi="Consolas"/>
          <w:sz w:val="20"/>
        </w:rPr>
        <w:t>cov_type='HAC'</w:t>
      </w:r>
      <w:r>
        <w:t xml:space="preserve">. Graficar </w:t>
      </w:r>
      <w:r>
        <w:rPr>
          <w:rFonts w:ascii="Consolas" w:hAnsi="Consolas"/>
          <w:sz w:val="20"/>
        </w:rPr>
        <w:t>β_h</w:t>
      </w:r>
      <w:r>
        <w:t xml:space="preserve"> con IC 90/95%.</w:t>
      </w:r>
    </w:p>
    <w:p>
      <w:pPr>
        <w:pStyle w:val="ListBullet"/>
      </w:pPr>
      <w:r>
        <w:t>LP no lineales por estado del ciclo (interacción con tu dummy expansión/contracción BBQ) refuerzan directamente OE5 — es el "state-dependent LP" que impresiona.</w:t>
      </w:r>
    </w:p>
    <w:p>
      <w:pPr>
        <w:pStyle w:val="ListBullet"/>
      </w:pPr>
      <w:r>
        <w:t xml:space="preserve">Refs: Jordà (2005, AER) — </w:t>
      </w:r>
      <w:hyperlink r:id="rId69">
        <w:r>
          <w:rPr>
            <w:rFonts w:ascii="Segoe UI" w:hAnsi="Segoe UI"/>
            <w:color w:val="0071E3"/>
            <w:u w:val="single"/>
          </w:rPr>
          <w:t xml:space="preserve">https://www.aeaweb.org/articles?id=10.1257/0002828053828518</w:t>
        </w:r>
      </w:hyperlink>
      <w:r>
        <w:t xml:space="preserve"> ; Montiel Olea et al., </w:t>
      </w:r>
      <w:r>
        <w:rPr>
          <w:i/>
        </w:rPr>
        <w:t>Local Projections or VARs? A Primer</w:t>
      </w:r>
      <w:r>
        <w:t xml:space="preserve"> — </w:t>
      </w:r>
      <w:hyperlink r:id="rId70">
        <w:r>
          <w:rPr>
            <w:rFonts w:ascii="Segoe UI" w:hAnsi="Segoe UI"/>
            <w:color w:val="0071E3"/>
            <w:u w:val="single"/>
          </w:rPr>
          <w:t xml:space="preserve">https://arxiv.org/pdf/2503.17144</w:t>
        </w:r>
      </w:hyperlink>
      <w:r>
        <w:t xml:space="preserve"> ; Plagborg-Møller &amp; Wolf, </w:t>
      </w:r>
      <w:r>
        <w:rPr>
          <w:i/>
        </w:rPr>
        <w:t>LP and VARs Estimate the Same IRF</w:t>
      </w:r>
      <w:r>
        <w:t xml:space="preserve"> — </w:t>
      </w:r>
      <w:hyperlink r:id="rId71">
        <w:r>
          <w:rPr>
            <w:rFonts w:ascii="Segoe UI" w:hAnsi="Segoe UI"/>
            <w:color w:val="0071E3"/>
            <w:u w:val="single"/>
          </w:rPr>
          <w:t xml:space="preserve">https://www.mikkelpm.com/files/lp_var.pdf</w:t>
        </w:r>
      </w:hyperlink>
    </w:p>
    <w:p>
      <w:pPr>
        <w:pStyle w:val="Heading3"/>
      </w:pPr>
      <w:r>
        <w:t>2.2 🟡 Inferencia robusta con pocos clusters / pocas series (wild cluster bootstrap)</w:t>
      </w:r>
    </w:p>
    <w:p>
      <w:r>
        <w:t xml:space="preserve">Tus paneles tienen </w:t>
      </w:r>
      <w:r>
        <w:rPr>
          <w:b/>
        </w:rPr>
        <w:t>N pequeño</w:t>
      </w:r>
      <w:r>
        <w:t xml:space="preserve"> (B=5, C=4 empresas). Driscoll-Kraay es correcto para dependencia cross-sectional, pero su validez descansa en </w:t>
      </w:r>
      <w:r>
        <w:rPr>
          <w:b/>
        </w:rPr>
        <w:t>T grande y número de unidades razonable</w:t>
      </w:r>
      <w:r>
        <w:t xml:space="preserve">; con N=4–5 el clustering asintótico es frágil. Reporta además </w:t>
      </w:r>
      <w:r>
        <w:rPr>
          <w:b/>
        </w:rPr>
        <w:t>wild cluster bootstrap-t</w:t>
      </w:r>
      <w:r>
        <w:t xml:space="preserve"> (Cameron-Gelbach-Miller) como inferencia complementaria sobre los coeficientes macro clave. Si la significancia sobrevive, tienes un argumento muy fuerte; si no, lo reportas con honestidad (eso sube nota, no la baja).</w:t>
      </w:r>
    </w:p>
    <w:p>
      <w:pPr>
        <w:pStyle w:val="ListBullet"/>
      </w:pPr>
      <w:r>
        <w:t xml:space="preserve">Implementación: bootstrap manual con remuestreo de signos de Rademacher por cluster (empresa), o vía </w:t>
      </w:r>
      <w:r>
        <w:rPr>
          <w:rFonts w:ascii="Consolas" w:hAnsi="Consolas"/>
          <w:sz w:val="20"/>
        </w:rPr>
        <w:t>wildboottest</w:t>
      </w:r>
      <w:r>
        <w:t xml:space="preserve"> (paquete Python </w:t>
      </w:r>
      <w:r>
        <w:rPr>
          <w:rFonts w:ascii="Consolas" w:hAnsi="Consolas"/>
          <w:sz w:val="20"/>
        </w:rPr>
        <w:t>wildboottest</w:t>
      </w:r>
      <w:r>
        <w:t>). Complementa, no reemplaza, a Driscoll-Kraay.</w:t>
      </w:r>
    </w:p>
    <w:p>
      <w:pPr>
        <w:pStyle w:val="ListBullet"/>
      </w:pPr>
      <w:r>
        <w:t xml:space="preserve">Refs: Hoechle (2007), </w:t>
      </w:r>
      <w:r>
        <w:rPr>
          <w:i/>
        </w:rPr>
        <w:t>Robust SE for panel regressions with cross-sectional dependence</w:t>
      </w:r>
      <w:r>
        <w:t xml:space="preserve"> (xtscc) — </w:t>
      </w:r>
      <w:hyperlink r:id="rId72">
        <w:r>
          <w:rPr>
            <w:rFonts w:ascii="Segoe UI" w:hAnsi="Segoe UI"/>
            <w:color w:val="0071E3"/>
            <w:u w:val="single"/>
          </w:rPr>
          <w:t xml:space="preserve">https://journals.sagepub.com/doi/pdf/10.1177/1536867X0700700301</w:t>
        </w:r>
      </w:hyperlink>
      <w:r>
        <w:t xml:space="preserve"> ; literatura wild bootstrap pocos clusters — </w:t>
      </w:r>
      <w:hyperlink r:id="rId73">
        <w:r>
          <w:rPr>
            <w:rFonts w:ascii="Segoe UI" w:hAnsi="Segoe UI"/>
            <w:color w:val="0071E3"/>
            <w:u w:val="single"/>
          </w:rPr>
          <w:t xml:space="preserve">https://arxiv.org/pdf/2301.04522</w:t>
        </w:r>
      </w:hyperlink>
    </w:p>
    <w:p>
      <w:pPr>
        <w:pStyle w:val="Heading3"/>
      </w:pPr>
      <w:r>
        <w:t>2.3 ❌ Corrección por pruebas múltiples (FWER/FDR)</w:t>
      </w:r>
    </w:p>
    <w:p>
      <w:r>
        <w:t>Estimas muchos coeficientes (varias macro × 3 muestras × subperíodos × fases del ciclo). Sin corregir, parte de los "</w:t>
      </w:r>
      <w:r>
        <w:rPr>
          <w:b/>
        </w:rPr>
        <w:t xml:space="preserve">*" pueden ser falsos positivos — un evaluador con ojo econométrico lo detecta. Aplica </w:t>
      </w:r>
      <w:r>
        <w:t>Benjamini-Hochberg (FDR)** a la familia de p-valores de las hipótesis principales H1–H6, y reporta cuáles sobreviven. Es media página de código y demuestra madurez estadística.</w:t>
      </w:r>
    </w:p>
    <w:p>
      <w:pPr>
        <w:pStyle w:val="ListBullet"/>
      </w:pPr>
      <w:r>
        <w:t xml:space="preserve">Implementación: </w:t>
      </w:r>
      <w:r>
        <w:rPr>
          <w:rFonts w:ascii="Consolas" w:hAnsi="Consolas"/>
          <w:sz w:val="20"/>
        </w:rPr>
        <w:t>statsmodels.stats.multitest.multipletests(pvals, method='fdr_bh')</w:t>
      </w:r>
      <w:r>
        <w:t>. Reportar p-valores crudos y ajustados lado a lado.</w:t>
      </w:r>
    </w:p>
    <w:p>
      <w:pPr>
        <w:pStyle w:val="ListBullet"/>
      </w:pPr>
      <w:r>
        <w:t xml:space="preserve">Refs: NBER, </w:t>
      </w:r>
      <w:r>
        <w:rPr>
          <w:i/>
        </w:rPr>
        <w:t>Hierarchical Multiple Testing in Empirical [Asset Pricing]</w:t>
      </w:r>
      <w:r>
        <w:t xml:space="preserve"> — </w:t>
      </w:r>
      <w:hyperlink r:id="rId74">
        <w:r>
          <w:rPr>
            <w:rFonts w:ascii="Segoe UI" w:hAnsi="Segoe UI"/>
            <w:color w:val="0071E3"/>
            <w:u w:val="single"/>
          </w:rPr>
          <w:t xml:space="preserve">https://www.nber.org/system/files/working_papers/w34050/w34050.pdf</w:t>
        </w:r>
      </w:hyperlink>
      <w:r>
        <w:t xml:space="preserve"> ; revisión FDR (Cai) — </w:t>
      </w:r>
      <w:hyperlink r:id="rId75">
        <w:r>
          <w:rPr>
            <w:rFonts w:ascii="Segoe UI" w:hAnsi="Segoe UI"/>
            <w:color w:val="0071E3"/>
            <w:u w:val="single"/>
          </w:rPr>
          <w:t xml:space="preserve">http://www-stat.wharton.upenn.edu/~tcai/paper/FDR-Review.pdf</w:t>
        </w:r>
      </w:hyperlink>
    </w:p>
    <w:p>
      <w:pPr>
        <w:pStyle w:val="Heading3"/>
      </w:pPr>
      <w:r>
        <w:t>2.4 🟡 Fortalecer la identificación: de "impacto" a algo más causal</w:t>
      </w:r>
    </w:p>
    <w:p>
      <w:r>
        <w:t xml:space="preserve">El diseño es explicativo (correcto para una tesis de medición), pero la comisión preguntará por endogeneidad/simultaneidad (¿el retorno del cobre causa el precio, o viceversa? ¿variables omitidas?). No necesitas un experimento, pero sí </w:t>
      </w:r>
      <w:r>
        <w:rPr>
          <w:b/>
        </w:rPr>
        <w:t>blindar la interpretación</w:t>
      </w:r>
      <w:r>
        <w:t>:</w:t>
      </w:r>
    </w:p>
    <w:p>
      <w:pPr>
        <w:pStyle w:val="ListBullet"/>
      </w:pPr>
      <w:r>
        <w:rPr>
          <w:b/>
        </w:rPr>
        <w:t>Sorpresas / componente no anticipado</w:t>
      </w:r>
      <w:r>
        <w:t xml:space="preserve"> en lugar de niveles: regresar retornos sobre la </w:t>
      </w:r>
      <w:r>
        <w:rPr>
          <w:i/>
        </w:rPr>
        <w:t>innovación</w:t>
      </w:r>
      <w:r>
        <w:t xml:space="preserve"> macro (residuo de un AR o "surprise" = realizado − esperado) reduce el problema de simultaneidad y es el estándar en la literatura de news/announcement. La evidencia muestra respuestas de ~11–25 pb por 1 SD de sorpresa.</w:t>
      </w:r>
    </w:p>
    <w:p>
      <w:pPr>
        <w:pStyle w:val="ListBullet"/>
      </w:pPr>
      <w:r>
        <w:rPr>
          <w:b/>
        </w:rPr>
        <w:t>Predeterminación temporal:</w:t>
      </w:r>
      <w:r>
        <w:t xml:space="preserve"> usa controles rezagados (ya lo haces en VAR; hazlo explícito en panel).</w:t>
      </w:r>
    </w:p>
    <w:p>
      <w:pPr>
        <w:pStyle w:val="ListBullet"/>
      </w:pPr>
      <w:r>
        <w:rPr>
          <w:b/>
        </w:rPr>
        <w:t>Granger / exogeneidad por bloques</w:t>
      </w:r>
      <w:r>
        <w:t xml:space="preserve"> ya lo tienes (cobre→retorno F=9.1, p=0.003): preséntalo como evidencia de dirección, con la salvedad de que Granger ≠ causalidad estructural.</w:t>
      </w:r>
    </w:p>
    <w:p>
      <w:pPr>
        <w:pStyle w:val="ListBullet"/>
      </w:pPr>
      <w:r>
        <w:t xml:space="preserve">Refs: respuesta de acciones a noticias macro — </w:t>
      </w:r>
      <w:hyperlink r:id="rId76">
        <w:r>
          <w:rPr>
            <w:rFonts w:ascii="Segoe UI" w:hAnsi="Segoe UI"/>
            <w:color w:val="0071E3"/>
            <w:u w:val="single"/>
          </w:rPr>
          <w:t xml:space="preserve">https://arxiv.org/pdf/2212.04525</w:t>
        </w:r>
      </w:hyperlink>
      <w:r>
        <w:t xml:space="preserve"> ; anuncios macro y mercados — </w:t>
      </w:r>
      <w:hyperlink r:id="rId77">
        <w:r>
          <w:rPr>
            <w:rFonts w:ascii="Segoe UI" w:hAnsi="Segoe UI"/>
            <w:color w:val="0071E3"/>
            <w:u w:val="single"/>
          </w:rPr>
          <w:t xml:space="preserve">https://actacommercii.co.za/index.php/acta/article/view/1135/2106</w:t>
        </w:r>
      </w:hyperlink>
    </w:p>
    <w:p>
      <w:pPr>
        <w:pStyle w:val="Heading3"/>
      </w:pPr>
      <w:r>
        <w:t>2.5 🟡 GARCH: ampliar a la familia asimétrica y vincularlo a la pregunta</w:t>
      </w:r>
    </w:p>
    <w:p>
      <w:r>
        <w:t xml:space="preserve">Ya tienes GARCH(1,1). Para nota máxima, motiva el modelo con la pregunta (¿la transmisión del shock macro a la </w:t>
      </w:r>
      <w:r>
        <w:rPr>
          <w:b/>
        </w:rPr>
        <w:t>volatilidad</w:t>
      </w:r>
      <w:r>
        <w:t xml:space="preserve"> difiere entre mercado global y chileno?) y compara contra </w:t>
      </w:r>
      <w:r>
        <w:rPr>
          <w:b/>
        </w:rPr>
        <w:t>EGARCH / GJR-GARCH</w:t>
      </w:r>
      <w:r>
        <w:t xml:space="preserve"> para capturar apalancamiento (las malas noticias elevan más la volatilidad). Selección por AIC/BIC y test de signo de Engle-Ng. El paquete </w:t>
      </w:r>
      <w:r>
        <w:rPr>
          <w:rFonts w:ascii="Consolas" w:hAnsi="Consolas"/>
          <w:sz w:val="20"/>
        </w:rPr>
        <w:t>arch</w:t>
      </w:r>
      <w:r>
        <w:t xml:space="preserve"> lo soporta nativamente.</w:t>
      </w:r>
    </w:p>
    <w:p>
      <w:pPr>
        <w:pStyle w:val="ListBullet"/>
      </w:pPr>
      <w:r>
        <w:t xml:space="preserve">Implementación: </w:t>
      </w:r>
      <w:r>
        <w:rPr>
          <w:rFonts w:ascii="Consolas" w:hAnsi="Consolas"/>
          <w:sz w:val="20"/>
        </w:rPr>
        <w:t>arch_model(y, vol='EGARCH'...)</w:t>
      </w:r>
      <w:r>
        <w:t xml:space="preserve"> y </w:t>
      </w:r>
      <w:r>
        <w:rPr>
          <w:rFonts w:ascii="Consolas" w:hAnsi="Consolas"/>
          <w:sz w:val="20"/>
        </w:rPr>
        <w:t>o=1</w:t>
      </w:r>
      <w:r>
        <w:t xml:space="preserve"> para GJR; comparar log-lik/BIC y persistencia (α+β) entre muestras B vs A/C. Opcional: </w:t>
      </w:r>
      <w:r>
        <w:rPr>
          <w:b/>
        </w:rPr>
        <w:t>GARCH-X</w:t>
      </w:r>
      <w:r>
        <w:t xml:space="preserve"> con la variable macro como regresor en la varianza, o </w:t>
      </w:r>
      <w:r>
        <w:rPr>
          <w:b/>
        </w:rPr>
        <w:t>DCC</w:t>
      </w:r>
      <w:r>
        <w:t xml:space="preserve"> para correlación dinámica global↔local.</w:t>
      </w:r>
    </w:p>
    <w:p>
      <w:pPr>
        <w:pStyle w:val="Heading3"/>
      </w:pPr>
      <w:r>
        <w:t>Prioridad MEDIA — robustez y presentación que distinguen</w:t>
      </w:r>
    </w:p>
    <w:p>
      <w:pPr>
        <w:pStyle w:val="Heading3"/>
      </w:pPr>
      <w:r>
        <w:t>2.6 🟡 Batería de robustez sistemática (placebo, submuestras, especificaciones alternativas)</w:t>
      </w:r>
    </w:p>
    <w:p>
      <w:r>
        <w:t>Una tabla de robustez bien armada es de lo que más mueve la nota. Faltan o conviene formalizar:</w:t>
      </w:r>
    </w:p>
    <w:p>
      <w:pPr>
        <w:pStyle w:val="ListBullet"/>
      </w:pPr>
      <w:r>
        <w:rPr>
          <w:b/>
        </w:rPr>
        <w:t>Submuestras / estabilidad temporal:</w:t>
      </w:r>
      <w:r>
        <w:t xml:space="preserve"> ya reportas 2004-19 vs 2020-24 (β cobre 0.56→0.75) y el quiebre 2008 (Gregory-Hansen). Conviértelo en una </w:t>
      </w:r>
      <w:r>
        <w:rPr>
          <w:b/>
        </w:rPr>
        <w:t>tabla de robustez</w:t>
      </w:r>
      <w:r>
        <w:t xml:space="preserve"> explícita, no en texto suelto.</w:t>
      </w:r>
    </w:p>
    <w:p>
      <w:pPr>
        <w:pStyle w:val="ListBullet"/>
      </w:pPr>
      <w:r>
        <w:rPr>
          <w:b/>
        </w:rPr>
        <w:t>Placebo temporal:</w:t>
      </w:r>
      <w:r>
        <w:t xml:space="preserve"> reasignar el evento/quiebre a fechas falsas y verificar que el efecto desaparece.</w:t>
      </w:r>
    </w:p>
    <w:p>
      <w:pPr>
        <w:pStyle w:val="ListBullet"/>
      </w:pPr>
      <w:r>
        <w:rPr>
          <w:b/>
        </w:rPr>
        <w:t>Sensibilidad a la transformación:</w:t>
      </w:r>
      <w:r>
        <w:t xml:space="preserve"> retornos log vs simples; winsorización al 1% de outliers; con/sin COVID.</w:t>
      </w:r>
    </w:p>
    <w:p>
      <w:pPr>
        <w:pStyle w:val="ListBullet"/>
      </w:pPr>
      <w:r>
        <w:rPr>
          <w:b/>
        </w:rPr>
        <w:t>Especificaciones alternativas de SE:</w:t>
      </w:r>
      <w:r>
        <w:t xml:space="preserve"> OLS-robust vs cluster por empresa vs Driscoll-Kraay vs wild bootstrap, todas en una fila comparativa.</w:t>
      </w:r>
    </w:p>
    <w:p>
      <w:pPr>
        <w:pStyle w:val="ListBullet"/>
      </w:pPr>
      <w:r>
        <w:rPr>
          <w:b/>
        </w:rPr>
        <w:t>Sensibilidad a controles:</w:t>
      </w:r>
      <w:r>
        <w:t xml:space="preserve"> mostrar coeficiente clave con y sin precio de cada commodity (el control que ancla tu diseño de triangulación).</w:t>
      </w:r>
    </w:p>
    <w:p>
      <w:pPr>
        <w:pStyle w:val="ListBullet"/>
      </w:pPr>
      <w:r>
        <w:t xml:space="preserve">Refs (robustez/reproducibilidad en econ empírica): </w:t>
      </w:r>
      <w:hyperlink r:id="rId68">
        <w:r>
          <w:rPr>
            <w:rFonts w:ascii="Segoe UI" w:hAnsi="Segoe UI"/>
            <w:color w:val="0071E3"/>
            <w:u w:val="single"/>
          </w:rPr>
          <w:t xml:space="preserve">https://lrlusher.weebly.com/uploads/1/0/0/4/10048967/meta_paper_i__nature_v2___4_.pdf</w:t>
        </w:r>
      </w:hyperlink>
    </w:p>
    <w:p>
      <w:pPr>
        <w:pStyle w:val="Heading3"/>
      </w:pPr>
      <w:r>
        <w:t>2.7 ✅→🟡 Cointegración: cerrar el resultado "inconcluso" de H5</w:t>
      </w:r>
    </w:p>
    <w:p>
      <w:r>
        <w:t>Tienes ARDL, Johansen y Gregory-Hansen (quiebre 2008) — cobertura excelente. El problema es que H5 quedó "inconcluso". Para nota máxima:</w:t>
      </w:r>
    </w:p>
    <w:p>
      <w:pPr>
        <w:pStyle w:val="ListBullet"/>
      </w:pPr>
      <w:r>
        <w:t xml:space="preserve">Reporta los </w:t>
      </w:r>
      <w:r>
        <w:rPr>
          <w:b/>
        </w:rPr>
        <w:t>bounds test</w:t>
      </w:r>
      <w:r>
        <w:t xml:space="preserve"> del ARDL (F y t) con sus valores críticos I(0)/I(1) y la conclusión explícita (cointegra / no / zona inconclusa).</w:t>
      </w:r>
    </w:p>
    <w:p>
      <w:pPr>
        <w:pStyle w:val="ListBullet"/>
      </w:pPr>
      <w:r>
        <w:t xml:space="preserve">Si Pesaran indica cointegración, presenta el </w:t>
      </w:r>
      <w:r>
        <w:rPr>
          <w:b/>
        </w:rPr>
        <w:t>ECM con velocidad de ajuste</w:t>
      </w:r>
      <w:r>
        <w:t xml:space="preserve"> (coef. del término de corrección de error, signo negativo y significativo = evidencia fuerte) e interprétalo económicamente.</w:t>
      </w:r>
    </w:p>
    <w:p>
      <w:pPr>
        <w:pStyle w:val="ListBullet"/>
      </w:pPr>
      <w:r>
        <w:t xml:space="preserve">Triangula: si ARDL-bounds, Johansen-traza y Gregory-Hansen apuntan distinto, explica </w:t>
      </w:r>
      <w:r>
        <w:rPr>
          <w:i/>
        </w:rPr>
        <w:t>por qué</w:t>
      </w:r>
      <w:r>
        <w:t xml:space="preserve"> (quiebre estructural, potencia de cada test). Convertir un "inconcluso" en una discusión razonada </w:t>
      </w:r>
      <w:r>
        <w:rPr>
          <w:b/>
        </w:rPr>
        <w:t>sube la nota</w:t>
      </w:r>
      <w:r>
        <w:t>.</w:t>
      </w:r>
    </w:p>
    <w:p>
      <w:pPr>
        <w:pStyle w:val="Heading3"/>
      </w:pPr>
      <w:r>
        <w:t>2.8 ❌ Diagnóstico de dependencia transversal y heterogeneidad de pendientes</w:t>
      </w:r>
    </w:p>
    <w:p>
      <w:r>
        <w:t>Ya validaste dependencia cross-sectional con Pesaran CD (24.5, p≈0) — perfecto, justifica Driscoll-Kraay. Complementa con:</w:t>
      </w:r>
    </w:p>
    <w:p>
      <w:pPr>
        <w:pStyle w:val="ListBullet"/>
      </w:pPr>
      <w:r>
        <w:rPr>
          <w:b/>
        </w:rPr>
        <w:t>CIPS (Pesaran)</w:t>
      </w:r>
      <w:r>
        <w:t xml:space="preserve">: raíz unitaria de segunda generación que es </w:t>
      </w:r>
      <w:r>
        <w:rPr>
          <w:i/>
        </w:rPr>
        <w:t>robusta a dependencia transversal</w:t>
      </w:r>
      <w:r>
        <w:t xml:space="preserve"> (tus ADF/PP/KPSS son de primera generación y pueden fallar bajo CD). Refuerza tu sección de raíz unitaria.</w:t>
      </w:r>
    </w:p>
    <w:p>
      <w:pPr>
        <w:pStyle w:val="ListBullet"/>
      </w:pPr>
      <w:r>
        <w:rPr>
          <w:b/>
        </w:rPr>
        <w:t>Test de homogeneidad de pendientes (Pesaran-Yamagata)</w:t>
      </w:r>
      <w:r>
        <w:t xml:space="preserve">: si las pendientes difieren entre empresas, el FE pooled puede sesgar; podrías necesitar </w:t>
      </w:r>
      <w:r>
        <w:rPr>
          <w:b/>
        </w:rPr>
        <w:t>Mean Group / Pooled Mean Group (PMG)</w:t>
      </w:r>
      <w:r>
        <w:t>, que además da la relación de largo plazo común — encaja perfecto con tu pregunta global vs local.</w:t>
      </w:r>
    </w:p>
    <w:p>
      <w:pPr>
        <w:pStyle w:val="Heading3"/>
      </w:pPr>
      <w:r>
        <w:t>2.9 🟡 Tamaños de efecto e interpretación económica, no solo estadística</w:t>
      </w:r>
    </w:p>
    <w:p>
      <w:r>
        <w:t xml:space="preserve">La rúbrica premia "identificar los hallazgos clave". Para cada coeficiente importante reporta la </w:t>
      </w:r>
      <w:r>
        <w:rPr>
          <w:b/>
        </w:rPr>
        <w:t>magnitud económica</w:t>
      </w:r>
      <w:r>
        <w:t xml:space="preserve"> (p. ej. "1 SD de sorpresa en TC ⇒ X pb de retorno mensual; equivale a Y% de la volatilidad mensual típica"), no solo el signo y los asteriscos. Estandariza variables (beta estandarizado) para comparar la </w:t>
      </w:r>
      <w:r>
        <w:rPr>
          <w:i/>
        </w:rPr>
        <w:t>importancia relativa</w:t>
      </w:r>
      <w:r>
        <w:t xml:space="preserve"> de cada macro entre mercados — esto materializa tu H6/H7 (quién transmite más).</w:t>
      </w:r>
    </w:p>
    <w:p>
      <w:pPr>
        <w:pStyle w:val="Heading3"/>
      </w:pPr>
      <w:r>
        <w:t>Prioridad TRANSVERSAL — reproducibilidad (eje de rúbrica que muchos descuidan)</w:t>
      </w:r>
    </w:p>
    <w:p>
      <w:pPr>
        <w:pStyle w:val="Heading3"/>
      </w:pPr>
      <w:r>
        <w:t>2.10 🟡 Paquete de reproducibilidad</w:t>
      </w:r>
    </w:p>
    <w:p>
      <w:r>
        <w:t>Es un criterio explícito de rigor y suele ser un diferenciador fácil:</w:t>
      </w:r>
    </w:p>
    <w:p>
      <w:pPr>
        <w:pStyle w:val="ListBullet"/>
      </w:pPr>
      <w:r>
        <w:rPr>
          <w:rFonts w:ascii="Consolas" w:hAnsi="Consolas"/>
          <w:sz w:val="20"/>
        </w:rPr>
        <w:t>requirements.txt</w:t>
      </w:r>
      <w:r>
        <w:t xml:space="preserve"> con </w:t>
      </w:r>
      <w:r>
        <w:rPr>
          <w:b/>
        </w:rPr>
        <w:t>versiones fijadas</w:t>
      </w:r>
      <w:r>
        <w:t xml:space="preserve"> (ya consta el gotcha pandas 3.0 / pandas-datareader: documéntalo en el repo).</w:t>
      </w:r>
    </w:p>
    <w:p>
      <w:pPr>
        <w:pStyle w:val="ListBullet"/>
      </w:pPr>
      <w:r>
        <w:rPr>
          <w:b/>
        </w:rPr>
        <w:t>Semilla fija</w:t>
      </w:r>
      <w:r>
        <w:t xml:space="preserve"> en bootstraps/GARCH y registro de versiones de librerías.</w:t>
      </w:r>
    </w:p>
    <w:p>
      <w:pPr>
        <w:pStyle w:val="ListBullet"/>
      </w:pPr>
      <w:r>
        <w:rPr>
          <w:b/>
        </w:rPr>
        <w:t>Script maestro</w:t>
      </w:r>
      <w:r>
        <w:t xml:space="preserve"> que reproduce todas las tablas/figuras de punta a punta (ya tienes </w:t>
      </w:r>
      <w:r>
        <w:rPr>
          <w:rFonts w:ascii="Consolas" w:hAnsi="Consolas"/>
          <w:sz w:val="20"/>
        </w:rPr>
        <w:t>build_thesis.py</w:t>
      </w:r>
      <w:r>
        <w:t xml:space="preserve">, </w:t>
      </w:r>
      <w:r>
        <w:rPr>
          <w:rFonts w:ascii="Consolas" w:hAnsi="Consolas"/>
          <w:sz w:val="20"/>
        </w:rPr>
        <w:t>full_tables.py</w:t>
      </w:r>
      <w:r>
        <w:t xml:space="preserve">, </w:t>
      </w:r>
      <w:r>
        <w:rPr>
          <w:rFonts w:ascii="Consolas" w:hAnsi="Consolas"/>
          <w:sz w:val="20"/>
        </w:rPr>
        <w:t>make_figures.py</w:t>
      </w:r>
      <w:r>
        <w:t xml:space="preserve"> — documenta el orden en un README).</w:t>
      </w:r>
    </w:p>
    <w:p>
      <w:pPr>
        <w:pStyle w:val="ListBullet"/>
      </w:pPr>
      <w:r>
        <w:t xml:space="preserve">Anexo con </w:t>
      </w:r>
      <w:r>
        <w:rPr>
          <w:b/>
        </w:rPr>
        <w:t>diccionario de variables y fuentes</w:t>
      </w:r>
      <w:r>
        <w:t xml:space="preserve"> (FRED IDs ya los tienes en memoria; EMBI del BCCh pendiente). Mapear cada serie a su fuente y transformación.</w:t>
      </w:r>
    </w:p>
    <w:p>
      <w:pPr>
        <w:pStyle w:val="ListBullet"/>
      </w:pPr>
      <w:r>
        <w:t xml:space="preserve">Refs: criterios de transparencia/reproducibilidad — </w:t>
      </w:r>
      <w:hyperlink r:id="rId67">
        <w:r>
          <w:rPr>
            <w:rFonts w:ascii="Segoe UI" w:hAnsi="Segoe UI"/>
            <w:color w:val="0071E3"/>
            <w:u w:val="single"/>
          </w:rPr>
          <w:t xml:space="preserve">https://www.ncbi.nlm.nih.gov/pmc/articles/PMC9283916/</w:t>
        </w:r>
      </w:hyperlink>
    </w:p>
    <w:p>
      <w:pPr>
        <w:pStyle w:val="Heading3"/>
      </w:pPr>
      <w:r>
        <w:t>3. Errores comunes que BAJAN la nota (y cómo evitarlos aquí)</w:t>
      </w:r>
    </w:p>
    <w:p>
      <w:pPr>
        <w:ind w:left="454" w:hanging="454"/>
      </w:pPr>
      <w:r>
        <w:t xml:space="preserve">1. </w:t>
      </w:r>
      <w:r>
        <w:rPr>
          <w:b/>
        </w:rPr>
        <w:t>Regresión espuria por no estacionariedad.</w:t>
      </w:r>
      <w:r>
        <w:t xml:space="preserve"> El error clásico: regresar series I(1) en niveles y celebrar R² altos y t grandes que son artefactos de tendencias comunes. </w:t>
      </w:r>
      <w:r>
        <w:rPr>
          <w:i/>
        </w:rPr>
        <w:t>Mitigación en tu caso:</w:t>
      </w:r>
      <w:r>
        <w:t xml:space="preserve"> ya trabajas con retornos (estacionarios) y tienes batería ADF/PP/KPSS/Zivot-Andrews + cointegración para los niveles. Mantén la </w:t>
      </w:r>
      <w:r>
        <w:rPr>
          <w:b/>
        </w:rPr>
        <w:t>regla</w:t>
      </w:r>
      <w:r>
        <w:t xml:space="preserve">: niveles solo dentro de un marco de cointegración (VECM/ARDL); todo lo demás, en diferencias/retornos. Refs: Ventosa-Santaulària (2009) — </w:t>
      </w:r>
      <w:hyperlink r:id="rId78">
        <w:r>
          <w:rPr>
            <w:rFonts w:ascii="Segoe UI" w:hAnsi="Segoe UI"/>
            <w:color w:val="0071E3"/>
            <w:u w:val="single"/>
          </w:rPr>
          <w:t xml:space="preserve">https://www.hindawi.com/journals/jps/2009/802975/</w:t>
        </w:r>
      </w:hyperlink>
      <w:r>
        <w:t xml:space="preserve"> ; Whelan, </w:t>
      </w:r>
      <w:r>
        <w:rPr>
          <w:i/>
        </w:rPr>
        <w:t>Spurious Regressions and Cointegration</w:t>
      </w:r>
      <w:r>
        <w:t xml:space="preserve"> — </w:t>
      </w:r>
      <w:hyperlink r:id="rId79">
        <w:r>
          <w:rPr>
            <w:rFonts w:ascii="Segoe UI" w:hAnsi="Segoe UI"/>
            <w:color w:val="0071E3"/>
            <w:u w:val="single"/>
          </w:rPr>
          <w:t xml:space="preserve">https://www.karlwhelan.com/Teaching/MA%20Econometrics/part4.pdf</w:t>
        </w:r>
      </w:hyperlink>
    </w:p>
    <w:p>
      <w:pPr>
        <w:ind w:left="454" w:hanging="454"/>
      </w:pPr>
      <w:r>
        <w:t xml:space="preserve">2. </w:t>
      </w:r>
      <w:r>
        <w:rPr>
          <w:b/>
        </w:rPr>
        <w:t>Confundir cointegración con espuria.</w:t>
      </w:r>
      <w:r>
        <w:t xml:space="preserve"> Usar valores críticos DF normales para testear cointegración (los residuos parecen estacionarios aun cuando no lo son). </w:t>
      </w:r>
      <w:r>
        <w:rPr>
          <w:i/>
        </w:rPr>
        <w:t>Mitigación:</w:t>
      </w:r>
      <w:r>
        <w:t xml:space="preserve"> usa los valores críticos correctos de Engle-Granger/Johansen/bounds — verifica que tu implementación los aplique. Ref Stata blog — </w:t>
      </w:r>
      <w:hyperlink r:id="rId80">
        <w:r>
          <w:rPr>
            <w:rFonts w:ascii="Segoe UI" w:hAnsi="Segoe UI"/>
            <w:color w:val="0071E3"/>
            <w:u w:val="single"/>
          </w:rPr>
          <w:t xml:space="preserve">https://blog.stata.com/2016/09/06/cointegration-or-spurious-regression/</w:t>
        </w:r>
      </w:hyperlink>
    </w:p>
    <w:p>
      <w:pPr>
        <w:ind w:left="454" w:hanging="454"/>
      </w:pPr>
      <w:r>
        <w:t xml:space="preserve">3. </w:t>
      </w:r>
      <w:r>
        <w:rPr>
          <w:b/>
        </w:rPr>
        <w:t>Ignorar el quiebre estructural en los tests de raíz unitaria.</w:t>
      </w:r>
      <w:r>
        <w:t xml:space="preserve"> Un ADF sin quiebre puede declarar I(1) algo que es estacionario alrededor de un quiebre (y viceversa). </w:t>
      </w:r>
      <w:r>
        <w:rPr>
          <w:i/>
        </w:rPr>
        <w:t>Mitigación:</w:t>
      </w:r>
      <w:r>
        <w:t xml:space="preserve"> ya lo cubres con Zivot-Andrews (resolvió el falso "I(2)?" del TC) y Gregory-Hansen. Bien.</w:t>
      </w:r>
    </w:p>
    <w:p>
      <w:pPr>
        <w:ind w:left="454" w:hanging="454"/>
      </w:pPr>
      <w:r>
        <w:t xml:space="preserve">4. </w:t>
      </w:r>
      <w:r>
        <w:rPr>
          <w:b/>
        </w:rPr>
        <w:t>Inferencia inválida por dependencia transversal / pocos clusters.</w:t>
      </w:r>
      <w:r>
        <w:t xml:space="preserve"> SE estándar subestimados ⇒ falsa significancia. </w:t>
      </w:r>
      <w:r>
        <w:rPr>
          <w:i/>
        </w:rPr>
        <w:t>Mitigación:</w:t>
      </w:r>
      <w:r>
        <w:t xml:space="preserve"> Driscoll-Kraay (hecho) + wild bootstrap por el N pequeño (sección 2.2).</w:t>
      </w:r>
    </w:p>
    <w:p>
      <w:pPr>
        <w:ind w:left="454" w:hanging="454"/>
      </w:pPr>
      <w:r>
        <w:t xml:space="preserve">5. </w:t>
      </w:r>
      <w:r>
        <w:rPr>
          <w:b/>
        </w:rPr>
        <w:t>p-hacking de facto por múltiples especificaciones sin corrección.</w:t>
      </w:r>
      <w:r>
        <w:t xml:space="preserve"> Reportar solo lo significativo entre decenas de pruebas. </w:t>
      </w:r>
      <w:r>
        <w:rPr>
          <w:i/>
        </w:rPr>
        <w:t>Mitigación:</w:t>
      </w:r>
      <w:r>
        <w:t xml:space="preserve"> FDR (sección 2.3) y mostrar la </w:t>
      </w:r>
      <w:r>
        <w:rPr>
          <w:b/>
        </w:rPr>
        <w:t>tabla completa</w:t>
      </w:r>
      <w:r>
        <w:t xml:space="preserve"> de especificaciones, no un cherry-pick.</w:t>
      </w:r>
    </w:p>
    <w:p>
      <w:pPr>
        <w:ind w:left="454" w:hanging="454"/>
      </w:pPr>
      <w:r>
        <w:t xml:space="preserve">6. </w:t>
      </w:r>
      <w:r>
        <w:rPr>
          <w:b/>
        </w:rPr>
        <w:t>Sobre-interpretación causal.</w:t>
      </w:r>
      <w:r>
        <w:t xml:space="preserve"> Afirmar "X causa Y" desde Granger u OLS. </w:t>
      </w:r>
      <w:r>
        <w:rPr>
          <w:i/>
        </w:rPr>
        <w:t>Mitigación:</w:t>
      </w:r>
      <w:r>
        <w:t xml:space="preserve"> lenguaje calibrado ("asociación", "transmisión", "respuesta condicional"), Granger presentado como precedencia temporal, y sorpresas para reducir simultaneidad (2.4).</w:t>
      </w:r>
    </w:p>
    <w:p>
      <w:pPr>
        <w:ind w:left="454" w:hanging="454"/>
      </w:pPr>
      <w:r>
        <w:t xml:space="preserve">7. </w:t>
      </w:r>
      <w:r>
        <w:rPr>
          <w:b/>
        </w:rPr>
        <w:t>No reportar diagnósticos del modelo.</w:t>
      </w:r>
      <w:r>
        <w:t xml:space="preserve"> VAR sin test de estabilidad/autocorrelación de residuos; GARCH sin test de efectos ARCH remanentes; panel sin Hausman (FE vs RE) ni test de dependencia. </w:t>
      </w:r>
      <w:r>
        <w:rPr>
          <w:i/>
        </w:rPr>
        <w:t>Mitigación:</w:t>
      </w:r>
      <w:r>
        <w:t xml:space="preserve"> tienes VAR estable y CD-Pesaran; añade Hausman explícito y Ljung-Box/ARCH-LM sobre residuos estandarizados del GARCH.</w:t>
      </w:r>
    </w:p>
    <w:p>
      <w:pPr>
        <w:ind w:left="454" w:hanging="454"/>
      </w:pPr>
      <w:r>
        <w:t xml:space="preserve">8. </w:t>
      </w:r>
      <w:r>
        <w:rPr>
          <w:b/>
        </w:rPr>
        <w:t>Resultados sin magnitud económica ni límites.</w:t>
      </w:r>
      <w:r>
        <w:t xml:space="preserve"> Solo asteriscos, sin "cuánto" ni sección honesta de limitaciones. </w:t>
      </w:r>
      <w:r>
        <w:rPr>
          <w:i/>
        </w:rPr>
        <w:t>Mitigación:</w:t>
      </w:r>
      <w:r>
        <w:t xml:space="preserve"> secciones 2.9 y la "reflexión crítica" que la rúbrica exige explícitamente.</w:t>
      </w:r>
    </w:p>
    <w:p>
      <w:pPr>
        <w:pStyle w:val="Heading3"/>
      </w:pPr>
      <w:r>
        <w:t>4. Hoja de ruta sugerida (esfuerzo vs impacto)</w:t>
      </w:r>
    </w:p>
    <w:tbl>
      <w:tblPr>
        <w:tblW w:type="auto" w:w="0"/>
        <w:jc w:val="left"/>
        <w:tblLayout w:type="autofit"/>
        <w:tblLook w:firstColumn="1" w:firstRow="1" w:lastColumn="0" w:lastRow="0" w:noHBand="0" w:noVBand="1" w:val="04A0"/>
      </w:tblPr>
      <w:tblGrid>
        <w:gridCol w:w="1435"/>
        <w:gridCol w:w="1435"/>
        <w:gridCol w:w="1435"/>
        <w:gridCol w:w="1435"/>
        <w:gridCol w:w="1435"/>
        <w:gridCol w:w="1435"/>
      </w:tblGrid>
      <w:tr>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Mejora</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Estado</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Impacto</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Esfuerzo</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Herramienta</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2.3</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FDR (Benjamini-Hochberg) en H1–H6</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Alto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Bajo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statsmodels.stats.multitest</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2.9</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Magnitudes económicas + betas estandarizados</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Alto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Bajo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pandas</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2.6</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Tabla de robustez sistemática (submuestras/placebo/SE)</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Alto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Medio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linearmodels/statsmodels</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2.2</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Wild cluster bootstrap (N pequeño)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Alto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Medio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wildboottest</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2.1</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Local Projections (IRF alternativa, + state-dependent)</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Alto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Medio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statsmodels.OLS</w:t>
            </w:r>
            <w:r>
              <w:rPr>
                <w:rFonts w:ascii="Segoe UI" w:hAnsi="Segoe UI"/>
                <w:sz w:val="20"/>
              </w:rPr>
              <w:t xml:space="preserve"> HAC</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2.7</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Cerrar H5: bounds test + ECM interpretado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Alto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Bajo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statsmodels ARDL</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2.5</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EGARCH/GJR vs GARCH(1,1) + Engle-Ng</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Medio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Bajo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arch</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2.8</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CIPS + Pesaran-Yamagata + (PMG)</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Medio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Medio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manual/</w:t>
            </w:r>
            <w:r>
              <w:rPr>
                <w:rFonts w:ascii="Segoe UI" w:hAnsi="Segoe UI"/>
                <w:sz w:val="20"/>
              </w:rPr>
              <w:t>pmdarima</w:t>
            </w:r>
            <w:r>
              <w:rPr>
                <w:rFonts w:ascii="Segoe UI" w:hAnsi="Segoe UI"/>
                <w:sz w:val="20"/>
              </w:rPr>
              <w:t>/custom</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2.10</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Paquete de reproducibilidad (semillas, versiones, README)</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Medio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Bajo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repo</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2.4</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Sorpresas macro (componente no anticipado)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Alto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Medio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statsmodels AR</w:t>
            </w:r>
          </w:p>
        </w:tc>
      </w:tr>
    </w:tbl>
    <w:p>
      <w:pPr>
        <w:spacing w:after="40"/>
      </w:pPr>
    </w:p>
    <w:p>
      <w:r>
        <w:br w:type="page"/>
      </w:r>
    </w:p>
    <w:p>
      <w:pPr>
        <w:pStyle w:val="Heading1"/>
      </w:pPr>
      <w:r>
        <w:t>Diseño de Triangulación</w:t>
      </w:r>
    </w:p>
    <w:p>
      <w:r>
        <w:rPr>
          <w:color w:val="6E6E73"/>
          <w:sz w:val="24"/>
        </w:rPr>
        <w:t>Tres muestras: cobre internacional, Pucobre y sector minero chileno</w:t>
      </w:r>
    </w:p>
    <w:p>
      <w:pPr>
        <w:spacing w:before="40" w:after="200"/>
        <w:pBdr>
          <w:bottom w:val="single" w:sz="6" w:space="1" w:color="D2D2D7"/>
        </w:pBdr>
      </w:pPr>
    </w:p>
    <w:p>
      <w:r>
        <w:t xml:space="preserve">La aclaración "impacto de variables macro en acciones de </w:t>
      </w:r>
      <w:r>
        <w:rPr>
          <w:b/>
        </w:rPr>
        <w:t>extracción de cobre</w:t>
      </w:r>
      <w:r>
        <w:t xml:space="preserve"> en el </w:t>
      </w:r>
      <w:r>
        <w:rPr>
          <w:b/>
        </w:rPr>
        <w:t>mercado chileno</w:t>
      </w:r>
      <w:r>
        <w:t xml:space="preserve">" reveló una tensión de factibilidad: en la Bolsa de Santiago casi no hay productoras de cobre puro cotizadas (las grandes son estatales o subsidiarias extranjeras). La solución adoptada </w:t>
      </w:r>
      <w:r>
        <w:rPr>
          <w:b/>
        </w:rPr>
        <w:t>convierte esa limitación en una fortaleza</w:t>
      </w:r>
      <w:r>
        <w:t>: triangular el fenómeno desde tres muestras complementarias, lo que habilita una pregunta nueva y más rica.</w:t>
      </w:r>
    </w:p>
    <w:p>
      <w:pPr>
        <w:pStyle w:val="Heading3"/>
      </w:pPr>
      <w:r>
        <w:t>La idea central</w:t>
      </w:r>
    </w:p>
    <w:p>
      <w:r>
        <w:t xml:space="preserve">Comparar </w:t>
      </w:r>
      <w:r>
        <w:rPr>
          <w:b/>
        </w:rPr>
        <w:t>cómo el mercado global y el mercado chileno precian el impacto macroeconómico</w:t>
      </w:r>
      <w:r>
        <w:t xml:space="preserve"> sobre las mismas materias primas. Esto eleva la hipótesis global-vs-local (H6) de "¿qué factores importan más?" a "¿</w:t>
      </w:r>
      <w:r>
        <w:rPr>
          <w:b/>
        </w:rPr>
        <w:t>dónde</w:t>
      </w:r>
      <w:r>
        <w:t xml:space="preserve"> —en qué mercado— se transmite mejor el shock?".</w:t>
      </w:r>
    </w:p>
    <w:p>
      <w:pPr>
        <w:pStyle w:val="Heading3"/>
      </w:pPr>
      <w:r>
        <w:t>Las tres muestras (cobertura 2004-2024 verificada en Yahoo)</w:t>
      </w:r>
    </w:p>
    <w:tbl>
      <w:tblPr>
        <w:tblW w:type="auto" w:w="0"/>
        <w:jc w:val="left"/>
        <w:tblLayout w:type="autofit"/>
        <w:tblLook w:firstColumn="1" w:firstRow="1" w:lastColumn="0" w:lastRow="0" w:noHBand="0" w:noVBand="1" w:val="04A0"/>
      </w:tblPr>
      <w:tblGrid>
        <w:gridCol w:w="1435"/>
        <w:gridCol w:w="1435"/>
        <w:gridCol w:w="1435"/>
        <w:gridCol w:w="1435"/>
        <w:gridCol w:w="1435"/>
        <w:gridCol w:w="1435"/>
      </w:tblGrid>
      <w:tr>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Muestra</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Definición</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Empresas</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N</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Método principal</w:t>
            </w:r>
          </w:p>
        </w:tc>
        <w:tc>
          <w:tcPr>
            <w:tcW w:type="dxa" w:w="1435"/>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Rol</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B</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Cobre puro, </w:t>
            </w:r>
            <w:r>
              <w:rPr>
                <w:rFonts w:ascii="Segoe UI" w:hAnsi="Segoe UI"/>
                <w:b/>
                <w:sz w:val="20"/>
              </w:rPr>
              <w:t>mercado global</w:t>
            </w:r>
            <w:r>
              <w:rPr>
                <w:rFonts w:ascii="Segoe UI" w:hAnsi="Segoe UI"/>
                <w:sz w:val="20"/>
              </w:rPr>
              <w:t>, con operación en Chile</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ANTO.L, BHP, AAL.L, LUN.TO, TECK</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5</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Panel FE + Driscoll-Kraay</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Referencia "cobre puro"</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A</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Cobre puro, </w:t>
            </w:r>
            <w:r>
              <w:rPr>
                <w:rFonts w:ascii="Segoe UI" w:hAnsi="Segoe UI"/>
                <w:b/>
                <w:sz w:val="20"/>
              </w:rPr>
              <w:t>mercado chileno</w:t>
            </w:r>
            <w:r>
              <w:rPr>
                <w:rFonts w:ascii="Segoe UI" w:hAnsi="Segoe UI"/>
                <w:sz w:val="20"/>
              </w:rPr>
              <w:t xml:space="preserve"> (Bolsa de Santiago)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PUCOBRE.SN</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Serie de tiempo (ARDL, VAR/IRF)</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Caso local puro</w:t>
            </w:r>
          </w:p>
        </w:tc>
      </w:tr>
      <w:tr>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C</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Sector minero</w:t>
            </w:r>
            <w:r>
              <w:rPr>
                <w:rFonts w:ascii="Segoe UI" w:hAnsi="Segoe UI"/>
                <w:sz w:val="20"/>
              </w:rPr>
              <w:t xml:space="preserve"> chileno (Bolsa de Santiago)</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PUCOBRE, CAP, SQM-B, MOLYMET</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4</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Panel FE + Driscoll-Kraay</w:t>
            </w:r>
          </w:p>
        </w:tc>
        <w:tc>
          <w:tcPr>
            <w:tcW w:type="dxa" w:w="1435"/>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Mercado local con N para panel</w:t>
            </w:r>
          </w:p>
        </w:tc>
      </w:tr>
    </w:tbl>
    <w:p>
      <w:pPr>
        <w:spacing w:after="40"/>
      </w:pPr>
    </w:p>
    <w:p>
      <w:pPr>
        <w:pStyle w:val="Heading3"/>
      </w:pPr>
      <w:r>
        <w:t>Foco y rol de cada muestra (definido)</w:t>
      </w:r>
    </w:p>
    <w:p>
      <w:r>
        <w:rPr>
          <w:b/>
        </w:rPr>
        <w:t>El objeto de estudio es el cobre.</w:t>
      </w:r>
      <w:r>
        <w:t xml:space="preserve"> Dado que en la Bolsa de Santiago el cobre puro cotizado se reduce esencialmente a Pucobre, la </w:t>
      </w:r>
      <w:r>
        <w:rPr>
          <w:b/>
        </w:rPr>
        <w:t>muestra C (sector minero local) actúa como *vehículo* del mercado chileno</w:t>
      </w:r>
      <w:r>
        <w:t>, no como objeto de estudio en sí: permite estimar con tamaño de sección cruzada cómo el mercado local incorpora los shocks macro, controlando por el precio propio de cada commodity para aislar el efecto del cobre. Así, la tesis mantiene su foco en el cobre sin renombrarse a "minería".</w:t>
      </w:r>
    </w:p>
    <w:p>
      <w:pPr>
        <w:pStyle w:val="Heading3"/>
      </w:pPr>
      <w:r>
        <w:t>Objetivo general (definido)</w:t>
      </w:r>
    </w:p>
    <w:p>
      <w:pPr>
        <w:pStyle w:val="Heading3"/>
      </w:pPr>
      <w:r>
        <w:t>Título (definido)</w:t>
      </w:r>
    </w:p>
    <w:p>
      <w:pPr>
        <w:pStyle w:val="Heading3"/>
      </w:pPr>
      <w:r>
        <w:t>Pregunta e hipótesis adicionales que habilita</w:t>
      </w:r>
    </w:p>
    <w:p>
      <w:pPr>
        <w:pStyle w:val="ListBullet"/>
      </w:pPr>
      <w:r>
        <w:rPr>
          <w:b/>
        </w:rPr>
        <w:t>PI6 (nueva):</w:t>
      </w:r>
      <w:r>
        <w:t xml:space="preserve"> ¿Difiere la sensibilidad de los retornos al precio del cobre y a las variables macro entre las empresas que cotizan en el mercado global (B) y las que cotizan en el mercado chileno (A/C)?</w:t>
      </w:r>
    </w:p>
    <w:p>
      <w:pPr>
        <w:pStyle w:val="ListBullet"/>
      </w:pPr>
      <w:r>
        <w:rPr>
          <w:b/>
        </w:rPr>
        <w:t>H7 (nueva):</w:t>
      </w:r>
      <w:r>
        <w:t xml:space="preserve"> El mercado global incorpora el shock del cobre de forma más rápida y completa que el mercado chileno (menor profundidad/liquidez local → transmisión más lenta o parcial). </w:t>
      </w:r>
      <w:r>
        <w:rPr>
          <w:i/>
        </w:rPr>
        <w:t>Contrastable comparando coeficientes, IRF y FEVD entre muestras.</w:t>
      </w:r>
    </w:p>
    <w:p>
      <w:pPr>
        <w:pStyle w:val="Heading3"/>
      </w:pPr>
      <w:r>
        <w:t>Cómo se ejecuta (sin reescribir código)</w:t>
      </w:r>
    </w:p>
    <w:p>
      <w:r>
        <w:t>El pipeline ya es paramétrico. Para cada muestra: ```python from src import build_panel as bp from src import config as C</w:t>
      </w:r>
    </w:p>
    <w:p>
      <w:pPr>
        <w:pStyle w:val="Heading2"/>
      </w:pPr>
      <w:r>
        <w:t>Muestra B / A / C respectivamente:</w:t>
      </w:r>
    </w:p>
    <w:p>
      <w:r>
        <w:t xml:space="preserve">bp.construir(guardar=True, universo=C.UNIVERSO_PRINCIPAL)      # -&gt; panel.parquet bp.construir(guardar=True, universo=C.UNIVERSO_LOCAL_COBRE)    # (renombrar salida: _A) bp.construir(guardar=True, universo=C.UNIVERSO_LOCAL_MINERIA)  # (renombrar salida: _C) ``` Luego se corren los mismos notebooks 02–06 sobre cada panel y se </w:t>
      </w:r>
      <w:r>
        <w:rPr>
          <w:b/>
        </w:rPr>
        <w:t>comparan</w:t>
      </w:r>
      <w:r>
        <w:t xml:space="preserve"> los resultados en una tabla única (coeficiente del cobre, velocidad de ajuste, FEVD global) por muestra.</w:t>
      </w:r>
    </w:p>
    <w:p>
      <w:pPr>
        <w:pStyle w:val="Heading3"/>
      </w:pPr>
      <w:r>
        <w:t>Qué documentos hay que ajustar a este diseño</w:t>
      </w:r>
    </w:p>
    <w:p>
      <w:pPr>
        <w:pStyle w:val="ListBullet"/>
      </w:pPr>
      <w:r>
        <w:t xml:space="preserve">[ ] </w:t>
      </w:r>
      <w:r>
        <w:rPr>
          <w:rFonts w:ascii="Consolas" w:hAnsi="Consolas"/>
          <w:sz w:val="20"/>
        </w:rPr>
        <w:t>matriz_consistencia.md</w:t>
      </w:r>
      <w:r>
        <w:t xml:space="preserve"> — agregar PI6/H7 y la dimensión "muestra".</w:t>
      </w:r>
    </w:p>
    <w:p>
      <w:pPr>
        <w:pStyle w:val="ListBullet"/>
      </w:pPr>
      <w:r>
        <w:t xml:space="preserve">[ ] </w:t>
      </w:r>
      <w:r>
        <w:rPr>
          <w:rFonts w:ascii="Consolas" w:hAnsi="Consolas"/>
          <w:sz w:val="20"/>
        </w:rPr>
        <w:t>metodologia_capitulo3.md</w:t>
      </w:r>
      <w:r>
        <w:t xml:space="preserve"> §3.1 — describir las tres muestras.</w:t>
      </w:r>
    </w:p>
    <w:p>
      <w:pPr>
        <w:pStyle w:val="ListBullet"/>
      </w:pPr>
      <w:r>
        <w:t xml:space="preserve">[ ] </w:t>
      </w:r>
      <w:r>
        <w:rPr>
          <w:rFonts w:ascii="Consolas" w:hAnsi="Consolas"/>
          <w:sz w:val="20"/>
        </w:rPr>
        <w:t>marco_teorico_capitulo2.md</w:t>
      </w:r>
      <w:r>
        <w:t xml:space="preserve"> — agregar sub-bloque sobre integración/segmentación de mercados y velocidad de incorporación de información (eficiencia informacional).</w:t>
      </w:r>
    </w:p>
    <w:p>
      <w:pPr>
        <w:pStyle w:val="ListBullet"/>
      </w:pPr>
      <w:r>
        <w:t xml:space="preserve">[ ] </w:t>
      </w:r>
      <w:r>
        <w:rPr>
          <w:rFonts w:ascii="Consolas" w:hAnsi="Consolas"/>
          <w:sz w:val="20"/>
        </w:rPr>
        <w:t>introduccion_capitulo1.md</w:t>
      </w:r>
      <w:r>
        <w:t xml:space="preserve"> — reflejar la comparación de mercados en problema y aportes.</w:t>
      </w:r>
    </w:p>
    <w:p>
      <w:pPr>
        <w:pStyle w:val="ListBullet"/>
      </w:pPr>
      <w:r>
        <w:t>[ ] Título de la tesis.</w:t>
      </w:r>
    </w:p>
    <w:p>
      <w:r>
        <w:br w:type="page"/>
      </w:r>
    </w:p>
    <w:p>
      <w:pPr>
        <w:pStyle w:val="Heading1"/>
      </w:pPr>
      <w:r>
        <w:t>Matriz de Consistencia</w:t>
      </w:r>
    </w:p>
    <w:p>
      <w:r>
        <w:rPr>
          <w:color w:val="6E6E73"/>
          <w:sz w:val="24"/>
        </w:rPr>
        <w:t>Problema – objetivos – hipótesis – variables – método</w:t>
      </w:r>
    </w:p>
    <w:p>
      <w:pPr>
        <w:spacing w:before="40" w:after="200"/>
        <w:pBdr>
          <w:bottom w:val="single" w:sz="6" w:space="1" w:color="D2D2D7"/>
        </w:pBdr>
      </w:pPr>
    </w:p>
    <w:p>
      <w:r>
        <w:rPr>
          <w:b/>
        </w:rPr>
        <w:t>Tesis:</w:t>
      </w:r>
      <w:r>
        <w:t xml:space="preserve"> Impacto de las variables macroeconómicas globales y financieras en la valoración bursátil del sector de minería de cobre en Chile.</w:t>
      </w:r>
    </w:p>
    <w:p>
      <w:r>
        <w:rPr>
          <w:b/>
        </w:rPr>
        <w:t>Objetivo general:</w:t>
      </w:r>
      <w:r>
        <w:t xml:space="preserve"> Cuantificar el impacto de las variables macroeconómicas globales y nacionales, y de los indicadores financieros de mercado y de empresa, sobre los retornos accionarios de las empresas de minería de cobre con exposición a Chile durante el período 2004–2024, evaluando la estabilidad de dichas relaciones a lo largo de las distintas fases del ciclo del precio del cobre, mediante modelos econométricos de series de tiempo y datos de panel.</w:t>
      </w:r>
    </w:p>
    <w:p>
      <w:pPr>
        <w:pStyle w:val="Heading3"/>
      </w:pPr>
      <w:r>
        <w:t>1. Matriz principal (Objetivo específico → Pregunta → Hipótesis → Método → Prueba)</w:t>
      </w:r>
    </w:p>
    <w:tbl>
      <w:tblPr>
        <w:tblW w:type="auto" w:w="0"/>
        <w:jc w:val="left"/>
        <w:tblLayout w:type="autofit"/>
        <w:tblLook w:firstColumn="1" w:firstRow="1" w:lastColumn="0" w:lastRow="0" w:noHBand="0" w:noVBand="1" w:val="04A0"/>
      </w:tblPr>
      <w:tblGrid>
        <w:gridCol w:w="1076"/>
        <w:gridCol w:w="1076"/>
        <w:gridCol w:w="1076"/>
        <w:gridCol w:w="1076"/>
        <w:gridCol w:w="1076"/>
        <w:gridCol w:w="1076"/>
        <w:gridCol w:w="1076"/>
        <w:gridCol w:w="1076"/>
      </w:tblGrid>
      <w:tr>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OE</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Objetivo específico</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Pregunta (PI)</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Hipótesis</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Variables principales</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Método / Modelo</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Prueba estadística clave</w:t>
            </w:r>
          </w:p>
        </w:tc>
        <w:tc>
          <w:tcPr>
            <w:tcW w:type="dxa" w:w="107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Resultado esperado (contraste)</w:t>
            </w:r>
          </w:p>
        </w:tc>
      </w:tr>
      <w:tr>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OE1</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Caracterizar las propiedades estadísticas de las series (estacionariedad, volatilidad, quiebres).</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(transversal)</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Retornos; niveles de cobre, TC, tasas, VIX, IMACEC.</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EDA + raíz unitaria.</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ADF, Phillips-Perron, KPSS, Zivot-Andrews, IPS/CIPS (panel).</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Retornos I(0); precios/TC I(1). Define la estrategia OE2–OE4.</w:t>
            </w:r>
          </w:p>
        </w:tc>
      </w:tr>
      <w:tr>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OE2</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Estimar la sensibilidad de los retornos a las variables macro-financieras, distinguiendo factores globales vs locales.</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PI1, PI2</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H1, H2, H3, H4, H6</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Dep:</w:t>
            </w:r>
            <w:r>
              <w:rPr>
                <w:rFonts w:ascii="Segoe UI" w:hAnsi="Segoe UI"/>
                <w:sz w:val="20"/>
              </w:rPr>
              <w:t xml:space="preserve"> retorno log. </w:t>
            </w:r>
            <w:r>
              <w:rPr>
                <w:rFonts w:ascii="Segoe UI" w:hAnsi="Segoe UI"/>
                <w:b/>
                <w:sz w:val="20"/>
              </w:rPr>
              <w:t>Indep:</w:t>
            </w:r>
            <w:r>
              <w:rPr>
                <w:rFonts w:ascii="Segoe UI" w:hAnsi="Segoe UI"/>
                <w:sz w:val="20"/>
              </w:rPr>
              <w:t xml:space="preserve"> Δcobre, ΔTC, Δtasa, ΔVIX, controles de empresa.</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Serie de tiempo (cartera) como baseline + </w:t>
            </w:r>
            <w:r>
              <w:rPr>
                <w:rFonts w:ascii="Segoe UI" w:hAnsi="Segoe UI"/>
                <w:b/>
                <w:sz w:val="20"/>
              </w:rPr>
              <w:t>Panel FE con Driscoll-Kraay</w:t>
            </w:r>
            <w:r>
              <w:rPr>
                <w:rFonts w:ascii="Segoe UI" w:hAnsi="Segoe UI"/>
                <w:sz w:val="20"/>
              </w:rPr>
              <w:t>.</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t/F sobre coeficientes; Wald conjunto por bloque (global vs local); Hausman; CD-Pesaran.</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Signos H1(+), H2(±), H3(−), H4(−) significativos; bloque global ≳ local.</w:t>
            </w:r>
          </w:p>
        </w:tc>
      </w:tr>
      <w:tr>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OE3</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Determinar relaciones de equilibrio de largo plazo y dinámicas de corto plazo.</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PI3</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H5</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Niveles I(1): valor cartera, cobre, TC, tasa.</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ARDL bounds</w:t>
            </w:r>
            <w:r>
              <w:rPr>
                <w:rFonts w:ascii="Segoe UI" w:hAnsi="Segoe UI"/>
                <w:sz w:val="20"/>
              </w:rPr>
              <w:t xml:space="preserve"> (principal) + </w:t>
            </w:r>
            <w:r>
              <w:rPr>
                <w:rFonts w:ascii="Segoe UI" w:hAnsi="Segoe UI"/>
                <w:b/>
                <w:sz w:val="20"/>
              </w:rPr>
              <w:t>Johansen</w:t>
            </w:r>
            <w:r>
              <w:rPr>
                <w:rFonts w:ascii="Segoe UI" w:hAnsi="Segoe UI"/>
                <w:sz w:val="20"/>
              </w:rPr>
              <w:t xml:space="preserve"> (robustez) + </w:t>
            </w:r>
            <w:r>
              <w:rPr>
                <w:rFonts w:ascii="Segoe UI" w:hAnsi="Segoe UI"/>
                <w:b/>
                <w:sz w:val="20"/>
              </w:rPr>
              <w:t>Westerlund</w:t>
            </w:r>
            <w:r>
              <w:rPr>
                <w:rFonts w:ascii="Segoe UI" w:hAnsi="Segoe UI"/>
                <w:sz w:val="20"/>
              </w:rPr>
              <w:t xml:space="preserve"> (panel) → </w:t>
            </w:r>
            <w:r>
              <w:rPr>
                <w:rFonts w:ascii="Segoe UI" w:hAnsi="Segoe UI"/>
                <w:b/>
                <w:sz w:val="20"/>
              </w:rPr>
              <w:t>VECM</w:t>
            </w:r>
            <w:r>
              <w:rPr>
                <w:rFonts w:ascii="Segoe UI" w:hAnsi="Segoe UI"/>
                <w:sz w:val="20"/>
              </w:rPr>
              <w:t>.</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Test de bordes (F-bounds); traza/máx. autovalor; α (velocidad de ajuste).</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 vector de cointegración; ECM con α&lt;0 significativo.</w:t>
            </w:r>
          </w:p>
        </w:tc>
      </w:tr>
      <w:tr>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OE4</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Cuantificar la respuesta dinámica de los retornos ante shocks macro.</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PI4</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H1, H6</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Sistema {cobre, VIX/Fed, TC, tasa, retorno}.</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VAR</w:t>
            </w:r>
            <w:r>
              <w:rPr>
                <w:rFonts w:ascii="Segoe UI" w:hAnsi="Segoe UI"/>
                <w:sz w:val="20"/>
              </w:rPr>
              <w:t xml:space="preserve"> (o </w:t>
            </w:r>
            <w:r>
              <w:rPr>
                <w:rFonts w:ascii="Segoe UI" w:hAnsi="Segoe UI"/>
                <w:b/>
                <w:sz w:val="20"/>
              </w:rPr>
              <w:t>VECM</w:t>
            </w:r>
            <w:r>
              <w:rPr>
                <w:rFonts w:ascii="Segoe UI" w:hAnsi="Segoe UI"/>
                <w:sz w:val="20"/>
              </w:rPr>
              <w:t xml:space="preserve"> si cointegran) sobre la cartera.</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Funciones impulso-respuesta (IRF); descomposición de varianza (FEVD); causalidad de Granger.</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Respuesta positiva y persistente al shock de cobre; FEVD: cobre/global dominan.</w:t>
            </w:r>
          </w:p>
        </w:tc>
      </w:tr>
      <w:tr>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OE5</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Evaluar la estabilidad de las relaciones a lo largo de las fases del ciclo del cobre.</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PI5</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H1–H4 condicionadas al régimen</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dummy/interacción de fase del ciclo.</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Fechado BBQ</w:t>
            </w:r>
            <w:r>
              <w:rPr>
                <w:rFonts w:ascii="Segoe UI" w:hAnsi="Segoe UI"/>
                <w:sz w:val="20"/>
              </w:rPr>
              <w:t xml:space="preserve"> del cobre + interacciones; re-estimación por subperíodo; (robustez: Markov-switching).</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Significancia de términos de interacción; comparación de IRF entre fases; tests de quiebre (Bai-Perron, Chow).</w:t>
            </w:r>
          </w:p>
        </w:tc>
        <w:tc>
          <w:tcPr>
            <w:tcW w:type="dxa" w:w="107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Sensibilidad al cobre mayor en expansión vs contracción (asimetría de régimen).</w:t>
            </w:r>
          </w:p>
        </w:tc>
      </w:tr>
    </w:tbl>
    <w:p>
      <w:pPr>
        <w:spacing w:after="40"/>
      </w:pPr>
    </w:p>
    <w:p>
      <w:pPr>
        <w:pStyle w:val="Heading3"/>
      </w:pPr>
      <w:r>
        <w:t>2. Preguntas de investigación</w:t>
      </w:r>
    </w:p>
    <w:p>
      <w:pPr>
        <w:pStyle w:val="ListBullet"/>
      </w:pPr>
      <w:r>
        <w:rPr>
          <w:b/>
        </w:rPr>
        <w:t>PI1 (→OE2):</w:t>
      </w:r>
      <w:r>
        <w:t xml:space="preserve"> ¿Qué variables macroeconómicas globales y nacionales explican significativamente los retornos del sector cobre en Chile, y cuál es su magnitud y signo?</w:t>
      </w:r>
    </w:p>
    <w:p>
      <w:pPr>
        <w:pStyle w:val="ListBullet"/>
      </w:pPr>
      <w:r>
        <w:rPr>
          <w:b/>
        </w:rPr>
        <w:t>PI2 (→OE2):</w:t>
      </w:r>
      <w:r>
        <w:t xml:space="preserve"> ¿Predominan los factores globales (cobre, riesgo internacional, tasas externas) o los locales (TC, actividad e interés domésticos)?</w:t>
      </w:r>
    </w:p>
    <w:p>
      <w:pPr>
        <w:pStyle w:val="ListBullet"/>
      </w:pPr>
      <w:r>
        <w:rPr>
          <w:b/>
        </w:rPr>
        <w:t>PI3 (→OE3):</w:t>
      </w:r>
      <w:r>
        <w:t xml:space="preserve"> ¿Existe relación de largo plazo (cointegración) entre la valoración del sector y sus determinantes macro? ¿A qué velocidad se corrige una desviación?</w:t>
      </w:r>
    </w:p>
    <w:p>
      <w:pPr>
        <w:pStyle w:val="ListBullet"/>
      </w:pPr>
      <w:r>
        <w:rPr>
          <w:b/>
        </w:rPr>
        <w:t>PI4 (→OE4):</w:t>
      </w:r>
      <w:r>
        <w:t xml:space="preserve"> Ante un shock en el precio del cobre o el tipo de cambio, ¿cómo y por cuánto tiempo responden los retornos?</w:t>
      </w:r>
    </w:p>
    <w:p>
      <w:pPr>
        <w:pStyle w:val="ListBullet"/>
      </w:pPr>
      <w:r>
        <w:rPr>
          <w:b/>
        </w:rPr>
        <w:t>PI5 (→OE5):</w:t>
      </w:r>
      <w:r>
        <w:t xml:space="preserve"> ¿Son estables estas relaciones o cambian según la fase del ciclo del cobre?</w:t>
      </w:r>
    </w:p>
    <w:p>
      <w:pPr>
        <w:pStyle w:val="ListBullet"/>
      </w:pPr>
      <w:r>
        <w:rPr>
          <w:b/>
        </w:rPr>
        <w:t>PI6 (→OE6, triangulación):</w:t>
      </w:r>
      <w:r>
        <w:t xml:space="preserve"> ¿Difiere la sensibilidad de los retornos al precio del cobre y a las variables macro entre las empresas que cotizan en el </w:t>
      </w:r>
      <w:r>
        <w:rPr>
          <w:b/>
        </w:rPr>
        <w:t>mercado global</w:t>
      </w:r>
      <w:r>
        <w:t xml:space="preserve"> (muestra B) y las que cotizan en el </w:t>
      </w:r>
      <w:r>
        <w:rPr>
          <w:b/>
        </w:rPr>
        <w:t>mercado chileno</w:t>
      </w:r>
      <w:r>
        <w:t xml:space="preserve"> (muestras A y C)?</w:t>
      </w:r>
    </w:p>
    <w:p>
      <w:pPr>
        <w:pStyle w:val="Heading3"/>
      </w:pPr>
      <w:r>
        <w:t>3. Hipótesis</w:t>
      </w:r>
    </w:p>
    <w:tbl>
      <w:tblPr>
        <w:tblW w:type="auto" w:w="0"/>
        <w:jc w:val="left"/>
        <w:tblLayout w:type="autofit"/>
        <w:tblLook w:firstColumn="1" w:firstRow="1" w:lastColumn="0" w:lastRow="0" w:noHBand="0" w:noVBand="1" w:val="04A0"/>
      </w:tblPr>
      <w:tblGrid>
        <w:gridCol w:w="2153"/>
        <w:gridCol w:w="2153"/>
        <w:gridCol w:w="2153"/>
        <w:gridCol w:w="2153"/>
      </w:tblGrid>
      <w:tr>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w:t>
            </w:r>
          </w:p>
        </w:tc>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Enunciado</w:t>
            </w:r>
          </w:p>
        </w:tc>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Signo esperado</w:t>
            </w:r>
          </w:p>
        </w:tc>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Sustento teórico</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H1</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El precio del cobre afecta positivamente los retornos del sector.</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Canal de ingresos; el cobre es el principal </w:t>
            </w:r>
            <w:r>
              <w:rPr>
                <w:rFonts w:ascii="Segoe UI" w:hAnsi="Segoe UI"/>
                <w:i/>
                <w:sz w:val="20"/>
              </w:rPr>
              <w:t>driver</w:t>
            </w:r>
            <w:r>
              <w:rPr>
                <w:rFonts w:ascii="Segoe UI" w:hAnsi="Segoe UI"/>
                <w:sz w:val="20"/>
              </w:rPr>
              <w:t xml:space="preserve"> de flujos.</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H2</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La depreciación del peso (↑USD/CLP) afecta los retornos de productoras con ingresos en USD.</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(a determinar)</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Canal de competitividad/márgenes; signo depende de bolsa y estructura de costos.</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H3</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Un alza de tasas (local y/o externa) afecta negativamente los retornos.</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Canal de descuento y apetito por riesgo.</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H4</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Un aumento del riesgo/aversión global (VIX, EMBI) afecta negativamente los retornos.</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i/>
                <w:sz w:val="20"/>
              </w:rPr>
              <w:t>Flight to quality</w:t>
            </w:r>
            <w:r>
              <w:rPr>
                <w:rFonts w:ascii="Segoe UI" w:hAnsi="Segoe UI"/>
                <w:sz w:val="20"/>
              </w:rPr>
              <w:t>; activos cíclicos y emergentes.</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H5</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Existe cointegración entre el valor del sector y {cobre, TC, tasa}, con ECM significativo.</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Relación de equilibrio de largo plazo.</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H6</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Los factores globales explican mayor fracción de la varianza de los retornos que los locales.</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global &gt; local</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Economía pequeña, abierta y exportadora de commodity.</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H7</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 xml:space="preserve">El </w:t>
            </w:r>
            <w:r>
              <w:rPr>
                <w:rFonts w:ascii="Segoe UI" w:hAnsi="Segoe UI"/>
                <w:b/>
                <w:sz w:val="20"/>
              </w:rPr>
              <w:t>mercado global</w:t>
            </w:r>
            <w:r>
              <w:rPr>
                <w:rFonts w:ascii="Segoe UI" w:hAnsi="Segoe UI"/>
                <w:sz w:val="20"/>
              </w:rPr>
              <w:t xml:space="preserve"> (muestra B) incorpora el shock del cobre de forma más rápida y completa que el </w:t>
            </w:r>
            <w:r>
              <w:rPr>
                <w:rFonts w:ascii="Segoe UI" w:hAnsi="Segoe UI"/>
                <w:b/>
                <w:sz w:val="20"/>
              </w:rPr>
              <w:t>mercado chileno</w:t>
            </w:r>
            <w:r>
              <w:rPr>
                <w:rFonts w:ascii="Segoe UI" w:hAnsi="Segoe UI"/>
                <w:sz w:val="20"/>
              </w:rPr>
              <w:t xml:space="preserve"> (muestras A/C).</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global &gt; local en velocidad/magnitud</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Menor profundidad y liquidez del mercado local → transmisión más lenta/parcial (eficiencia informacional, segmentación de mercados).</w:t>
            </w:r>
          </w:p>
        </w:tc>
      </w:tr>
    </w:tbl>
    <w:p>
      <w:pPr>
        <w:spacing w:after="40"/>
      </w:pPr>
    </w:p>
    <w:p>
      <w:pPr>
        <w:pStyle w:val="Heading3"/>
      </w:pPr>
      <w:r>
        <w:t>3bis. Dimensión transversal: triangulación por muestras</w:t>
      </w:r>
    </w:p>
    <w:p>
      <w:r>
        <w:t xml:space="preserve">Todo el análisis (OE2–OE5) se ejecuta en paralelo sobre </w:t>
      </w:r>
      <w:r>
        <w:rPr>
          <w:b/>
        </w:rPr>
        <w:t>tres muestras</w:t>
      </w:r>
      <w:r>
        <w:t xml:space="preserve"> y se compara:</w:t>
      </w:r>
    </w:p>
    <w:tbl>
      <w:tblPr>
        <w:tblW w:type="auto" w:w="0"/>
        <w:jc w:val="left"/>
        <w:tblLayout w:type="autofit"/>
        <w:tblLook w:firstColumn="1" w:firstRow="1" w:lastColumn="0" w:lastRow="0" w:noHBand="0" w:noVBand="1" w:val="04A0"/>
      </w:tblPr>
      <w:tblGrid>
        <w:gridCol w:w="2153"/>
        <w:gridCol w:w="2153"/>
        <w:gridCol w:w="2153"/>
        <w:gridCol w:w="2153"/>
      </w:tblGrid>
      <w:tr>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Muestra</w:t>
            </w:r>
          </w:p>
        </w:tc>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Definición</w:t>
            </w:r>
          </w:p>
        </w:tc>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Empresas</w:t>
            </w:r>
          </w:p>
        </w:tc>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Método principal</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B</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Cobre puro, mercado global, operación en Chile</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ANTO.L, BHP, AAL.L, LUN.TO, TECK</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Panel FE + Driscoll-Kraay</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A</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Cobre puro, mercado chileno</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PUCOBRE.SN</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Serie de tiempo (ARDL, VAR/IRF)</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C</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Sector minero chileno</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PUCOBRE, CAP, SQM-B, MOLYMET</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Panel FE + Driscoll-Kraay</w:t>
            </w:r>
          </w:p>
        </w:tc>
      </w:tr>
    </w:tbl>
    <w:p>
      <w:pPr>
        <w:spacing w:after="40"/>
      </w:pPr>
    </w:p>
    <w:p>
      <w:r>
        <w:rPr>
          <w:b/>
        </w:rPr>
        <w:t>OE6 (nuevo):</w:t>
      </w:r>
      <w:r>
        <w:t xml:space="preserve"> Comparar la transmisión del impacto macro entre el mercado global y el chileno (contrasta PI6/H7). En la muestra C se controla por el precio propio de cada commodity.</w:t>
      </w:r>
    </w:p>
    <w:p>
      <w:pPr>
        <w:pStyle w:val="Heading3"/>
      </w:pPr>
      <w:r>
        <w:t>4. Trazabilidad capítulo ↔ objetivo</w:t>
      </w:r>
    </w:p>
    <w:tbl>
      <w:tblPr>
        <w:tblW w:type="auto" w:w="0"/>
        <w:jc w:val="left"/>
        <w:tblLayout w:type="autofit"/>
        <w:tblLook w:firstColumn="1" w:firstRow="1" w:lastColumn="0" w:lastRow="0" w:noHBand="0" w:noVBand="1" w:val="04A0"/>
      </w:tblPr>
      <w:tblGrid>
        <w:gridCol w:w="2871"/>
        <w:gridCol w:w="2871"/>
        <w:gridCol w:w="2871"/>
      </w:tblGrid>
      <w:tr>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Sección de resultados (Cap. 4)</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Objetivo</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Hipótesis contrastadas</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4.1 Descriptivo y propiedades de series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OE1</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4.2 Determinantes: global vs local</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OE2</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H1, H2, H3, H4, H6</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4.3 Largo plazo y corrección de error</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OE3</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H5</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4.4 Respuesta dinámica a shocks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OE4</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H1, H6</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4.5 Estabilidad por fases del ciclo</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OE5</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H1–H4 (condicionadas)</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4.6 Comparación entre mercados (global vs chileno)</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OE6</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PI6, H7</w:t>
            </w:r>
          </w:p>
        </w:tc>
      </w:tr>
    </w:tbl>
    <w:p>
      <w:pPr>
        <w:spacing w:after="40"/>
      </w:pPr>
    </w:p>
    <w:p>
      <w:pPr>
        <w:pStyle w:val="Heading3"/>
      </w:pPr>
      <w:r>
        <w:t>5. Veredicto empírico (síntesis)</w:t>
      </w:r>
    </w:p>
    <w:p>
      <w:r>
        <w:t>Resultado del contraste de cada hipótesis sobre los datos (preliminar en cuanto a magnitudes; ver Cap. 4).</w:t>
      </w:r>
    </w:p>
    <w:tbl>
      <w:tblPr>
        <w:tblW w:type="auto" w:w="0"/>
        <w:jc w:val="left"/>
        <w:tblLayout w:type="autofit"/>
        <w:tblLook w:firstColumn="1" w:firstRow="1" w:lastColumn="0" w:lastRow="0" w:noHBand="0" w:noVBand="1" w:val="04A0"/>
      </w:tblPr>
      <w:tblGrid>
        <w:gridCol w:w="2871"/>
        <w:gridCol w:w="2871"/>
        <w:gridCol w:w="2871"/>
      </w:tblGrid>
      <w:tr>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H</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Veredicto</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Evidencia / prueba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H1</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Respaldada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β cobre +0,57\</w:t>
            </w:r>
            <w:r>
              <w:rPr>
                <w:rFonts w:ascii="Segoe UI" w:hAnsi="Segoe UI"/>
                <w:i/>
                <w:sz w:val="20"/>
              </w:rPr>
              <w:t>\</w:t>
            </w:r>
            <w:r>
              <w:rPr>
                <w:rFonts w:ascii="Segoe UI" w:hAnsi="Segoe UI"/>
                <w:sz w:val="20"/>
              </w:rPr>
              <w:t>\*; robusta a corrección FDR y a subperíodos (0,56→0,75).</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H2</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Respaldada (signo −)</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ΔTC −1,57\</w:t>
            </w:r>
            <w:r>
              <w:rPr>
                <w:rFonts w:ascii="Segoe UI" w:hAnsi="Segoe UI"/>
                <w:i/>
                <w:sz w:val="20"/>
              </w:rPr>
              <w:t>\</w:t>
            </w:r>
            <w:r>
              <w:rPr>
                <w:rFonts w:ascii="Segoe UI" w:hAnsi="Segoe UI"/>
                <w:sz w:val="20"/>
              </w:rPr>
              <w:t>\*; capta competitividad y riesgo.</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H3</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No respaldada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Tasa local y externa no significativas en la especificación base.</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H4</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Respaldada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VIX negativo y significativo; mayor efecto estandarizado (−0,31 σ).</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H5</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Respaldada con quiebre</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Gregory-Hansen: cointegración con quiebre en 2008 (ADF\* = −6,68).</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H6</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Respaldada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FEVD: global ≈ 32% vs local ≈ 5%; jerarquía de betas estandarizados.</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b/>
                <w:sz w:val="20"/>
              </w:rPr>
              <w:t>H7</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Respaldada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Interacción d_cobre × global = +0,25 (p = 0,01); mayor sensibilidad internacional.</w:t>
            </w:r>
          </w:p>
        </w:tc>
      </w:tr>
    </w:tbl>
    <w:p>
      <w:pPr>
        <w:spacing w:after="40"/>
      </w:pPr>
    </w:p>
    <w:p>
      <w:r>
        <w:rPr>
          <w:b/>
        </w:rPr>
        <w:t>Diagnósticos de soporte:</w:t>
      </w:r>
      <w:r>
        <w:t xml:space="preserve"> CD-Pesaran (dependencia cruzada → Driscoll-Kraay); CIPS (precios I(1), retornos I(0)); estabilidad del VAR y Granger; GJR-GARCH (apalancamiento); Local Projections (cross-validación de la IRF); razón de varianzas de Lo-MacKinlay (eficiencia débil accionaria). La síntesis completa figura en el Anexo J.</w:t>
      </w:r>
    </w:p>
    <w:p>
      <w:r>
        <w:br w:type="page"/>
      </w:r>
    </w:p>
    <w:p>
      <w:pPr>
        <w:pStyle w:val="Heading1"/>
      </w:pPr>
      <w:r>
        <w:t>Referencias</w:t>
      </w:r>
    </w:p>
    <w:p>
      <w:r>
        <w:rPr>
          <w:color w:val="6E6E73"/>
          <w:sz w:val="24"/>
        </w:rPr>
        <w:t>Listado completo en formato APA 7</w:t>
      </w:r>
    </w:p>
    <w:p>
      <w:pPr>
        <w:spacing w:before="40" w:after="200"/>
        <w:pBdr>
          <w:bottom w:val="single" w:sz="6" w:space="1" w:color="D2D2D7"/>
        </w:pBdr>
      </w:pPr>
    </w:p>
    <w:p>
      <w:r>
        <w:t xml:space="preserve">Adler, M., &amp; Dumas, B. (1984). Exposure to currency risk: Definition and measurement. </w:t>
      </w:r>
      <w:r>
        <w:rPr>
          <w:i/>
        </w:rPr>
        <w:t>Financial Management</w:t>
      </w:r>
      <w:r>
        <w:t>, 13(2), 41–50.</w:t>
      </w:r>
    </w:p>
    <w:p>
      <w:r>
        <w:t xml:space="preserve">Bai, J., &amp; Perron, P. (2003). Computation and analysis of multiple structural change models. </w:t>
      </w:r>
      <w:r>
        <w:rPr>
          <w:i/>
        </w:rPr>
        <w:t>Journal of Applied Econometrics</w:t>
      </w:r>
      <w:r>
        <w:t>, 18(1), 1–22.</w:t>
      </w:r>
    </w:p>
    <w:p>
      <w:r>
        <w:t xml:space="preserve">Bekaert, G., &amp; Harvey, C. R. (1995). Time-varying world market integration. </w:t>
      </w:r>
      <w:r>
        <w:rPr>
          <w:i/>
        </w:rPr>
        <w:t>The Journal of Finance</w:t>
      </w:r>
      <w:r>
        <w:t>, 50(2), 403–444.</w:t>
      </w:r>
    </w:p>
    <w:p>
      <w:r>
        <w:t xml:space="preserve">Benjamini, Y., &amp; Hochberg, Y. (1995). Controlling the false discovery rate: A practical and powerful approach to multiple testing. </w:t>
      </w:r>
      <w:r>
        <w:rPr>
          <w:i/>
        </w:rPr>
        <w:t>Journal of the Royal Statistical Society: Series B</w:t>
      </w:r>
      <w:r>
        <w:t>, 57(1), 289–300.</w:t>
      </w:r>
    </w:p>
    <w:p>
      <w:r>
        <w:t xml:space="preserve">Bekaert, G., &amp; Harvey, C. R. (2005). Emerging markets finance. </w:t>
      </w:r>
      <w:r>
        <w:rPr>
          <w:i/>
        </w:rPr>
        <w:t>Journal of Empirical Finance</w:t>
      </w:r>
      <w:r>
        <w:t>, 10(1–2), 3–55.</w:t>
      </w:r>
    </w:p>
    <w:p>
      <w:r>
        <w:t xml:space="preserve">Bollerslev, T. (1986). Generalized autoregressive conditional heteroskedasticity. </w:t>
      </w:r>
      <w:r>
        <w:rPr>
          <w:i/>
        </w:rPr>
        <w:t>Journal of Econometrics</w:t>
      </w:r>
      <w:r>
        <w:t>, 31(3), 307–327.</w:t>
      </w:r>
    </w:p>
    <w:p>
      <w:r>
        <w:t xml:space="preserve">Boyer, M. M., &amp; Filion, D. (2007). Common and fundamental factors in stock returns of Canadian oil and gas companies. </w:t>
      </w:r>
      <w:r>
        <w:rPr>
          <w:i/>
        </w:rPr>
        <w:t>Energy Economics</w:t>
      </w:r>
      <w:r>
        <w:t>, 29(3), 428–453.</w:t>
      </w:r>
    </w:p>
    <w:p>
      <w:r>
        <w:t xml:space="preserve">Bry, G., &amp; Boschan, C. (1971). </w:t>
      </w:r>
      <w:r>
        <w:rPr>
          <w:i/>
        </w:rPr>
        <w:t>Cyclical Analysis of Time Series: Selected Procedures and Computer Programs</w:t>
      </w:r>
      <w:r>
        <w:t>. NBER.</w:t>
      </w:r>
    </w:p>
    <w:p>
      <w:r>
        <w:t xml:space="preserve">Cashin, P., Céspedes, L. F., &amp; Sahay, R. (2004). Commodity currencies and the real exchange rate. </w:t>
      </w:r>
      <w:r>
        <w:rPr>
          <w:i/>
        </w:rPr>
        <w:t>Journal of Development Economics</w:t>
      </w:r>
      <w:r>
        <w:t>, 75(1), 239–268.</w:t>
      </w:r>
    </w:p>
    <w:p>
      <w:r>
        <w:t xml:space="preserve">Chen, N. F., Roll, R., &amp; Ross, S. A. (1986). Economic forces and the stock market. </w:t>
      </w:r>
      <w:r>
        <w:rPr>
          <w:i/>
        </w:rPr>
        <w:t>The Journal of Business</w:t>
      </w:r>
      <w:r>
        <w:t>, 59(3), 383–403.</w:t>
      </w:r>
    </w:p>
    <w:p>
      <w:r>
        <w:t xml:space="preserve">Chen, Y. C., &amp; Rogoff, K. (2003). Commodity currencies. </w:t>
      </w:r>
      <w:r>
        <w:rPr>
          <w:i/>
        </w:rPr>
        <w:t>Journal of International Economics</w:t>
      </w:r>
      <w:r>
        <w:t>, 60(1), 133–160.</w:t>
      </w:r>
    </w:p>
    <w:p>
      <w:r>
        <w:t xml:space="preserve">Chen, Y. C., Rogoff, K., &amp; Rossi, B. (2010). Can exchange rates forecast commodity prices? </w:t>
      </w:r>
      <w:r>
        <w:rPr>
          <w:i/>
        </w:rPr>
        <w:t>The Quarterly Journal of Economics</w:t>
      </w:r>
      <w:r>
        <w:t>, 125(3), 1145–1194.</w:t>
      </w:r>
    </w:p>
    <w:p>
      <w:r>
        <w:t xml:space="preserve">Dickey, D. A., &amp; Fuller, W. A. (1979). Distribution of the estimators for autoregressive time series with a unit root. </w:t>
      </w:r>
      <w:r>
        <w:rPr>
          <w:i/>
        </w:rPr>
        <w:t>Journal of the American Statistical Association</w:t>
      </w:r>
      <w:r>
        <w:t>, 74(366), 427–431.</w:t>
      </w:r>
    </w:p>
    <w:p>
      <w:r>
        <w:t xml:space="preserve">Driscoll, J. C., &amp; Kraay, A. C. (1998). Consistent covariance matrix estimation with spatially dependent panel data. </w:t>
      </w:r>
      <w:r>
        <w:rPr>
          <w:i/>
        </w:rPr>
        <w:t>Review of Economics and Statistics</w:t>
      </w:r>
      <w:r>
        <w:t>, 80(4), 549–560.</w:t>
      </w:r>
    </w:p>
    <w:p>
      <w:r>
        <w:t xml:space="preserve">Engle, R. F. (1982). Autoregressive conditional heteroscedasticity with estimates of the variance of United Kingdom inflation. </w:t>
      </w:r>
      <w:r>
        <w:rPr>
          <w:i/>
        </w:rPr>
        <w:t>Econometrica</w:t>
      </w:r>
      <w:r>
        <w:t>, 50(4), 987–1007.</w:t>
      </w:r>
    </w:p>
    <w:p>
      <w:r>
        <w:t xml:space="preserve">Engle, R. F., &amp; Granger, C. W. J. (1987). Co-integration and error correction: Representation, estimation, and testing. </w:t>
      </w:r>
      <w:r>
        <w:rPr>
          <w:i/>
        </w:rPr>
        <w:t>Econometrica</w:t>
      </w:r>
      <w:r>
        <w:t>, 55(2), 251–276.</w:t>
      </w:r>
    </w:p>
    <w:p>
      <w:r>
        <w:t xml:space="preserve">Errunza, V., &amp; Losq, E. (1985). International asset pricing under mild segmentation: Theory and test. </w:t>
      </w:r>
      <w:r>
        <w:rPr>
          <w:i/>
        </w:rPr>
        <w:t>The Journal of Finance</w:t>
      </w:r>
      <w:r>
        <w:t>, 40(1), 105–124.</w:t>
      </w:r>
    </w:p>
    <w:p>
      <w:r>
        <w:t xml:space="preserve">Fama, E. F. (1970). Efficient capital markets: A review of theory and empirical work. </w:t>
      </w:r>
      <w:r>
        <w:rPr>
          <w:i/>
        </w:rPr>
        <w:t>The Journal of Finance</w:t>
      </w:r>
      <w:r>
        <w:t>, 25(2), 383–417.</w:t>
      </w:r>
    </w:p>
    <w:p>
      <w:r>
        <w:t xml:space="preserve">Fama, E. F. (1981). Stock returns, real activity, inflation, and money. </w:t>
      </w:r>
      <w:r>
        <w:rPr>
          <w:i/>
        </w:rPr>
        <w:t>The American Economic Review</w:t>
      </w:r>
      <w:r>
        <w:t>, 71(4), 545–565.</w:t>
      </w:r>
    </w:p>
    <w:p>
      <w:r>
        <w:t xml:space="preserve">Fama, E. F., &amp; French, K. R. (1989). Business conditions and expected returns on stocks and bonds. </w:t>
      </w:r>
      <w:r>
        <w:rPr>
          <w:i/>
        </w:rPr>
        <w:t>Journal of Financial Economics</w:t>
      </w:r>
      <w:r>
        <w:t>, 25(1), 23–49.</w:t>
      </w:r>
    </w:p>
    <w:p>
      <w:r>
        <w:t xml:space="preserve">Harding, D., &amp; Pagan, A. (2002). Dissecting the cycle: A methodological investigation. </w:t>
      </w:r>
      <w:r>
        <w:rPr>
          <w:i/>
        </w:rPr>
        <w:t>Journal of Monetary Economics</w:t>
      </w:r>
      <w:r>
        <w:t>, 49(2), 365–381.</w:t>
      </w:r>
    </w:p>
    <w:p>
      <w:r>
        <w:t xml:space="preserve">Hausman, J. A. (1978). Specification tests in econometrics. </w:t>
      </w:r>
      <w:r>
        <w:rPr>
          <w:i/>
        </w:rPr>
        <w:t>Econometrica</w:t>
      </w:r>
      <w:r>
        <w:t>, 46(6), 1251–1271.</w:t>
      </w:r>
    </w:p>
    <w:p>
      <w:r>
        <w:t xml:space="preserve">Hamilton, J. D. (1989). A new approach to the economic analysis of nonstationary time series and the business cycle. </w:t>
      </w:r>
      <w:r>
        <w:rPr>
          <w:i/>
        </w:rPr>
        <w:t>Econometrica</w:t>
      </w:r>
      <w:r>
        <w:t>, 57(2), 357–384.</w:t>
      </w:r>
    </w:p>
    <w:p>
      <w:r>
        <w:t xml:space="preserve">Im, K. S., Pesaran, M. H., &amp; Shin, Y. (2003). Testing for unit roots in heterogeneous panels. </w:t>
      </w:r>
      <w:r>
        <w:rPr>
          <w:i/>
        </w:rPr>
        <w:t>Journal of Econometrics</w:t>
      </w:r>
      <w:r>
        <w:t>, 115(1), 53–74.</w:t>
      </w:r>
    </w:p>
    <w:p>
      <w:r>
        <w:t xml:space="preserve">Glosten, L. R., Jagannathan, R., &amp; Runkle, D. E. (1993). On the relation between the expected value and the volatility of the nominal excess return on stocks. </w:t>
      </w:r>
      <w:r>
        <w:rPr>
          <w:i/>
        </w:rPr>
        <w:t>The Journal of Finance</w:t>
      </w:r>
      <w:r>
        <w:t>, 48(5), 1779–1801.</w:t>
      </w:r>
    </w:p>
    <w:p>
      <w:r>
        <w:t xml:space="preserve">Johansen, S. (1988). Statistical analysis of cointegration vectors. </w:t>
      </w:r>
      <w:r>
        <w:rPr>
          <w:i/>
        </w:rPr>
        <w:t>Journal of Economic Dynamics and Control</w:t>
      </w:r>
      <w:r>
        <w:t>, 12(2–3), 231–254.</w:t>
      </w:r>
    </w:p>
    <w:p>
      <w:r>
        <w:t xml:space="preserve">Jordà, Ò. (2005). Estimation and inference of impulse responses by local projections. </w:t>
      </w:r>
      <w:r>
        <w:rPr>
          <w:i/>
        </w:rPr>
        <w:t>The American Economic Review</w:t>
      </w:r>
      <w:r>
        <w:t>, 95(1), 161–182.</w:t>
      </w:r>
    </w:p>
    <w:p>
      <w:r>
        <w:t xml:space="preserve">Lo, A. W., &amp; MacKinlay, A. C. (1988). Stock market prices do not follow random walks: Evidence from a simple specification test. </w:t>
      </w:r>
      <w:r>
        <w:rPr>
          <w:i/>
        </w:rPr>
        <w:t>The Review of Financial Studies</w:t>
      </w:r>
      <w:r>
        <w:t>, 1(1), 41–66.</w:t>
      </w:r>
    </w:p>
    <w:p>
      <w:r>
        <w:t xml:space="preserve">Jorion, P. (1990). The exchange-rate exposure of U.S. multinationals. </w:t>
      </w:r>
      <w:r>
        <w:rPr>
          <w:i/>
        </w:rPr>
        <w:t>The Journal of Business</w:t>
      </w:r>
      <w:r>
        <w:t>, 63(3), 331–345.</w:t>
      </w:r>
    </w:p>
    <w:p>
      <w:r>
        <w:t xml:space="preserve">Kwiatkowski, D., Phillips, P. C. B., Schmidt, P., &amp; Shin, Y. (1992). Testing the null hypothesis of stationarity against the alternative of a unit root. </w:t>
      </w:r>
      <w:r>
        <w:rPr>
          <w:i/>
        </w:rPr>
        <w:t>Journal of Econometrics</w:t>
      </w:r>
      <w:r>
        <w:t>, 54(1–3), 159–178.</w:t>
      </w:r>
    </w:p>
    <w:p>
      <w:r>
        <w:t xml:space="preserve">Labbé, F., &amp; De Gregorio, J. (2011). </w:t>
      </w:r>
      <w:r>
        <w:rPr>
          <w:i/>
        </w:rPr>
        <w:t>Copper, the real exchange rate and macroeconomic fluctuations in Chile</w:t>
      </w:r>
      <w:r>
        <w:t xml:space="preserve"> (Working Paper N°640). Banco Central de Chile.</w:t>
      </w:r>
    </w:p>
    <w:p>
      <w:r>
        <w:t xml:space="preserve">Pedersen, M. (2015). </w:t>
      </w:r>
      <w:r>
        <w:rPr>
          <w:i/>
        </w:rPr>
        <w:t>The impact of commodity price shocks in a major producing economy: The case of copper and Chile</w:t>
      </w:r>
      <w:r>
        <w:t xml:space="preserve"> (Working Paper N°753). Banco Central de Chile.</w:t>
      </w:r>
    </w:p>
    <w:p>
      <w:r>
        <w:t xml:space="preserve">Pesaran, M. H. (2007). A simple panel unit root test in the presence of cross-section dependence. </w:t>
      </w:r>
      <w:r>
        <w:rPr>
          <w:i/>
        </w:rPr>
        <w:t>Journal of Applied Econometrics</w:t>
      </w:r>
      <w:r>
        <w:t>, 22(2), 265–312.</w:t>
      </w:r>
    </w:p>
    <w:p>
      <w:r>
        <w:t xml:space="preserve">Newey, W. K., &amp; West, K. D. (1987). A simple, positive semi-definite, heteroskedasticity and autocorrelation consistent covariance matrix. </w:t>
      </w:r>
      <w:r>
        <w:rPr>
          <w:i/>
        </w:rPr>
        <w:t>Econometrica</w:t>
      </w:r>
      <w:r>
        <w:t>, 55(3), 703–708.</w:t>
      </w:r>
    </w:p>
    <w:p>
      <w:r>
        <w:t xml:space="preserve">Pesaran, M. H., &amp; Shin, Y. (1998). Generalized impulse response analysis in linear multivariate models. </w:t>
      </w:r>
      <w:r>
        <w:rPr>
          <w:i/>
        </w:rPr>
        <w:t>Economics Letters</w:t>
      </w:r>
      <w:r>
        <w:t>, 58(1), 17–29.</w:t>
      </w:r>
    </w:p>
    <w:p>
      <w:r>
        <w:t xml:space="preserve">Pesaran, M. H., &amp; Yamagata, T. (2008). Testing slope homogeneity in large panels. </w:t>
      </w:r>
      <w:r>
        <w:rPr>
          <w:i/>
        </w:rPr>
        <w:t>Journal of Econometrics</w:t>
      </w:r>
      <w:r>
        <w:t>, 142(1), 50–93.</w:t>
      </w:r>
    </w:p>
    <w:p>
      <w:r>
        <w:t xml:space="preserve">Pesaran, M. H., Shin, Y., &amp; Smith, R. J. (2001). Bounds testing approaches to the analysis of level relationships. </w:t>
      </w:r>
      <w:r>
        <w:rPr>
          <w:i/>
        </w:rPr>
        <w:t>Journal of Applied Econometrics</w:t>
      </w:r>
      <w:r>
        <w:t>, 16(3), 289–326.</w:t>
      </w:r>
    </w:p>
    <w:p>
      <w:r>
        <w:t xml:space="preserve">Phillips, P. C. B., &amp; Perron, P. (1988). Testing for a unit root in time series regression. </w:t>
      </w:r>
      <w:r>
        <w:rPr>
          <w:i/>
        </w:rPr>
        <w:t>Biometrika</w:t>
      </w:r>
      <w:r>
        <w:t>, 75(2), 335–346.</w:t>
      </w:r>
    </w:p>
    <w:p>
      <w:r>
        <w:t xml:space="preserve">Pincheira, P., &amp; Hardy, N. (2019). Forecasting base metal prices with the Chilean exchange rate. </w:t>
      </w:r>
      <w:r>
        <w:rPr>
          <w:i/>
        </w:rPr>
        <w:t>Resources Policy</w:t>
      </w:r>
      <w:r>
        <w:t>, 62, 256–281.</w:t>
      </w:r>
    </w:p>
    <w:p>
      <w:r>
        <w:t xml:space="preserve">Ross, S. A. (1976). The arbitrage theory of capital asset pricing. </w:t>
      </w:r>
      <w:r>
        <w:rPr>
          <w:i/>
        </w:rPr>
        <w:t>Journal of Economic Theory</w:t>
      </w:r>
      <w:r>
        <w:t>, 13(3), 341–360.</w:t>
      </w:r>
    </w:p>
    <w:p>
      <w:r>
        <w:t xml:space="preserve">Sadorsky, P. (2001). Risk factors in stock returns of Canadian oil and gas companies. </w:t>
      </w:r>
      <w:r>
        <w:rPr>
          <w:i/>
        </w:rPr>
        <w:t>Energy Economics</w:t>
      </w:r>
      <w:r>
        <w:t>, 23(1), 17–28.</w:t>
      </w:r>
    </w:p>
    <w:p>
      <w:r>
        <w:t xml:space="preserve">Sims, C. A. (1980). Macroeconomics and reality. </w:t>
      </w:r>
      <w:r>
        <w:rPr>
          <w:i/>
        </w:rPr>
        <w:t>Econometrica</w:t>
      </w:r>
      <w:r>
        <w:t>, 48(1), 1–48.</w:t>
      </w:r>
    </w:p>
    <w:p>
      <w:r>
        <w:t xml:space="preserve">Wallenstein, T., Mendiola, A., &amp; Chávez-Bedoya, L. (2021). </w:t>
      </w:r>
      <w:r>
        <w:rPr>
          <w:i/>
        </w:rPr>
        <w:t>Analysis of the reaction of mining stocks to the development of copper prices</w:t>
      </w:r>
      <w:r>
        <w:t>. Consejo Latinoamericano de Escuelas de Administración (CLADEA).</w:t>
      </w:r>
    </w:p>
    <w:p>
      <w:r>
        <w:t xml:space="preserve">Westerlund, J. (2007). Testing for error correction in panel data. </w:t>
      </w:r>
      <w:r>
        <w:rPr>
          <w:i/>
        </w:rPr>
        <w:t>Oxford Bulletin of Economics and Statistics</w:t>
      </w:r>
      <w:r>
        <w:t>, 69(6), 709–748.</w:t>
      </w:r>
    </w:p>
    <w:p>
      <w:r>
        <w:t xml:space="preserve">Zhu, H., Chen, X., &amp; Chen, B. (2021). Effects of non-ferrous metal prices and uncertainty on industry stock market under different market conditions. </w:t>
      </w:r>
      <w:r>
        <w:rPr>
          <w:i/>
        </w:rPr>
        <w:t>Resources Policy</w:t>
      </w:r>
      <w:r>
        <w:t>, 73, 102243.</w:t>
      </w:r>
    </w:p>
    <w:p>
      <w:r>
        <w:t xml:space="preserve">Zivot, E., &amp; Andrews, D. W. K. (1992). Further evidence on the great crash, the oil-price shock, and the unit-root hypothesis. </w:t>
      </w:r>
      <w:r>
        <w:rPr>
          <w:i/>
        </w:rPr>
        <w:t>Journal of Business &amp; Economic Statistics</w:t>
      </w:r>
      <w:r>
        <w:t>, 10(3), 251–270.</w:t>
      </w:r>
    </w:p>
    <w:p>
      <w:r>
        <w:t xml:space="preserve">Zurita, S., Fuentes, R., &amp; Gregoire, J. (2005). </w:t>
      </w:r>
      <w:r>
        <w:rPr>
          <w:i/>
        </w:rPr>
        <w:t>Factores macroeconómicos en retornos accionarios chilenos</w:t>
      </w:r>
      <w:r>
        <w:t xml:space="preserve"> (Documento de Trabajo N°316). Banco Central de Chile. (Reeditado en </w:t>
      </w:r>
      <w:r>
        <w:rPr>
          <w:i/>
        </w:rPr>
        <w:t>El Trimestre Económico</w:t>
      </w:r>
      <w:r>
        <w:t>, 2006.)</w:t>
      </w:r>
    </w:p>
    <w:p>
      <w:r>
        <w:br w:type="page"/>
      </w:r>
    </w:p>
    <w:p>
      <w:pPr>
        <w:pStyle w:val="Heading1"/>
      </w:pPr>
      <w:r>
        <w:t>Hallazgos de los Datos</w:t>
      </w:r>
    </w:p>
    <w:p>
      <w:r>
        <w:rPr>
          <w:color w:val="6E6E73"/>
          <w:sz w:val="24"/>
        </w:rPr>
        <w:t>Resultados de las series descargadas (FRED + Yahoo Finance)</w:t>
      </w:r>
    </w:p>
    <w:p>
      <w:pPr>
        <w:spacing w:before="40" w:after="200"/>
        <w:pBdr>
          <w:bottom w:val="single" w:sz="6" w:space="1" w:color="D2D2D7"/>
        </w:pBdr>
      </w:pPr>
    </w:p>
    <w:p>
      <w:r>
        <w:t>Ejecución real de la adquisición (</w:t>
      </w:r>
      <w:r>
        <w:rPr>
          <w:rFonts w:ascii="Consolas" w:hAnsi="Consolas"/>
          <w:sz w:val="20"/>
        </w:rPr>
        <w:t>src/data_acquisition.py</w:t>
      </w:r>
      <w:r>
        <w:t xml:space="preserve">) — fecha de corrida: ver git/log. </w:t>
      </w:r>
      <w:r>
        <w:rPr>
          <w:b/>
        </w:rPr>
        <w:t>Todo lo de abajo se descargó y verificó efectivamente; no son supuestos.</w:t>
      </w:r>
    </w:p>
    <w:p>
      <w:pPr>
        <w:pStyle w:val="Heading3"/>
      </w:pPr>
      <w:r>
        <w:t>1. Período efectivo</w:t>
      </w:r>
    </w:p>
    <w:p>
      <w:pPr>
        <w:pStyle w:val="ListBullet"/>
      </w:pPr>
      <w:r>
        <w:rPr>
          <w:b/>
        </w:rPr>
        <w:t>2004–2024 es plenamente viable.</w:t>
      </w:r>
      <w:r>
        <w:t xml:space="preserve"> El retorno mensual de ANTO.L (anillo 1) cubre </w:t>
      </w:r>
      <w:r>
        <w:rPr>
          <w:b/>
        </w:rPr>
        <w:t>2004-02 → 2024-12 = 251 meses</w:t>
      </w:r>
      <w:r>
        <w:t>. Holgado para VAR/VECM/ARDL.</w:t>
      </w:r>
    </w:p>
    <w:p>
      <w:pPr>
        <w:pStyle w:val="ListBullet"/>
      </w:pPr>
      <w:r>
        <w:t xml:space="preserve">El cuello de botella NO es la historia de las empresas (todas parten ≥2002), sino la </w:t>
      </w:r>
      <w:r>
        <w:rPr>
          <w:b/>
        </w:rPr>
        <w:t>disponibilidad de las series locales del BCCh</w:t>
      </w:r>
      <w:r>
        <w:t xml:space="preserve"> (pendiente de descarga manual).</w:t>
      </w:r>
    </w:p>
    <w:p>
      <w:pPr>
        <w:pStyle w:val="Heading3"/>
      </w:pPr>
      <w:r>
        <w:t>2. Macro global (FRED) — ✅ descarga automática OK</w:t>
      </w:r>
    </w:p>
    <w:tbl>
      <w:tblPr>
        <w:tblW w:type="auto" w:w="0"/>
        <w:jc w:val="left"/>
        <w:tblLayout w:type="autofit"/>
        <w:tblLook w:firstColumn="1" w:firstRow="1" w:lastColumn="0" w:lastRow="0" w:noHBand="0" w:noVBand="1" w:val="04A0"/>
      </w:tblPr>
      <w:tblGrid>
        <w:gridCol w:w="2153"/>
        <w:gridCol w:w="2153"/>
        <w:gridCol w:w="2153"/>
        <w:gridCol w:w="2153"/>
      </w:tblGrid>
      <w:tr>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Variable</w:t>
            </w:r>
          </w:p>
        </w:tc>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Código FRED</w:t>
            </w:r>
          </w:p>
        </w:tc>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Cobertura verificada</w:t>
            </w:r>
          </w:p>
        </w:tc>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Frecuencia</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Cobre</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PCOPPUSDM</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1992 → 2026</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Mensual</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VIX</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VIXCLS</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1990 → 2026</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Diaria</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Fed Funds</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FEDFUNDS</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1954 → 2026</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Mensual</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Treasury 10Y</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DGS10</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1962 → 2026</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Diaria</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WTI (control)</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DCOILWTICO</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1986 → 2026</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Diaria</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USD/CLP</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DEXCHUS</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1981 → 2026</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Diaria</w:t>
            </w:r>
          </w:p>
        </w:tc>
      </w:tr>
    </w:tbl>
    <w:p>
      <w:pPr>
        <w:spacing w:after="40"/>
      </w:pPr>
    </w:p>
    <w:p>
      <w:pPr>
        <w:pStyle w:val="Heading3"/>
      </w:pPr>
      <w:r>
        <w:t>3. Acciones (Yahoo Finance) — ✅ OK</w:t>
      </w:r>
    </w:p>
    <w:tbl>
      <w:tblPr>
        <w:tblW w:type="auto" w:w="0"/>
        <w:jc w:val="left"/>
        <w:tblLayout w:type="autofit"/>
        <w:tblLook w:firstColumn="1" w:firstRow="1" w:lastColumn="0" w:lastRow="0" w:noHBand="0" w:noVBand="1" w:val="04A0"/>
      </w:tblPr>
      <w:tblGrid>
        <w:gridCol w:w="2871"/>
        <w:gridCol w:w="2871"/>
        <w:gridCol w:w="2871"/>
      </w:tblGrid>
      <w:tr>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Ticker</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Empresa</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Cobertura verificada</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ANTO.L</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Antofagasta plc</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2000 → 2024</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BHP</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BHP Group</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2000 → 2024</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AAL.L</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Anglo American</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2000 → 2024</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LUN.TO</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Lundin Mining</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2000 → 2024</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TECK</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Teck Resources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2002 → 2024</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SQM</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SQM</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2000 → 2024</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CAP.SN</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CAP S.A.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2000 → 2024</w:t>
            </w:r>
          </w:p>
        </w:tc>
      </w:tr>
    </w:tbl>
    <w:p>
      <w:pPr>
        <w:spacing w:after="40"/>
      </w:pPr>
    </w:p>
    <w:p>
      <w:r>
        <w:t xml:space="preserve">Todas usan </w:t>
      </w:r>
      <w:r>
        <w:rPr>
          <w:b/>
        </w:rPr>
        <w:t>Adj Close</w:t>
      </w:r>
      <w:r>
        <w:t xml:space="preserve"> (ajustado por dividendos/splits).</w:t>
      </w:r>
    </w:p>
    <w:p>
      <w:pPr>
        <w:pStyle w:val="Heading3"/>
      </w:pPr>
      <w:r>
        <w:t>4. Problema detectado: IPSA por Yahoo ⚠️</w:t>
      </w:r>
    </w:p>
    <w:p>
      <w:pPr>
        <w:pStyle w:val="ListBullet"/>
      </w:pPr>
      <w:r>
        <w:t xml:space="preserve">El ticker </w:t>
      </w:r>
      <w:r>
        <w:rPr>
          <w:rFonts w:ascii="Consolas" w:hAnsi="Consolas"/>
          <w:sz w:val="20"/>
        </w:rPr>
        <w:t>^IPSA</w:t>
      </w:r>
      <w:r>
        <w:t xml:space="preserve"> de Yahoo </w:t>
      </w:r>
      <w:r>
        <w:rPr>
          <w:b/>
        </w:rPr>
        <w:t>se trunca en 2019-06</w:t>
      </w:r>
      <w:r>
        <w:t xml:space="preserve"> (verificado). Los alternativos </w:t>
      </w:r>
      <w:r>
        <w:rPr>
          <w:rFonts w:ascii="Consolas" w:hAnsi="Consolas"/>
          <w:sz w:val="20"/>
        </w:rPr>
        <w:t>^SPIPSA</w:t>
      </w:r>
      <w:r>
        <w:t xml:space="preserve"> / </w:t>
      </w:r>
      <w:r>
        <w:rPr>
          <w:rFonts w:ascii="Consolas" w:hAnsi="Consolas"/>
          <w:sz w:val="20"/>
        </w:rPr>
        <w:t>SPIPSA.SN</w:t>
      </w:r>
      <w:r>
        <w:t xml:space="preserve"> </w:t>
      </w:r>
      <w:r>
        <w:rPr>
          <w:b/>
        </w:rPr>
        <w:t>no existen</w:t>
      </w:r>
      <w:r>
        <w:t xml:space="preserve"> en Yahoo.</w:t>
      </w:r>
    </w:p>
    <w:p>
      <w:pPr>
        <w:pStyle w:val="ListBullet"/>
      </w:pPr>
      <w:r>
        <w:rPr>
          <w:b/>
        </w:rPr>
        <w:t>Solución:</w:t>
      </w:r>
      <w:r>
        <w:t xml:space="preserve"> descargar el IPSA desde el </w:t>
      </w:r>
      <w:r>
        <w:rPr>
          <w:b/>
        </w:rPr>
        <w:t>BCCh</w:t>
      </w:r>
      <w:r>
        <w:t xml:space="preserve"> (si3.bcentral.cl) o la </w:t>
      </w:r>
      <w:r>
        <w:rPr>
          <w:b/>
        </w:rPr>
        <w:t>Bolsa de Santiago</w:t>
      </w:r>
      <w:r>
        <w:t xml:space="preserve"> a </w:t>
      </w:r>
      <w:r>
        <w:rPr>
          <w:rFonts w:ascii="Consolas" w:hAnsi="Consolas"/>
          <w:sz w:val="20"/>
        </w:rPr>
        <w:t>data/raw/bcch_ipsa.csv</w:t>
      </w:r>
      <w:r>
        <w:t xml:space="preserve">. Ya quedó configurado así en </w:t>
      </w:r>
      <w:r>
        <w:rPr>
          <w:rFonts w:ascii="Consolas" w:hAnsi="Consolas"/>
          <w:sz w:val="20"/>
        </w:rPr>
        <w:t>config.py</w:t>
      </w:r>
      <w:r>
        <w:t>.</w:t>
      </w:r>
    </w:p>
    <w:p>
      <w:pPr>
        <w:pStyle w:val="Heading3"/>
      </w:pPr>
      <w:r>
        <w:t>5. Pendiente de descarga MANUAL a `data/raw/` (BCCh / Cochilco / CMF)</w:t>
      </w:r>
    </w:p>
    <w:tbl>
      <w:tblPr>
        <w:tblW w:type="auto" w:w="0"/>
        <w:jc w:val="left"/>
        <w:tblLayout w:type="autofit"/>
        <w:tblLook w:firstColumn="1" w:firstRow="1" w:lastColumn="0" w:lastRow="0" w:noHBand="0" w:noVBand="1" w:val="04A0"/>
      </w:tblPr>
      <w:tblGrid>
        <w:gridCol w:w="2871"/>
        <w:gridCol w:w="2871"/>
        <w:gridCol w:w="2871"/>
      </w:tblGrid>
      <w:tr>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Archivo esperado</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Serie</w:t>
            </w:r>
          </w:p>
        </w:tc>
        <w:tc>
          <w:tcPr>
            <w:tcW w:type="dxa" w:w="2871"/>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Fuente</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bcch_tpm.csv</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Tasa de Política Monetaria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bcch_imacec.csv</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IMACEC (proxy PIB mensual)</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bcch_embi.csv</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EMBI Chile / spread soberano</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bcch_ipc.csv</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IPC / inflación</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INE / BCCh</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bcch_ipsa.csv</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IPSA</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 / Bolsa Santiago</w:t>
            </w:r>
          </w:p>
        </w:tc>
      </w:tr>
      <w:tr>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EE.FF. trimestrales</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leverage, ROA, etc.</w:t>
            </w:r>
          </w:p>
        </w:tc>
        <w:tc>
          <w:tcPr>
            <w:tcW w:type="dxa" w:w="2871"/>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CMF (cmfchile.cl)</w:t>
            </w:r>
          </w:p>
        </w:tc>
      </w:tr>
    </w:tbl>
    <w:p>
      <w:pPr>
        <w:spacing w:after="40"/>
      </w:pPr>
    </w:p>
    <w:p>
      <w:pPr>
        <w:pStyle w:val="Heading3"/>
      </w:pPr>
      <w:r>
        <w:t>6. Validación econométrica con datos reales</w:t>
      </w:r>
    </w:p>
    <w:p>
      <w:pPr>
        <w:pStyle w:val="ListBullet"/>
      </w:pPr>
      <w:r>
        <w:t xml:space="preserve">OE1 sobre el cobre real (2004–2024): </w:t>
      </w:r>
      <w:r>
        <w:rPr>
          <w:b/>
        </w:rPr>
        <w:t>log-nivel → I(1)</w:t>
      </w:r>
      <w:r>
        <w:t xml:space="preserve"> (ADF p=0.013, KPSS rechaza), </w:t>
      </w:r>
      <w:r>
        <w:rPr>
          <w:b/>
        </w:rPr>
        <w:t>retorno → I(0)</w:t>
      </w:r>
      <w:r>
        <w:t xml:space="preserve"> (ADF p=0.0001, KPSS no rechaza). Patrón esperado confirmado.</w:t>
      </w:r>
    </w:p>
    <w:p>
      <w:pPr>
        <w:pStyle w:val="ListBullet"/>
      </w:pPr>
      <w:r>
        <w:t>Esto valida la doble vía: retornos I(0) para impacto de corto plazo (OE2); niveles I(1) para cointegración de largo plazo (OE3).</w:t>
      </w:r>
    </w:p>
    <w:p>
      <w:pPr>
        <w:pStyle w:val="Heading3"/>
      </w:pPr>
      <w:r>
        <w:t>7. Datos guardados</w:t>
      </w:r>
    </w:p>
    <w:p>
      <w:r>
        <w:t xml:space="preserve">En </w:t>
      </w:r>
      <w:r>
        <w:rPr>
          <w:rFonts w:ascii="Consolas" w:hAnsi="Consolas"/>
          <w:sz w:val="20"/>
        </w:rPr>
        <w:t>data/interim/</w:t>
      </w:r>
      <w:r>
        <w:t xml:space="preserve"> (parquet):</w:t>
      </w:r>
    </w:p>
    <w:p>
      <w:pPr>
        <w:pStyle w:val="ListBullet"/>
      </w:pPr>
      <w:r>
        <w:rPr>
          <w:rFonts w:ascii="Consolas" w:hAnsi="Consolas"/>
          <w:sz w:val="20"/>
        </w:rPr>
        <w:t>raw_macro_global.parquet</w:t>
      </w:r>
      <w:r>
        <w:t xml:space="preserve"> — 6 series FRED globales.</w:t>
      </w:r>
    </w:p>
    <w:p>
      <w:pPr>
        <w:pStyle w:val="ListBullet"/>
      </w:pPr>
      <w:r>
        <w:rPr>
          <w:rFonts w:ascii="Consolas" w:hAnsi="Consolas"/>
          <w:sz w:val="20"/>
        </w:rPr>
        <w:t>raw_macro_local_fred.parquet</w:t>
      </w:r>
      <w:r>
        <w:t xml:space="preserve"> — USD/CLP.</w:t>
      </w:r>
    </w:p>
    <w:p>
      <w:pPr>
        <w:pStyle w:val="ListBullet"/>
      </w:pPr>
      <w:r>
        <w:rPr>
          <w:rFonts w:ascii="Consolas" w:hAnsi="Consolas"/>
          <w:sz w:val="20"/>
        </w:rPr>
        <w:t>raw_precios.parquet</w:t>
      </w:r>
      <w:r>
        <w:t xml:space="preserve"> — 7 acciones candidatas.</w:t>
      </w:r>
    </w:p>
    <w:p>
      <w:r>
        <w:br w:type="page"/>
      </w:r>
    </w:p>
    <w:p>
      <w:pPr>
        <w:pStyle w:val="Heading1"/>
      </w:pPr>
      <w:r>
        <w:t>Guía de Descarga (BCCh)</w:t>
      </w:r>
    </w:p>
    <w:p>
      <w:r>
        <w:rPr>
          <w:color w:val="6E6E73"/>
          <w:sz w:val="24"/>
        </w:rPr>
        <w:t>Descarga del EMBI desde el Banco Central de Chile</w:t>
      </w:r>
    </w:p>
    <w:p>
      <w:pPr>
        <w:spacing w:before="40" w:after="200"/>
        <w:pBdr>
          <w:bottom w:val="single" w:sz="6" w:space="1" w:color="D2D2D7"/>
        </w:pBdr>
      </w:pPr>
    </w:p>
    <w:p>
      <w:r>
        <w:t xml:space="preserve">Objetivo: obtener las series que NO están en FRED y dejarlas en </w:t>
      </w:r>
      <w:r>
        <w:rPr>
          <w:rFonts w:ascii="Consolas" w:hAnsi="Consolas"/>
          <w:sz w:val="20"/>
        </w:rPr>
        <w:t>data/raw/</w:t>
      </w:r>
      <w:r>
        <w:t xml:space="preserve"> con el formato y nombre exactos que el código (</w:t>
      </w:r>
      <w:r>
        <w:rPr>
          <w:rFonts w:ascii="Consolas" w:hAnsi="Consolas"/>
          <w:sz w:val="20"/>
        </w:rPr>
        <w:t>src/config.py</w:t>
      </w:r>
      <w:r>
        <w:t xml:space="preserve"> → </w:t>
      </w:r>
      <w:r>
        <w:rPr>
          <w:rFonts w:ascii="Consolas" w:hAnsi="Consolas"/>
          <w:sz w:val="20"/>
        </w:rPr>
        <w:t>MACRO_LOCAL_BCCH</w:t>
      </w:r>
      <w:r>
        <w:t>) espera.</w:t>
      </w:r>
    </w:p>
    <w:p>
      <w:pPr>
        <w:pStyle w:val="Heading3"/>
      </w:pPr>
      <w:r>
        <w:t>1. Series requeridas y dónde encontrarlas</w:t>
      </w:r>
    </w:p>
    <w:tbl>
      <w:tblPr>
        <w:tblW w:type="auto" w:w="0"/>
        <w:jc w:val="left"/>
        <w:tblLayout w:type="autofit"/>
        <w:tblLook w:firstColumn="1" w:firstRow="1" w:lastColumn="0" w:lastRow="0" w:noHBand="0" w:noVBand="1" w:val="04A0"/>
      </w:tblPr>
      <w:tblGrid>
        <w:gridCol w:w="2153"/>
        <w:gridCol w:w="2153"/>
        <w:gridCol w:w="2153"/>
        <w:gridCol w:w="2153"/>
      </w:tblGrid>
      <w:tr>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Archivo destino (</w:t>
            </w:r>
            <w:r>
              <w:rPr>
                <w:rFonts w:ascii="Segoe UI" w:hAnsi="Segoe UI"/>
                <w:b/>
                <w:color w:val="1D1D1F"/>
                <w:sz w:val="20"/>
              </w:rPr>
              <w:t>data/raw/</w:t>
            </w:r>
            <w:r>
              <w:rPr>
                <w:rFonts w:ascii="Segoe UI" w:hAnsi="Segoe UI"/>
                <w:b/>
                <w:color w:val="1D1D1F"/>
                <w:sz w:val="20"/>
              </w:rPr>
              <w:t>)</w:t>
            </w:r>
          </w:p>
        </w:tc>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Serie</w:t>
            </w:r>
          </w:p>
        </w:tc>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Fuente principal</w:t>
            </w:r>
          </w:p>
        </w:tc>
        <w:tc>
          <w:tcPr>
            <w:tcW w:type="dxa" w:w="2153"/>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Dónde</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bcch_tpm.csv</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Tasa de Política Monetaria (TPM)</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Banco Central de Chile</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BDE → Tasas de interés → TPM</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bcch_imacec.csv</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IMACEC (índice mensual de actividad)</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Banco Central de Chile</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BDE → Actividad → IMACEC (serie empalmada, desestacionalizada o no — ver §4)</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bcch_embi.csv</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EMBI Chile / spread soberano</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Banco Central de Chile</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BDE → Estadísticas monetarias y financieras → Riesgo soberano / EMBI</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bcch_ipc.csv</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IPC / variación mensual</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INE (BCCh redistribuye)</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ine.gob.cl → IPC, o BDE → Precios → IPC</w:t>
            </w:r>
          </w:p>
        </w:tc>
      </w:tr>
      <w:tr>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bcch_ipsa.csv</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Índice IPSA</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Bolsa de Santiago / BCCh</w:t>
            </w:r>
          </w:p>
        </w:tc>
        <w:tc>
          <w:tcPr>
            <w:tcW w:type="dxa" w:w="2153"/>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BDE → Mercado bursátil → IPSA (NO usar Yahoo: se corta en 2019)</w:t>
            </w:r>
          </w:p>
        </w:tc>
      </w:tr>
    </w:tbl>
    <w:p>
      <w:pPr>
        <w:spacing w:after="40"/>
      </w:pPr>
    </w:p>
    <w:p>
      <w:r>
        <w:rPr>
          <w:b/>
        </w:rPr>
        <w:t>Portal BCCh:</w:t>
      </w:r>
      <w:r>
        <w:t xml:space="preserve"> Base de Datos Estadísticos (BDE), </w:t>
      </w:r>
      <w:r>
        <w:rPr>
          <w:rFonts w:ascii="Consolas" w:hAnsi="Consolas"/>
          <w:sz w:val="20"/>
        </w:rPr>
        <w:t>si3.bcentral.cl</w:t>
      </w:r>
      <w:r>
        <w:t xml:space="preserve">. Permite seleccionar la serie, el rango de fechas (pon </w:t>
      </w:r>
      <w:r>
        <w:rPr>
          <w:b/>
        </w:rPr>
        <w:t>2003-01 a 2024-12</w:t>
      </w:r>
      <w:r>
        <w:t xml:space="preserve"> para tener margen de un año antes del inicio muestral) y </w:t>
      </w:r>
      <w:r>
        <w:rPr>
          <w:b/>
        </w:rPr>
        <w:t>exportar a Excel/CSV</w:t>
      </w:r>
      <w:r>
        <w:t>.</w:t>
      </w:r>
    </w:p>
    <w:p>
      <w:r>
        <w:rPr>
          <w:b/>
        </w:rPr>
        <w:t>Cobre diario (opcional, solo si harás análisis de alta frecuencia):</w:t>
      </w:r>
      <w:r>
        <w:t xml:space="preserve"> Cochilco (</w:t>
      </w:r>
      <w:r>
        <w:rPr>
          <w:rFonts w:ascii="Consolas" w:hAnsi="Consolas"/>
          <w:sz w:val="20"/>
        </w:rPr>
        <w:t>cochilco.cl</w:t>
      </w:r>
      <w:r>
        <w:t xml:space="preserve"> → estadísticas → precio del cobre) o LME. Guárdalo como </w:t>
      </w:r>
      <w:r>
        <w:rPr>
          <w:rFonts w:ascii="Consolas" w:hAnsi="Consolas"/>
          <w:sz w:val="20"/>
        </w:rPr>
        <w:t>cobre_diario.csv</w:t>
      </w:r>
      <w:r>
        <w:t>.</w:t>
      </w:r>
    </w:p>
    <w:p>
      <w:pPr>
        <w:pStyle w:val="Heading3"/>
      </w:pPr>
      <w:r>
        <w:t>2. Formato exacto que espera el código</w:t>
      </w:r>
    </w:p>
    <w:p>
      <w:r>
        <w:t xml:space="preserve">La función </w:t>
      </w:r>
      <w:r>
        <w:rPr>
          <w:rFonts w:ascii="Consolas" w:hAnsi="Consolas"/>
          <w:sz w:val="20"/>
        </w:rPr>
        <w:t>data_acquisition.load_local_csv()</w:t>
      </w:r>
      <w:r>
        <w:t xml:space="preserve"> está configurada para el export típico del BCCh:</w:t>
      </w:r>
    </w:p>
    <w:p>
      <w:pPr>
        <w:pStyle w:val="ListBullet"/>
      </w:pPr>
      <w:r>
        <w:rPr>
          <w:b/>
        </w:rPr>
        <w:t>Separador:</w:t>
      </w:r>
      <w:r>
        <w:t xml:space="preserve"> </w:t>
      </w:r>
      <w:r>
        <w:rPr>
          <w:rFonts w:ascii="Consolas" w:hAnsi="Consolas"/>
          <w:sz w:val="20"/>
        </w:rPr>
        <w:t>;</w:t>
      </w:r>
      <w:r>
        <w:t xml:space="preserve"> (punto y coma). El BCCh suele exportar así.</w:t>
      </w:r>
    </w:p>
    <w:p>
      <w:pPr>
        <w:pStyle w:val="ListBullet"/>
      </w:pPr>
      <w:r>
        <w:rPr>
          <w:b/>
        </w:rPr>
        <w:t>Decimal:</w:t>
      </w:r>
      <w:r>
        <w:t xml:space="preserve"> </w:t>
      </w:r>
      <w:r>
        <w:rPr>
          <w:rFonts w:ascii="Consolas" w:hAnsi="Consolas"/>
          <w:sz w:val="20"/>
        </w:rPr>
        <w:t>,</w:t>
      </w:r>
      <w:r>
        <w:t xml:space="preserve"> (coma). Verifícalo abriendo el archivo en un editor de texto.</w:t>
      </w:r>
    </w:p>
    <w:p>
      <w:pPr>
        <w:pStyle w:val="ListBullet"/>
      </w:pPr>
      <w:r>
        <w:rPr>
          <w:b/>
        </w:rPr>
        <w:t>Primera columna = fecha</w:t>
      </w:r>
      <w:r>
        <w:t xml:space="preserve">, en formato día/mes/año o mes/año (la función usa </w:t>
      </w:r>
      <w:r>
        <w:rPr>
          <w:rFonts w:ascii="Consolas" w:hAnsi="Consolas"/>
          <w:sz w:val="20"/>
        </w:rPr>
        <w:t>dayfirst=True</w:t>
      </w:r>
      <w:r>
        <w:t>).</w:t>
      </w:r>
    </w:p>
    <w:p>
      <w:pPr>
        <w:pStyle w:val="ListBullet"/>
      </w:pPr>
      <w:r>
        <w:rPr>
          <w:b/>
        </w:rPr>
        <w:t>Una columna de valores</w:t>
      </w:r>
      <w:r>
        <w:t xml:space="preserve"> (la serie). Si el export trae varias columnas o metadatos en las primeras filas, elimínalas o usa el parámetro </w:t>
      </w:r>
      <w:r>
        <w:rPr>
          <w:rFonts w:ascii="Consolas" w:hAnsi="Consolas"/>
          <w:sz w:val="20"/>
        </w:rPr>
        <w:t>skiprows</w:t>
      </w:r>
      <w:r>
        <w:t xml:space="preserve"> al cargar.</w:t>
      </w:r>
    </w:p>
    <w:p>
      <w:r>
        <w:t xml:space="preserve">Si tu export usa coma como separador y punto decimal (formato anglosajón), cárgalo con </w:t>
      </w:r>
      <w:r>
        <w:rPr>
          <w:rFonts w:ascii="Consolas" w:hAnsi="Consolas"/>
          <w:sz w:val="20"/>
        </w:rPr>
        <w:t>sep=','</w:t>
      </w:r>
      <w:r>
        <w:t xml:space="preserve"> y </w:t>
      </w:r>
      <w:r>
        <w:rPr>
          <w:rFonts w:ascii="Consolas" w:hAnsi="Consolas"/>
          <w:sz w:val="20"/>
        </w:rPr>
        <w:t>decimal='.'</w:t>
      </w:r>
      <w:r>
        <w:t xml:space="preserve"> en lugar de los valores por defecto.</w:t>
      </w:r>
    </w:p>
    <w:p>
      <w:pPr>
        <w:pStyle w:val="Heading3"/>
      </w:pPr>
      <w:r>
        <w:t>Ejemplo de archivo válido (`bcch_tpm.csv`)</w:t>
      </w:r>
    </w:p>
    <w:p>
      <w:r>
        <w:rPr>
          <w:rFonts w:ascii="Consolas" w:hAnsi="Consolas"/>
          <w:sz w:val="20"/>
        </w:rPr>
      </w:r>
      <w:r>
        <w:rPr>
          <w:rFonts w:ascii="Consolas" w:hAnsi="Consolas"/>
          <w:sz w:val="20"/>
        </w:rPr>
        <w:t xml:space="preserve"> fecha;valor 02-01-2004;2,25 05-01-2004;2,25 ... </w:t>
      </w:r>
      <w:r>
        <w:rPr>
          <w:rFonts w:ascii="Consolas" w:hAnsi="Consolas"/>
          <w:sz w:val="20"/>
        </w:rPr>
      </w:r>
    </w:p>
    <w:p>
      <w:pPr>
        <w:pStyle w:val="Heading3"/>
      </w:pPr>
      <w:r>
        <w:t>3. Cómo cargar y verificar (en el notebook 01 o una celda nueva)</w:t>
      </w:r>
    </w:p>
    <w:p>
      <w:r>
        <w:t>```python from src import data_acquisition as da</w:t>
      </w:r>
    </w:p>
    <w:p>
      <w:r>
        <w:t>tpm    = da.load_local_csv('bcch_tpm.csv',    sep=';', decimal=',') imacec = da.load_local_csv('bcch_imacec.csv', sep=';', decimal=',') embi   = da.load_local_csv('bcch_embi.csv',   sep=';', decimal=',') ipc    = da.load_local_csv('bcch_ipc.csv',    sep=';', decimal=',') ipsa   = da.load_local_csv('bcch_ipsa.csv',   sep=';', decimal=',')</w:t>
      </w:r>
    </w:p>
    <w:p>
      <w:pPr>
        <w:pStyle w:val="Heading2"/>
      </w:pPr>
      <w:r>
        <w:t>Verificación mínima por serie:</w:t>
      </w:r>
    </w:p>
    <w:p>
      <w:r>
        <w:t>for nombre, df in [('TPM',tpm),('IMACEC',imacec),('EMBI',embi),('IPC',ipc),('IPSA',ipsa)]: if df is not None: print(f'{nombre:7s} {df.index.min().date()} -&gt; {df.index.max().date()}  ({len(df)} obs)') ```</w:t>
      </w:r>
    </w:p>
    <w:p>
      <w:r>
        <w:t xml:space="preserve">Si una serie carga con </w:t>
      </w:r>
      <w:r>
        <w:rPr>
          <w:rFonts w:ascii="Consolas" w:hAnsi="Consolas"/>
          <w:sz w:val="20"/>
        </w:rPr>
        <w:t>NaN</w:t>
      </w:r>
      <w:r>
        <w:t xml:space="preserve"> en los valores, casi siempre es por </w:t>
      </w:r>
      <w:r>
        <w:rPr>
          <w:rFonts w:ascii="Consolas" w:hAnsi="Consolas"/>
          <w:sz w:val="20"/>
        </w:rPr>
        <w:t>sep</w:t>
      </w:r>
      <w:r>
        <w:t>/</w:t>
      </w:r>
      <w:r>
        <w:rPr>
          <w:rFonts w:ascii="Consolas" w:hAnsi="Consolas"/>
          <w:sz w:val="20"/>
        </w:rPr>
        <w:t>decimal</w:t>
      </w:r>
      <w:r>
        <w:t xml:space="preserve"> mal puestos: abre el CSV en un editor de texto y ajusta los parámetros.</w:t>
      </w:r>
    </w:p>
    <w:p>
      <w:pPr>
        <w:pStyle w:val="Heading3"/>
      </w:pPr>
      <w:r>
        <w:t>4. Decisiones de transformación a tomar al descargar</w:t>
      </w:r>
    </w:p>
    <w:p>
      <w:pPr>
        <w:pStyle w:val="ListBullet"/>
      </w:pPr>
      <w:r>
        <w:rPr>
          <w:b/>
        </w:rPr>
        <w:t>IMACEC:</w:t>
      </w:r>
      <w:r>
        <w:t xml:space="preserve"> elige la versión </w:t>
      </w:r>
      <w:r>
        <w:rPr>
          <w:b/>
        </w:rPr>
        <w:t>desestacionalizada</w:t>
      </w:r>
      <w:r>
        <w:t xml:space="preserve"> si vas a usarlo en nivel/diferencia sin dummies de mes; si usas la serie original, incluye control de estacionalidad. Anótalo.</w:t>
      </w:r>
    </w:p>
    <w:p>
      <w:pPr>
        <w:pStyle w:val="ListBullet"/>
      </w:pPr>
      <w:r>
        <w:rPr>
          <w:b/>
        </w:rPr>
        <w:t>TPM:</w:t>
      </w:r>
      <w:r>
        <w:t xml:space="preserve"> es una tasa de nivel; el código la diferencia (</w:t>
      </w:r>
      <w:r>
        <w:rPr>
          <w:rFonts w:ascii="Consolas" w:hAnsi="Consolas"/>
          <w:sz w:val="20"/>
        </w:rPr>
        <w:t>d_tpm</w:t>
      </w:r>
      <w:r>
        <w:t>). Descárgala diaria o mensual; se remuestrea a fin de mes.</w:t>
      </w:r>
    </w:p>
    <w:p>
      <w:pPr>
        <w:pStyle w:val="ListBullet"/>
      </w:pPr>
      <w:r>
        <w:rPr>
          <w:b/>
        </w:rPr>
        <w:t>EMBI:</w:t>
      </w:r>
      <w:r>
        <w:t xml:space="preserve"> verifica unidades (puntos base). Entra en diferencia (</w:t>
      </w:r>
      <w:r>
        <w:rPr>
          <w:rFonts w:ascii="Consolas" w:hAnsi="Consolas"/>
          <w:sz w:val="20"/>
        </w:rPr>
        <w:t>d_embi</w:t>
      </w:r>
      <w:r>
        <w:t>).</w:t>
      </w:r>
    </w:p>
    <w:p>
      <w:pPr>
        <w:pStyle w:val="ListBullet"/>
      </w:pPr>
      <w:r>
        <w:rPr>
          <w:b/>
        </w:rPr>
        <w:t>IPC:</w:t>
      </w:r>
      <w:r>
        <w:t xml:space="preserve"> decide si usas el </w:t>
      </w:r>
      <w:r>
        <w:rPr>
          <w:b/>
        </w:rPr>
        <w:t>índice</w:t>
      </w:r>
      <w:r>
        <w:t xml:space="preserve"> (nivel, I(1)) o la </w:t>
      </w:r>
      <w:r>
        <w:rPr>
          <w:b/>
        </w:rPr>
        <w:t>variación mensual</w:t>
      </w:r>
      <w:r>
        <w:t xml:space="preserve"> (ya estacionaria). El código por defecto diferencia; si bajas la variación, ajústalo en </w:t>
      </w:r>
      <w:r>
        <w:rPr>
          <w:rFonts w:ascii="Consolas" w:hAnsi="Consolas"/>
          <w:sz w:val="20"/>
        </w:rPr>
        <w:t>build_panel.py</w:t>
      </w:r>
      <w:r>
        <w:t>.</w:t>
      </w:r>
    </w:p>
    <w:p>
      <w:pPr>
        <w:pStyle w:val="ListBullet"/>
      </w:pPr>
      <w:r>
        <w:rPr>
          <w:b/>
        </w:rPr>
        <w:t>Rango:</w:t>
      </w:r>
      <w:r>
        <w:t xml:space="preserve"> descarga desde </w:t>
      </w:r>
      <w:r>
        <w:rPr>
          <w:b/>
        </w:rPr>
        <w:t>2003</w:t>
      </w:r>
      <w:r>
        <w:t xml:space="preserve"> para no perder observaciones por los rezagos/diferencias al inicio de 2004.</w:t>
      </w:r>
    </w:p>
    <w:p>
      <w:pPr>
        <w:pStyle w:val="Heading3"/>
      </w:pPr>
      <w:r>
        <w:t>5. Una vez descargadas las 5 series</w:t>
      </w:r>
    </w:p>
    <w:p>
      <w:r>
        <w:t>```python</w:t>
      </w:r>
    </w:p>
    <w:p>
      <w:pPr>
        <w:pStyle w:val="Heading2"/>
      </w:pPr>
      <w:r>
        <w:t>Reconstruir el panel ahora CON las locales:</w:t>
      </w:r>
    </w:p>
    <w:p>
      <w:r>
        <w:t>from src import build_panel as bp from src import config as C panel, series = bp.construir(guardar=True, universo=C.UNIVERSO_ROBUSTEZ)</w:t>
      </w:r>
    </w:p>
    <w:p>
      <w:pPr>
        <w:pStyle w:val="Heading2"/>
      </w:pPr>
      <w:r>
        <w:t>build_panel detecta automáticamente los CSV en data/raw/ y los incorpora.</w:t>
      </w:r>
    </w:p>
    <w:p>
      <w:r>
        <w:rPr>
          <w:rFonts w:ascii="Consolas" w:hAnsi="Consolas"/>
          <w:sz w:val="20"/>
        </w:rPr>
        <w:t>`</w:t>
      </w:r>
    </w:p>
    <w:p>
      <w:r>
        <w:t xml:space="preserve">El log debe pasar de </w:t>
      </w:r>
      <w:r>
        <w:rPr>
          <w:rFonts w:ascii="Consolas" w:hAnsi="Consolas"/>
          <w:sz w:val="20"/>
        </w:rPr>
        <w:t>[AVISO] Sin series BCCh...</w:t>
      </w:r>
      <w:r>
        <w:t xml:space="preserve"> a </w:t>
      </w:r>
      <w:r>
        <w:rPr>
          <w:rFonts w:ascii="Consolas" w:hAnsi="Consolas"/>
          <w:sz w:val="20"/>
        </w:rPr>
        <w:t>[OK] BCCh cargado: ['tpm','imacec',...]</w:t>
      </w:r>
      <w:r>
        <w:t xml:space="preserve">, y la lista "Columnas macro" debe incluir </w:t>
      </w:r>
      <w:r>
        <w:rPr>
          <w:rFonts w:ascii="Consolas" w:hAnsi="Consolas"/>
          <w:sz w:val="20"/>
        </w:rPr>
        <w:t>d_tpm</w:t>
      </w:r>
      <w:r>
        <w:t xml:space="preserve">, </w:t>
      </w:r>
      <w:r>
        <w:rPr>
          <w:rFonts w:ascii="Consolas" w:hAnsi="Consolas"/>
          <w:sz w:val="20"/>
        </w:rPr>
        <w:t>d_imacec</w:t>
      </w:r>
      <w:r>
        <w:t xml:space="preserve">, </w:t>
      </w:r>
      <w:r>
        <w:rPr>
          <w:rFonts w:ascii="Consolas" w:hAnsi="Consolas"/>
          <w:sz w:val="20"/>
        </w:rPr>
        <w:t>d_embi</w:t>
      </w:r>
      <w:r>
        <w:t>, etc.</w:t>
      </w:r>
    </w:p>
    <w:p>
      <w:pPr>
        <w:pStyle w:val="Heading3"/>
      </w:pPr>
      <w:r>
        <w:t>6. Estados financieros (CMF) — para los controles de empresa (fase posterior)</w:t>
      </w:r>
    </w:p>
    <w:p>
      <w:r>
        <w:t xml:space="preserve">Para </w:t>
      </w:r>
      <w:r>
        <w:rPr>
          <w:rFonts w:ascii="Consolas" w:hAnsi="Consolas"/>
          <w:sz w:val="20"/>
        </w:rPr>
        <w:t>leverage</w:t>
      </w:r>
      <w:r>
        <w:t xml:space="preserve">, </w:t>
      </w:r>
      <w:r>
        <w:rPr>
          <w:rFonts w:ascii="Consolas" w:hAnsi="Consolas"/>
          <w:sz w:val="20"/>
        </w:rPr>
        <w:t>ROA</w:t>
      </w:r>
      <w:r>
        <w:t xml:space="preserve"> y demás ratios contables (trimestrales):</w:t>
      </w:r>
    </w:p>
    <w:p>
      <w:pPr>
        <w:pStyle w:val="ListBullet"/>
      </w:pPr>
      <w:r>
        <w:t xml:space="preserve">Fuente: </w:t>
      </w:r>
      <w:r>
        <w:rPr>
          <w:b/>
        </w:rPr>
        <w:t>CMF</w:t>
      </w:r>
      <w:r>
        <w:t xml:space="preserve"> (</w:t>
      </w:r>
      <w:r>
        <w:rPr>
          <w:rFonts w:ascii="Consolas" w:hAnsi="Consolas"/>
          <w:sz w:val="20"/>
        </w:rPr>
        <w:t>cmfchile.cl</w:t>
      </w:r>
      <w:r>
        <w:t>) → información financiera de cada emisor; o Bloomberg/Refinitiv.</w:t>
      </w:r>
    </w:p>
    <w:p>
      <w:pPr>
        <w:pStyle w:val="ListBullet"/>
      </w:pPr>
      <w:r>
        <w:t xml:space="preserve">Guarda un CSV por empresa o uno consolidado en </w:t>
      </w:r>
      <w:r>
        <w:rPr>
          <w:rFonts w:ascii="Consolas" w:hAnsi="Consolas"/>
          <w:sz w:val="20"/>
        </w:rPr>
        <w:t>data/raw/</w:t>
      </w:r>
      <w:r>
        <w:t xml:space="preserve"> (p. ej. </w:t>
      </w:r>
      <w:r>
        <w:rPr>
          <w:rFonts w:ascii="Consolas" w:hAnsi="Consolas"/>
          <w:sz w:val="20"/>
        </w:rPr>
        <w:t>eeff_trimestral.csv</w:t>
      </w:r>
      <w:r>
        <w:t xml:space="preserve">) con columnas: </w:t>
      </w:r>
      <w:r>
        <w:rPr>
          <w:rFonts w:ascii="Consolas" w:hAnsi="Consolas"/>
          <w:sz w:val="20"/>
        </w:rPr>
        <w:t>empresa, fecha, deuda_patrimonio, roa, ...</w:t>
      </w:r>
      <w:r>
        <w:t>.</w:t>
      </w:r>
    </w:p>
    <w:p>
      <w:pPr>
        <w:pStyle w:val="ListBullet"/>
      </w:pPr>
      <w:r>
        <w:t xml:space="preserve">El código las incorpora vía </w:t>
      </w:r>
      <w:r>
        <w:rPr>
          <w:rFonts w:ascii="Consolas" w:hAnsi="Consolas"/>
          <w:sz w:val="20"/>
        </w:rPr>
        <w:t>transformations.contable_a_mensual()</w:t>
      </w:r>
      <w:r>
        <w:t xml:space="preserve"> (ffill + rezago de publicación). Esto es de prioridad menor: parte con los modelos macro y agrega los controles de empresa después.</w:t>
      </w:r>
    </w:p>
    <w:p>
      <w:pPr>
        <w:pStyle w:val="Heading3"/>
      </w:pPr>
      <w:r>
        <w:t>Checklist</w:t>
      </w:r>
    </w:p>
    <w:p>
      <w:pPr>
        <w:pStyle w:val="ListBullet"/>
      </w:pPr>
      <w:r>
        <w:t xml:space="preserve">[ ] </w:t>
      </w:r>
      <w:r>
        <w:rPr>
          <w:rFonts w:ascii="Consolas" w:hAnsi="Consolas"/>
          <w:sz w:val="20"/>
        </w:rPr>
        <w:t>bcch_tpm.csv</w:t>
      </w:r>
    </w:p>
    <w:p>
      <w:pPr>
        <w:pStyle w:val="ListBullet"/>
      </w:pPr>
      <w:r>
        <w:t xml:space="preserve">[ ] </w:t>
      </w:r>
      <w:r>
        <w:rPr>
          <w:rFonts w:ascii="Consolas" w:hAnsi="Consolas"/>
          <w:sz w:val="20"/>
        </w:rPr>
        <w:t>bcch_imacec.csv</w:t>
      </w:r>
    </w:p>
    <w:p>
      <w:pPr>
        <w:pStyle w:val="ListBullet"/>
      </w:pPr>
      <w:r>
        <w:t xml:space="preserve">[ ] </w:t>
      </w:r>
      <w:r>
        <w:rPr>
          <w:rFonts w:ascii="Consolas" w:hAnsi="Consolas"/>
          <w:sz w:val="20"/>
        </w:rPr>
        <w:t>bcch_embi.csv</w:t>
      </w:r>
    </w:p>
    <w:p>
      <w:pPr>
        <w:pStyle w:val="ListBullet"/>
      </w:pPr>
      <w:r>
        <w:t xml:space="preserve">[ ] </w:t>
      </w:r>
      <w:r>
        <w:rPr>
          <w:rFonts w:ascii="Consolas" w:hAnsi="Consolas"/>
          <w:sz w:val="20"/>
        </w:rPr>
        <w:t>bcch_ipc.csv</w:t>
      </w:r>
    </w:p>
    <w:p>
      <w:pPr>
        <w:pStyle w:val="ListBullet"/>
      </w:pPr>
      <w:r>
        <w:t xml:space="preserve">[ ] </w:t>
      </w:r>
      <w:r>
        <w:rPr>
          <w:rFonts w:ascii="Consolas" w:hAnsi="Consolas"/>
          <w:sz w:val="20"/>
        </w:rPr>
        <w:t>bcch_ipsa.csv</w:t>
      </w:r>
    </w:p>
    <w:p>
      <w:pPr>
        <w:pStyle w:val="ListBullet"/>
      </w:pPr>
      <w:r>
        <w:t xml:space="preserve">[ ] (opcional) </w:t>
      </w:r>
      <w:r>
        <w:rPr>
          <w:rFonts w:ascii="Consolas" w:hAnsi="Consolas"/>
          <w:sz w:val="20"/>
        </w:rPr>
        <w:t>cobre_diario.csv</w:t>
      </w:r>
      <w:r>
        <w:t xml:space="preserve"> — solo si harás alta frecuencia</w:t>
      </w:r>
    </w:p>
    <w:p>
      <w:pPr>
        <w:pStyle w:val="ListBullet"/>
      </w:pPr>
      <w:r>
        <w:t>[ ] (posterior) EE.FF. trimestrales CMF</w:t>
      </w:r>
    </w:p>
    <w:p>
      <w:r>
        <w:br w:type="page"/>
      </w:r>
    </w:p>
    <w:p>
      <w:pPr>
        <w:pStyle w:val="Heading1"/>
      </w:pPr>
      <w:r>
        <w:t>Reproducibilidad</w:t>
      </w:r>
    </w:p>
    <w:p>
      <w:r>
        <w:rPr>
          <w:color w:val="6E6E73"/>
          <w:sz w:val="24"/>
        </w:rPr>
        <w:t>Flujo de trabajo, entorno y pasos para replicar</w:t>
      </w:r>
    </w:p>
    <w:p>
      <w:pPr>
        <w:spacing w:before="40" w:after="200"/>
        <w:pBdr>
          <w:bottom w:val="single" w:sz="6" w:space="1" w:color="D2D2D7"/>
        </w:pBdr>
      </w:pPr>
    </w:p>
    <w:p>
      <w:r>
        <w:t xml:space="preserve">Este proyecto está diseñado para ser </w:t>
      </w:r>
      <w:r>
        <w:rPr>
          <w:b/>
        </w:rPr>
        <w:t>completamente reproducible</w:t>
      </w:r>
      <w:r>
        <w:t>. Todos los resultados, tablas y figuras de la tesis se generan a partir de datos públicos mediante código abierto y determinista.</w:t>
      </w:r>
    </w:p>
    <w:p>
      <w:pPr>
        <w:pStyle w:val="Heading3"/>
      </w:pPr>
      <w:r>
        <w:t>Cómo reproducir</w:t>
      </w:r>
    </w:p>
    <w:p>
      <w:r>
        <w:t>```powershell</w:t>
      </w:r>
    </w:p>
    <w:p>
      <w:pPr>
        <w:pStyle w:val="Heading2"/>
      </w:pPr>
      <w:r>
        <w:t>1. Entorno</w:t>
      </w:r>
    </w:p>
    <w:p>
      <w:r>
        <w:t>python -m venv .venv &amp;&amp; .\.venv\Scripts\Activate.ps1 pip install -r requirements.txt</w:t>
      </w:r>
    </w:p>
    <w:p>
      <w:pPr>
        <w:pStyle w:val="Heading2"/>
      </w:pPr>
      <w:r>
        <w:t>2. (opcional) Volver a descargar los datos de fuentes públicas</w:t>
      </w:r>
    </w:p>
    <w:p>
      <w:r>
        <w:t>python -m src.run_all --descargar</w:t>
      </w:r>
    </w:p>
    <w:p>
      <w:pPr>
        <w:pStyle w:val="Heading2"/>
      </w:pPr>
      <w:r>
        <w:t>3. Regenerar TODO el análisis (paneles, tests, robustez, predictor, figuras, anexos)</w:t>
      </w:r>
    </w:p>
    <w:p>
      <w:r>
        <w:t>python -m src.run_all</w:t>
      </w:r>
    </w:p>
    <w:p>
      <w:pPr>
        <w:pStyle w:val="Heading2"/>
      </w:pPr>
      <w:r>
        <w:t>4. Pruebas unitarias</w:t>
      </w:r>
    </w:p>
    <w:p>
      <w:r>
        <w:t>python -m pytest -q</w:t>
      </w:r>
    </w:p>
    <w:p>
      <w:pPr>
        <w:pStyle w:val="Heading2"/>
      </w:pPr>
      <w:r>
        <w:t>5. Regenerar el documento Word/PDF (requiere Microsoft Word)</w:t>
      </w:r>
    </w:p>
    <w:p>
      <w:r>
        <w:t>python build_thesis.py ```</w:t>
      </w:r>
    </w:p>
    <w:p>
      <w:pPr>
        <w:pStyle w:val="Heading3"/>
      </w:pPr>
      <w:r>
        <w:t>Garantías</w:t>
      </w:r>
    </w:p>
    <w:p>
      <w:pPr>
        <w:pStyle w:val="ListBullet"/>
      </w:pPr>
      <w:r>
        <w:rPr>
          <w:b/>
        </w:rPr>
        <w:t>Determinismo:</w:t>
      </w:r>
      <w:r>
        <w:t xml:space="preserve"> el pipeline produce exactamente los mismos resultados en cada ejecución (semillas fijas donde aplica; sin aleatoriedad no controlada). Una corrida de verificación confirmó </w:t>
      </w:r>
      <w:r>
        <w:rPr>
          <w:b/>
        </w:rPr>
        <w:t>0 diferencias</w:t>
      </w:r>
      <w:r>
        <w:t xml:space="preserve"> entre ejecuciones sucesivas.</w:t>
      </w:r>
    </w:p>
    <w:p>
      <w:pPr>
        <w:pStyle w:val="ListBullet"/>
      </w:pPr>
      <w:r>
        <w:rPr>
          <w:b/>
        </w:rPr>
        <w:t>Cobertura:</w:t>
      </w:r>
      <w:r>
        <w:t xml:space="preserve"> </w:t>
      </w:r>
      <w:r>
        <w:rPr>
          <w:rFonts w:ascii="Consolas" w:hAnsi="Consolas"/>
          <w:sz w:val="20"/>
        </w:rPr>
        <w:t>python -m src.run_all</w:t>
      </w:r>
      <w:r>
        <w:t xml:space="preserve"> ejecuta los 12 pasos del análisis (construcción de paneles → diagnósticos avanzados → robustez de segunda generación → predictor → exportación de datos, figuras y anexos) con reporte de estado por paso.</w:t>
      </w:r>
    </w:p>
    <w:p>
      <w:pPr>
        <w:pStyle w:val="ListBullet"/>
      </w:pPr>
      <w:r>
        <w:rPr>
          <w:b/>
        </w:rPr>
        <w:t>Pruebas:</w:t>
      </w:r>
      <w:r>
        <w:t xml:space="preserve"> la suite </w:t>
      </w:r>
      <w:r>
        <w:rPr>
          <w:rFonts w:ascii="Consolas" w:hAnsi="Consolas"/>
          <w:sz w:val="20"/>
        </w:rPr>
        <w:t>tests/</w:t>
      </w:r>
      <w:r>
        <w:t xml:space="preserve"> valida las funciones econométricas clave sobre datos sintéticos de referencia (estacionariedad I(0)/I(1), fechado del ciclo, transformaciones, panel de efectos fijos).</w:t>
      </w:r>
    </w:p>
    <w:p>
      <w:pPr>
        <w:pStyle w:val="ListBullet"/>
      </w:pPr>
      <w:r>
        <w:rPr>
          <w:b/>
        </w:rPr>
        <w:t>Fuentes:</w:t>
      </w:r>
      <w:r>
        <w:t xml:space="preserve"> todos los datos provienen de fuentes públicas (FRED, Yahoo Finance) y, donde corresponde, del Banco Central de Chile; los códigos y tickers están documentados en </w:t>
      </w:r>
      <w:r>
        <w:rPr>
          <w:rFonts w:ascii="Consolas" w:hAnsi="Consolas"/>
          <w:sz w:val="20"/>
        </w:rPr>
        <w:t>src/config.py</w:t>
      </w:r>
      <w:r>
        <w:t xml:space="preserve"> y en el Anexo G.</w:t>
      </w:r>
    </w:p>
    <w:p>
      <w:pPr>
        <w:pStyle w:val="Heading3"/>
      </w:pPr>
      <w:r>
        <w:t>Estructura del código</w:t>
      </w:r>
    </w:p>
    <w:tbl>
      <w:tblPr>
        <w:tblW w:type="auto" w:w="0"/>
        <w:jc w:val="left"/>
        <w:tblLayout w:type="autofit"/>
        <w:tblLook w:firstColumn="1" w:firstRow="1" w:lastColumn="0" w:lastRow="0" w:noHBand="0" w:noVBand="1" w:val="04A0"/>
      </w:tblPr>
      <w:tblGrid>
        <w:gridCol w:w="4306"/>
        <w:gridCol w:w="4306"/>
      </w:tblGrid>
      <w:tr>
        <w:tc>
          <w:tcPr>
            <w:tcW w:type="dxa" w:w="430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 xml:space="preserve">Módulo </w:t>
            </w:r>
            <w:r>
              <w:rPr>
                <w:rFonts w:ascii="Segoe UI" w:hAnsi="Segoe UI"/>
                <w:b/>
                <w:color w:val="1D1D1F"/>
                <w:sz w:val="20"/>
              </w:rPr>
              <w:t>src/</w:t>
            </w:r>
          </w:p>
        </w:tc>
        <w:tc>
          <w:tcPr>
            <w:tcW w:type="dxa" w:w="4306"/>
            <w:tcMar>
              <w:top w:w="80" w:type="dxa"/>
              <w:bottom w:w="80" w:type="dxa"/>
              <w:left w:w="110" w:type="dxa"/>
              <w:right w:w="110" w:type="dxa"/>
            </w:tcMar>
            <w:shd w:val="clear" w:color="auto" w:fill="F5F5F7"/>
            <w:tcBorders>
              <w:bottom w:val="single" w:sz="6" w:space="0" w:color="D2D2D7"/>
            </w:tcBorders>
          </w:tcPr>
          <w:p>
            <w:pPr>
              <w:spacing w:after="40" w:line="252" w:lineRule="auto"/>
              <w:jc w:val="left"/>
            </w:pPr>
            <w:r>
              <w:rPr>
                <w:rFonts w:ascii="Segoe UI" w:hAnsi="Segoe UI"/>
                <w:b/>
                <w:color w:val="1D1D1F"/>
                <w:sz w:val="20"/>
              </w:rPr>
            </w:r>
            <w:r>
              <w:rPr>
                <w:rFonts w:ascii="Segoe UI" w:hAnsi="Segoe UI"/>
                <w:b/>
                <w:color w:val="1D1D1F"/>
                <w:sz w:val="20"/>
              </w:rPr>
              <w:t>Función</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config</w:t>
            </w:r>
            <w:r>
              <w:rPr>
                <w:rFonts w:ascii="Segoe UI" w:hAnsi="Segoe UI"/>
                <w:sz w:val="20"/>
              </w:rPr>
              <w:t xml:space="preserve">, </w:t>
            </w:r>
            <w:r>
              <w:rPr>
                <w:rFonts w:ascii="Segoe UI" w:hAnsi="Segoe UI"/>
                <w:sz w:val="20"/>
              </w:rPr>
              <w:t>data_acquisition</w:t>
            </w:r>
            <w:r>
              <w:rPr>
                <w:rFonts w:ascii="Segoe UI" w:hAnsi="Segoe UI"/>
                <w:sz w:val="20"/>
              </w:rPr>
              <w:t xml:space="preserve">, </w:t>
            </w:r>
            <w:r>
              <w:rPr>
                <w:rFonts w:ascii="Segoe UI" w:hAnsi="Segoe UI"/>
                <w:sz w:val="20"/>
              </w:rPr>
              <w:t>transformations</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Configuración, descarga y transformación de datos</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stationarity</w:t>
            </w:r>
            <w:r>
              <w:rPr>
                <w:rFonts w:ascii="Segoe UI" w:hAnsi="Segoe UI"/>
                <w:sz w:val="20"/>
              </w:rPr>
              <w:t xml:space="preserve">, </w:t>
            </w:r>
            <w:r>
              <w:rPr>
                <w:rFonts w:ascii="Segoe UI" w:hAnsi="Segoe UI"/>
                <w:sz w:val="20"/>
              </w:rPr>
              <w:t>panel_unit_root</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Raíz unitaria individual y en panel (ADF/PP/KPSS/ZA, CIPS)</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panel_models</w:t>
            </w:r>
            <w:r>
              <w:rPr>
                <w:rFonts w:ascii="Segoe UI" w:hAnsi="Segoe UI"/>
                <w:sz w:val="20"/>
              </w:rPr>
              <w:t xml:space="preserve">, </w:t>
            </w:r>
            <w:r>
              <w:rPr>
                <w:rFonts w:ascii="Segoe UI" w:hAnsi="Segoe UI"/>
                <w:sz w:val="20"/>
              </w:rPr>
              <w:t>hausman_test</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Panel de efectos fijos (Driscoll-Kraay), FE vs RE</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cointegration</w:t>
            </w:r>
            <w:r>
              <w:rPr>
                <w:rFonts w:ascii="Segoe UI" w:hAnsi="Segoe UI"/>
                <w:sz w:val="20"/>
              </w:rPr>
              <w:t xml:space="preserve">, </w:t>
            </w:r>
            <w:r>
              <w:rPr>
                <w:rFonts w:ascii="Segoe UI" w:hAnsi="Segoe UI"/>
                <w:sz w:val="20"/>
              </w:rPr>
              <w:t>extensions</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ARDL/Johansen/VECM, Gregory-Hansen, GARCH</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var_irf</w:t>
            </w:r>
            <w:r>
              <w:rPr>
                <w:rFonts w:ascii="Segoe UI" w:hAnsi="Segoe UI"/>
                <w:sz w:val="20"/>
              </w:rPr>
              <w:t xml:space="preserve">, </w:t>
            </w:r>
            <w:r>
              <w:rPr>
                <w:rFonts w:ascii="Segoe UI" w:hAnsi="Segoe UI"/>
                <w:sz w:val="20"/>
              </w:rPr>
              <w:t>cycle_dating</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VAR/IRF/FEVD, fechado del ciclo (Bry-Boschan)</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robustness_extra</w:t>
            </w:r>
            <w:r>
              <w:rPr>
                <w:rFonts w:ascii="Segoe UI" w:hAnsi="Segoe UI"/>
                <w:sz w:val="20"/>
              </w:rPr>
              <w:t xml:space="preserve">, </w:t>
            </w:r>
            <w:r>
              <w:rPr>
                <w:rFonts w:ascii="Segoe UI" w:hAnsi="Segoe UI"/>
                <w:sz w:val="20"/>
              </w:rPr>
              <w:t>variance_ratio</w:t>
            </w:r>
            <w:r>
              <w:rPr>
                <w:rFonts w:ascii="Segoe UI" w:hAnsi="Segoe UI"/>
                <w:sz w:val="20"/>
              </w:rPr>
              <w:t xml:space="preserve">, </w:t>
            </w:r>
            <w:r>
              <w:rPr>
                <w:rFonts w:ascii="Segoe UI" w:hAnsi="Segoe UI"/>
                <w:sz w:val="20"/>
              </w:rPr>
              <w:t>market_comparison</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FDR, betas, GJR, Local Projections, Lo-MacKinlay, H7</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predictor</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Extensión predictiva del precio del cobre</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make_figures</w:t>
            </w:r>
            <w:r>
              <w:rPr>
                <w:rFonts w:ascii="Segoe UI" w:hAnsi="Segoe UI"/>
                <w:sz w:val="20"/>
              </w:rPr>
              <w:t xml:space="preserve">, </w:t>
            </w:r>
            <w:r>
              <w:rPr>
                <w:rFonts w:ascii="Segoe UI" w:hAnsi="Segoe UI"/>
                <w:sz w:val="20"/>
              </w:rPr>
              <w:t>full_tables</w:t>
            </w:r>
            <w:r>
              <w:rPr>
                <w:rFonts w:ascii="Segoe UI" w:hAnsi="Segoe UI"/>
                <w:sz w:val="20"/>
              </w:rPr>
              <w:t xml:space="preserve">, </w:t>
            </w:r>
            <w:r>
              <w:rPr>
                <w:rFonts w:ascii="Segoe UI" w:hAnsi="Segoe UI"/>
                <w:sz w:val="20"/>
              </w:rPr>
              <w:t>export_web</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Figuras, anexos y datos para la plataforma</w:t>
            </w:r>
          </w:p>
        </w:tc>
      </w:tr>
      <w:tr>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run_all</w:t>
            </w:r>
          </w:p>
        </w:tc>
        <w:tc>
          <w:tcPr>
            <w:tcW w:type="dxa" w:w="4306"/>
            <w:tcMar>
              <w:top w:w="80" w:type="dxa"/>
              <w:bottom w:w="80" w:type="dxa"/>
              <w:left w:w="110" w:type="dxa"/>
              <w:right w:w="110" w:type="dxa"/>
            </w:tcMar>
            <w:tcBorders>
              <w:bottom w:val="single" w:sz="4" w:space="0" w:color="D2D2D7"/>
            </w:tcBorders>
          </w:tcPr>
          <w:p>
            <w:pPr>
              <w:spacing w:after="40" w:line="252" w:lineRule="auto"/>
              <w:jc w:val="left"/>
            </w:pPr>
            <w:r>
              <w:rPr>
                <w:rFonts w:ascii="Segoe UI" w:hAnsi="Segoe UI"/>
                <w:sz w:val="20"/>
              </w:rPr>
            </w:r>
            <w:r>
              <w:rPr>
                <w:rFonts w:ascii="Segoe UI" w:hAnsi="Segoe UI"/>
                <w:sz w:val="20"/>
              </w:rPr>
              <w:t>Orquestador del pipeline completo</w:t>
            </w:r>
          </w:p>
        </w:tc>
      </w:tr>
    </w:tbl>
    <w:p>
      <w:pPr>
        <w:spacing w:after="40"/>
      </w:pPr>
    </w:p>
    <w:sectPr w:rsidR="00FC693F" w:rsidRPr="0006063C" w:rsidSect="00034616">
      <w:footerReference w:type="default" r:id="rId9"/>
      <w:pgSz w:w="12240" w:h="15840"/>
      <w:pgMar w:top="1701" w:right="1814" w:bottom="1474" w:left="181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Segoe UI" w:hAnsi="Segoe UI"/>
        <w:color w:val="6E6E73"/>
        <w:sz w:val="18"/>
      </w:rPr>
      <w:fldChar w:fldCharType="begin"/>
      <w:instrText xml:space="preserve">PAGE</w:instrText>
      <w:fldChar w:fldCharType="separate"/>
      <w:instrText xml:space="preserve">1</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200"/>
      <w:jc w:val="left"/>
    </w:pPr>
    <w:rPr>
      <w:rFonts w:ascii="Segoe UI" w:hAnsi="Segoe UI"/>
      <w:color w:val="1D1D1F"/>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64" w:lineRule="auto"/>
      <w:jc w:val="left"/>
      <w:outlineLvl w:val="0"/>
    </w:pPr>
    <w:rPr>
      <w:rFonts w:asciiTheme="majorHAnsi" w:eastAsiaTheme="majorEastAsia" w:hAnsiTheme="majorHAnsi" w:cstheme="majorBidi" w:ascii="Segoe UI Semibold" w:hAnsi="Segoe UI Semibold"/>
      <w:b w:val="0"/>
      <w:bCs/>
      <w:i w:val="0"/>
      <w:color w:val="1D1D1F"/>
      <w:sz w:val="44"/>
      <w:szCs w:val="28"/>
    </w:rPr>
  </w:style>
  <w:style w:type="paragraph" w:styleId="Heading2">
    <w:name w:val="heading 2"/>
    <w:basedOn w:val="Normal"/>
    <w:next w:val="Normal"/>
    <w:link w:val="Heading2Char"/>
    <w:uiPriority w:val="9"/>
    <w:unhideWhenUsed/>
    <w:qFormat/>
    <w:rsid w:val="00FC693F"/>
    <w:pPr>
      <w:keepNext/>
      <w:keepLines/>
      <w:spacing w:before="360" w:after="80" w:line="264" w:lineRule="auto"/>
      <w:jc w:val="left"/>
      <w:outlineLvl w:val="1"/>
    </w:pPr>
    <w:rPr>
      <w:rFonts w:asciiTheme="majorHAnsi" w:eastAsiaTheme="majorEastAsia" w:hAnsiTheme="majorHAnsi" w:cstheme="majorBidi" w:ascii="Segoe UI Semibold" w:hAnsi="Segoe UI Semibold"/>
      <w:b w:val="0"/>
      <w:bCs/>
      <w:i w:val="0"/>
      <w:color w:val="1D1D1F"/>
      <w:sz w:val="32"/>
      <w:szCs w:val="26"/>
    </w:rPr>
  </w:style>
  <w:style w:type="paragraph" w:styleId="Heading3">
    <w:name w:val="heading 3"/>
    <w:basedOn w:val="Normal"/>
    <w:next w:val="Normal"/>
    <w:link w:val="Heading3Char"/>
    <w:uiPriority w:val="9"/>
    <w:unhideWhenUsed/>
    <w:qFormat/>
    <w:rsid w:val="00FC693F"/>
    <w:pPr>
      <w:keepNext/>
      <w:keepLines/>
      <w:spacing w:before="360" w:after="80" w:line="264" w:lineRule="auto"/>
      <w:jc w:val="left"/>
      <w:outlineLvl w:val="2"/>
    </w:pPr>
    <w:rPr>
      <w:rFonts w:asciiTheme="majorHAnsi" w:eastAsiaTheme="majorEastAsia" w:hAnsiTheme="majorHAnsi" w:cstheme="majorBidi" w:ascii="Segoe UI Semibold" w:hAnsi="Segoe UI Semibold"/>
      <w:b w:val="0"/>
      <w:bCs/>
      <w:i w:val="0"/>
      <w:color w:val="0071E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moriachilena.gob.cl/602/w3-article-727.html" TargetMode="External"/><Relationship Id="rId11" Type="http://schemas.openxmlformats.org/officeDocument/2006/relationships/hyperlink" Target="https://www.memoriachilena.gob.cl/602/w3-article-3622.html" TargetMode="External"/><Relationship Id="rId12" Type="http://schemas.openxmlformats.org/officeDocument/2006/relationships/hyperlink" Target="https://www.memoriachilena.gob.cl/602/w3-article-92796.html" TargetMode="External"/><Relationship Id="rId13" Type="http://schemas.openxmlformats.org/officeDocument/2006/relationships/hyperlink" Target="https://www.bcn.cl/leychile/Navegar?idNorma=6578" TargetMode="External"/><Relationship Id="rId14" Type="http://schemas.openxmlformats.org/officeDocument/2006/relationships/hyperlink" Target="https://www.bcn.cl/leychile/navegar?idNorma=1194982" TargetMode="External"/><Relationship Id="rId15" Type="http://schemas.openxmlformats.org/officeDocument/2006/relationships/hyperlink" Target="https://www.bcn.cl/historiapolitica/archivohales/colecciones/v/participacion-politica-y-membresias/la-nacionalizacion-del-cobre" TargetMode="External"/><Relationship Id="rId16" Type="http://schemas.openxmlformats.org/officeDocument/2006/relationships/hyperlink" Target="https://www.codelco.com/nosotros/la-corporacion/historia" TargetMode="External"/><Relationship Id="rId17" Type="http://schemas.openxmlformats.org/officeDocument/2006/relationships/hyperlink" Target="https://www.cochilco.cl/web/produccion-chilena-de-cobre-crece-49-en-2024-quebrando-tendencia-a-la-baja-de-los-ultimos-cinco-anos/" TargetMode="External"/><Relationship Id="rId18" Type="http://schemas.openxmlformats.org/officeDocument/2006/relationships/hyperlink" Target="https://www.cochilco.cl/web/chile-aumentara-a-273-su-participacion-en-la-produccion-mundial-de-cobre-en-2034/" TargetMode="External"/><Relationship Id="rId19" Type="http://schemas.openxmlformats.org/officeDocument/2006/relationships/hyperlink" Target="https://www.cochilco.cl/web/" TargetMode="External"/><Relationship Id="rId20" Type="http://schemas.openxmlformats.org/officeDocument/2006/relationships/hyperlink" Target="https://www.hacienda.cl/noticias-y-eventos/noticias/1-de-enero-entra-en-vigor-nueva-ley-de-royalty-a-la-mineria" TargetMode="External"/><Relationship Id="rId21" Type="http://schemas.openxmlformats.org/officeDocument/2006/relationships/hyperlink" Target="https://www.casamuseoeduardofrei.cl/en/destacado-del-mes-chilenizacion-del-cobre-a-60-anos-de-la-promulgacion-de-la-ley-n16-425/" TargetMode="External"/><Relationship Id="rId22" Type="http://schemas.openxmlformats.org/officeDocument/2006/relationships/hyperlink" Target="https://consejominero.cl/wp-content/uploads/2025/05/Reporte-Anual-CM-2024-La-industria-minera-en-2024.pdf" TargetMode="External"/><Relationship Id="rId23" Type="http://schemas.openxmlformats.org/officeDocument/2006/relationships/hyperlink" Target="https://es.wikipedia.org/wiki/Nacionalizaci%C3%B3n_del_cobre" TargetMode="External"/><Relationship Id="rId24" Type="http://schemas.openxmlformats.org/officeDocument/2006/relationships/hyperlink" Target="https://es.wikipedia.org/wiki/Chilenizaci%C3%B3n_del_cobre" TargetMode="External"/><Relationship Id="rId25" Type="http://schemas.openxmlformats.org/officeDocument/2006/relationships/hyperlink" Target="https://es.wikipedia.org/wiki/Mineral_de_Tamaya" TargetMode="External"/><Relationship Id="rId26" Type="http://schemas.openxmlformats.org/officeDocument/2006/relationships/hyperlink" Target="https://en.wikipedia.org/wiki/Ley_Reservada_del_Cobre" TargetMode="External"/><Relationship Id="rId27" Type="http://schemas.openxmlformats.org/officeDocument/2006/relationships/hyperlink" Target="https://www.elmostrador.cl/noticias/pais/2019/07/24/se-deroga-la-ley-reservada-del-cobre-congreso-despacha-a-ley-el-nuevo-sistema-de-financiamiento-para-las-ffaa/" TargetMode="External"/><Relationship Id="rId28" Type="http://schemas.openxmlformats.org/officeDocument/2006/relationships/hyperlink" Target="https://www.biobiochile.cl/noticias/nacional/chile/2019/07/24/codelco-ya-no-financiara-a-las-fuerzas-armadas-congreso-aprueba-derogar-ley-reservada-del-cobre.shtml" TargetMode="External"/><Relationship Id="rId29" Type="http://schemas.openxmlformats.org/officeDocument/2006/relationships/hyperlink" Target="https://www.emol.com/noticias/Economia/2021/02/23/1013056/Super-ciclo-cobre-hitos-cifras.html" TargetMode="External"/><Relationship Id="rId30" Type="http://schemas.openxmlformats.org/officeDocument/2006/relationships/hyperlink" Target="https://plusmining.com/en/2025/02/24/chiles-share-in-the-global-copper-market-drops-from-30-to-24-in-a-decade/" TargetMode="External"/><Relationship Id="rId31" Type="http://schemas.openxmlformats.org/officeDocument/2006/relationships/hyperlink" Target="https://cooperativa.cl/noticias/economia/sectores-productivos/mineria/royalty-minero-sera-ley-y-repartira-392-mil-millones-entre-las-regiones/2023-05-17/175831.html" TargetMode="External"/><Relationship Id="rId32" Type="http://schemas.openxmlformats.org/officeDocument/2006/relationships/hyperlink" Target="https://www.ey.com/es_cl/technical/tax/ey-tax-alert-chile/alerta-tributaria-extendida-nuevo-royalty-minero-es-aprobado-y-esta-listo-para-convertirse-en-ley" TargetMode="External"/><Relationship Id="rId33" Type="http://schemas.openxmlformats.org/officeDocument/2006/relationships/hyperlink" Target="https://www.bcentral.cl/detalle-noticias-y-publicaciones/-/asset_publisher/Exzd7l9NC3Y6/content/documento-de-trabajo-n-316" TargetMode="External"/><Relationship Id="rId34" Type="http://schemas.openxmlformats.org/officeDocument/2006/relationships/hyperlink" Target="https://dialnet.unirioja.es/descarga/articulo/3175851.pdf" TargetMode="External"/><Relationship Id="rId35" Type="http://schemas.openxmlformats.org/officeDocument/2006/relationships/hyperlink" Target="https://www.bcentral.cl/en/detail-news-and-publications/-/asset_publisher/Exzd7l9NC3Y6/content/documento-de-trabajo-n-640" TargetMode="External"/><Relationship Id="rId36" Type="http://schemas.openxmlformats.org/officeDocument/2006/relationships/hyperlink" Target="https://ideas.repec.org/p/chb/bcchwp/640.html" TargetMode="External"/><Relationship Id="rId37" Type="http://schemas.openxmlformats.org/officeDocument/2006/relationships/hyperlink" Target="https://www.sciencedirect.com/science/article/abs/pii/S0301420718303271" TargetMode="External"/><Relationship Id="rId38" Type="http://schemas.openxmlformats.org/officeDocument/2006/relationships/hyperlink" Target="https://ideas.repec.org/a/eee/jrpoli/v62y2019icp256-281.html" TargetMode="External"/><Relationship Id="rId39" Type="http://schemas.openxmlformats.org/officeDocument/2006/relationships/hyperlink" Target="https://papers.ssrn.com/sol3/papers.cfm?abstract_id=3263709" TargetMode="External"/><Relationship Id="rId40" Type="http://schemas.openxmlformats.org/officeDocument/2006/relationships/hyperlink" Target="https://mpra.ub.uni-muenchen.de/83564/" TargetMode="External"/><Relationship Id="rId41" Type="http://schemas.openxmlformats.org/officeDocument/2006/relationships/hyperlink" Target="https://scholar.harvard.edu/files/rogoff/files/51_jie2003.pdf" TargetMode="External"/><Relationship Id="rId42" Type="http://schemas.openxmlformats.org/officeDocument/2006/relationships/hyperlink" Target="https://www.nber.org/system/files/working_papers/w13901/w13901.pdf" TargetMode="External"/><Relationship Id="rId43" Type="http://schemas.openxmlformats.org/officeDocument/2006/relationships/hyperlink" Target="https://cladea.org/wp-content/uploads/2022/01/316Thilo-Wallenstein-Alfredo-Mendiola-and-Luis-Chavez-Bedoya-Analysis-of-the-Reaction-of-Mining-Stocks-to-the-Development-of-Copper-Prices.pdf" TargetMode="External"/><Relationship Id="rId44" Type="http://schemas.openxmlformats.org/officeDocument/2006/relationships/hyperlink" Target="https://link.springer.com/article/10.1007/s13563-025-00498-7" TargetMode="External"/><Relationship Id="rId45" Type="http://schemas.openxmlformats.org/officeDocument/2006/relationships/hyperlink" Target="https://www.sciencedirect.com/science/article/abs/pii/S030142072100235X" TargetMode="External"/><Relationship Id="rId46" Type="http://schemas.openxmlformats.org/officeDocument/2006/relationships/hyperlink" Target="https://www.cochilco.cl/web/otros-estudios-del-cobre/" TargetMode="External"/><Relationship Id="rId47" Type="http://schemas.openxmlformats.org/officeDocument/2006/relationships/hyperlink" Target="https://www.bcentral.cl/documents/33528/133326/DTBC_310.pdf" TargetMode="External"/><Relationship Id="rId48" Type="http://schemas.openxmlformats.org/officeDocument/2006/relationships/hyperlink" Target="https://www.bcentral.cl/en/content/-/detalle/documento-de-trabajo-n-918" TargetMode="External"/><Relationship Id="rId49" Type="http://schemas.openxmlformats.org/officeDocument/2006/relationships/hyperlink" Target="https://ideas.repec.org/a/spr/empeco/v57y2019i4d10.1007_s00181-018-1485-9.html" TargetMode="External"/><Relationship Id="rId50" Type="http://schemas.openxmlformats.org/officeDocument/2006/relationships/hyperlink" Target="https://www.scirp.org/reference/referencespapers?referenceid=2945461" TargetMode="External"/><Relationship Id="rId51" Type="http://schemas.openxmlformats.org/officeDocument/2006/relationships/hyperlink" Target="https://en.wikipedia.org/wiki/Arbitrage_pricing_theory" TargetMode="External"/><Relationship Id="rId52" Type="http://schemas.openxmlformats.org/officeDocument/2006/relationships/hyperlink" Target="https://www.researchgate.net/publication/378985095" TargetMode="External"/><Relationship Id="rId53" Type="http://schemas.openxmlformats.org/officeDocument/2006/relationships/hyperlink" Target="https://ideas.repec.org/p/chb/bcchwp/753.html" TargetMode="External"/><Relationship Id="rId54" Type="http://schemas.openxmlformats.org/officeDocument/2006/relationships/hyperlink" Target="https://ideas.repec.org/a/eee/jrpoli/v73y2021ics0301420721002543.html" TargetMode="External"/><Relationship Id="rId55" Type="http://schemas.openxmlformats.org/officeDocument/2006/relationships/hyperlink" Target="https://link.springer.com/article/10.1007/s40822-017-0065-1" TargetMode="External"/><Relationship Id="rId56" Type="http://schemas.openxmlformats.org/officeDocument/2006/relationships/hyperlink" Target="https://www.sciencedirect.com/science/article/abs/pii/S0301420721002646" TargetMode="External"/><Relationship Id="rId57" Type="http://schemas.openxmlformats.org/officeDocument/2006/relationships/hyperlink" Target="https://onlinelibrary.wiley.com/doi/abs/10.1111/j.1540-6261.1995.tb04790.x" TargetMode="External"/><Relationship Id="rId58" Type="http://schemas.openxmlformats.org/officeDocument/2006/relationships/hyperlink" Target="https://people.duke.edu/~charvey/Research/Published_Papers/P83_Emerging_markets_finance.pdf" TargetMode="External"/><Relationship Id="rId59" Type="http://schemas.openxmlformats.org/officeDocument/2006/relationships/hyperlink" Target="https://www.sciencedirect.com/science/article/abs/pii/S0304405X05001108" TargetMode="External"/><Relationship Id="rId60" Type="http://schemas.openxmlformats.org/officeDocument/2006/relationships/hyperlink" Target="https://www.elsevier.es/en-revista-journal-economics-finance-administrative-science-352-articulo-emerging-markets-integration-in-S207718861500027X" TargetMode="External"/><Relationship Id="rId61" Type="http://schemas.openxmlformats.org/officeDocument/2006/relationships/hyperlink" Target="https://www.sciencedirect.com/science/article/abs/pii/S1059056023002393" TargetMode="External"/><Relationship Id="rId62" Type="http://schemas.openxmlformats.org/officeDocument/2006/relationships/hyperlink" Target="https://www.sciencedirect.com/science/article/pii/S2214845023000182" TargetMode="External"/><Relationship Id="rId63" Type="http://schemas.openxmlformats.org/officeDocument/2006/relationships/hyperlink" Target="https://ideas.repec.org/p/chb/bcchwp/236.html" TargetMode="External"/><Relationship Id="rId64" Type="http://schemas.openxmlformats.org/officeDocument/2006/relationships/hyperlink" Target="https://www.nhh.no/en/for-students/masters-thesis/assessment-criteria/" TargetMode="External"/><Relationship Id="rId65" Type="http://schemas.openxmlformats.org/officeDocument/2006/relationships/hyperlink" Target="https://www.ufs.ac.za/docs/default-source/regulations-documents/rubric-masters-dissertation-1004-eng.pdf" TargetMode="External"/><Relationship Id="rId66" Type="http://schemas.openxmlformats.org/officeDocument/2006/relationships/hyperlink" Target="https://www.utwente.nl/en/est/masterest/final-project-trajectory-started-in-2025-2026/assessment-form-and-rubric-final-project-est.pdf" TargetMode="External"/><Relationship Id="rId67" Type="http://schemas.openxmlformats.org/officeDocument/2006/relationships/hyperlink" Target="https://www.ncbi.nlm.nih.gov/pmc/articles/PMC9283916/" TargetMode="External"/><Relationship Id="rId68" Type="http://schemas.openxmlformats.org/officeDocument/2006/relationships/hyperlink" Target="https://lrlusher.weebly.com/uploads/1/0/0/4/10048967/meta_paper_i__nature_v2___4_.pdf" TargetMode="External"/><Relationship Id="rId69" Type="http://schemas.openxmlformats.org/officeDocument/2006/relationships/hyperlink" Target="https://www.aeaweb.org/articles?id=10.1257/0002828053828518" TargetMode="External"/><Relationship Id="rId70" Type="http://schemas.openxmlformats.org/officeDocument/2006/relationships/hyperlink" Target="https://arxiv.org/pdf/2503.17144" TargetMode="External"/><Relationship Id="rId71" Type="http://schemas.openxmlformats.org/officeDocument/2006/relationships/hyperlink" Target="https://www.mikkelpm.com/files/lp_var.pdf" TargetMode="External"/><Relationship Id="rId72" Type="http://schemas.openxmlformats.org/officeDocument/2006/relationships/hyperlink" Target="https://journals.sagepub.com/doi/pdf/10.1177/1536867X0700700301" TargetMode="External"/><Relationship Id="rId73" Type="http://schemas.openxmlformats.org/officeDocument/2006/relationships/hyperlink" Target="https://arxiv.org/pdf/2301.04522" TargetMode="External"/><Relationship Id="rId74" Type="http://schemas.openxmlformats.org/officeDocument/2006/relationships/hyperlink" Target="https://www.nber.org/system/files/working_papers/w34050/w34050.pdf" TargetMode="External"/><Relationship Id="rId75" Type="http://schemas.openxmlformats.org/officeDocument/2006/relationships/hyperlink" Target="http://www-stat.wharton.upenn.edu/~tcai/paper/FDR-Review.pdf" TargetMode="External"/><Relationship Id="rId76" Type="http://schemas.openxmlformats.org/officeDocument/2006/relationships/hyperlink" Target="https://arxiv.org/pdf/2212.04525" TargetMode="External"/><Relationship Id="rId77" Type="http://schemas.openxmlformats.org/officeDocument/2006/relationships/hyperlink" Target="https://actacommercii.co.za/index.php/acta/article/view/1135/2106" TargetMode="External"/><Relationship Id="rId78" Type="http://schemas.openxmlformats.org/officeDocument/2006/relationships/hyperlink" Target="https://www.hindawi.com/journals/jps/2009/802975/" TargetMode="External"/><Relationship Id="rId79" Type="http://schemas.openxmlformats.org/officeDocument/2006/relationships/hyperlink" Target="https://www.karlwhelan.com/Teaching/MA%20Econometrics/part4.pdf" TargetMode="External"/><Relationship Id="rId80" Type="http://schemas.openxmlformats.org/officeDocument/2006/relationships/hyperlink" Target="https://blog.stata.com/2016/09/06/cointegration-or-spurious-regr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