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rFonts w:ascii="Segoe UI Semibold" w:hAnsi="Segoe UI Semibold"/>
          <w:color w:val="0071E3"/>
          <w:sz w:val="24"/>
          <w:spacing w:val="40"/>
        </w:rPr>
        <w:t>INVESTIGACIÓN · TESIS F. RIETTA</w:t>
      </w:r>
    </w:p>
    <w:p>
      <w:pPr>
        <w:spacing w:after="160" w:line="245" w:lineRule="auto"/>
      </w:pPr>
      <w:r>
        <w:rPr>
          <w:rFonts w:ascii="Segoe UI Semibold" w:hAnsi="Segoe UI Semibold"/>
          <w:color w:val="1D1D1F"/>
          <w:sz w:val="68"/>
        </w:rPr>
        <w:t>Diseño de Triangulación</w:t>
      </w:r>
    </w:p>
    <w:p>
      <w:pPr>
        <w:spacing w:after="0" w:line="288" w:lineRule="auto"/>
      </w:pPr>
      <w:r>
        <w:rPr>
          <w:rFonts w:ascii="Segoe UI" w:hAnsi="Segoe UI"/>
          <w:color w:val="6E6E73"/>
          <w:sz w:val="30"/>
        </w:rPr>
        <w:t>Tres muestras: cobre internacional, Pucobre y sector minero chileno</w:t>
      </w:r>
    </w:p>
    <w:p>
      <w:pPr>
        <w:spacing w:after="0"/>
      </w:pPr>
    </w:p>
    <w:p>
      <w:pPr>
        <w:spacing w:before="160" w:after="280"/>
        <w:pBdr>
          <w:bottom w:val="single" w:sz="6" w:space="1" w:color="D2D2D7"/>
        </w:pBdr>
      </w:pPr>
    </w:p>
    <w:p>
      <w:pPr>
        <w:spacing w:after="40"/>
      </w:pPr>
      <w:r>
        <w:rPr>
          <w:rFonts w:ascii="Segoe UI Semibold" w:hAnsi="Segoe UI Semibold"/>
          <w:color w:val="1D1D1F"/>
          <w:sz w:val="21"/>
        </w:rPr>
        <w:t xml:space="preserve">Proyecto   </w:t>
      </w:r>
      <w:r>
        <w:rPr>
          <w:rFonts w:ascii="Segoe UI" w:hAnsi="Segoe UI"/>
          <w:color w:val="6E6E73"/>
          <w:sz w:val="21"/>
        </w:rPr>
        <w:t>Macroeconomía y retornos del sector cobre en Chile (2004–2024)</w:t>
      </w:r>
    </w:p>
    <w:p>
      <w:pPr>
        <w:spacing w:after="40"/>
      </w:pPr>
      <w:r>
        <w:rPr>
          <w:rFonts w:ascii="Segoe UI Semibold" w:hAnsi="Segoe UI Semibold"/>
          <w:color w:val="1D1D1F"/>
          <w:sz w:val="21"/>
        </w:rPr>
        <w:t xml:space="preserve">Documento   </w:t>
      </w:r>
      <w:r>
        <w:rPr>
          <w:rFonts w:ascii="Segoe UI" w:hAnsi="Segoe UI"/>
          <w:color w:val="6E6E73"/>
          <w:sz w:val="21"/>
        </w:rPr>
        <w:t>Diseño de Triangulación</w:t>
      </w:r>
    </w:p>
    <w:p>
      <w:pPr>
        <w:spacing w:after="40"/>
      </w:pPr>
      <w:r>
        <w:rPr>
          <w:rFonts w:ascii="Segoe UI Semibold" w:hAnsi="Segoe UI Semibold"/>
          <w:color w:val="1D1D1F"/>
          <w:sz w:val="21"/>
        </w:rPr>
        <w:t xml:space="preserve">Formato   </w:t>
      </w:r>
      <w:r>
        <w:rPr>
          <w:rFonts w:ascii="Segoe UI" w:hAnsi="Segoe UI"/>
          <w:color w:val="6E6E73"/>
          <w:sz w:val="21"/>
        </w:rPr>
        <w:t>Estilo Apple · sugerencias MIT (sans serif, índice, enlaces)</w:t>
      </w:r>
    </w:p>
    <w:p>
      <w:r>
        <w:br w:type="page"/>
      </w:r>
    </w:p>
    <w:p>
      <w:pPr>
        <w:pStyle w:val="Heading1"/>
      </w:pPr>
      <w:r>
        <w:t>Diseño de triangulación por tres muestras (decidido mayo 2026)</w:t>
      </w:r>
    </w:p>
    <w:p>
      <w:r>
        <w:t xml:space="preserve">La aclaración "impacto de variables macro en acciones de </w:t>
      </w:r>
      <w:r>
        <w:rPr>
          <w:b/>
        </w:rPr>
        <w:t>extracción de cobre</w:t>
      </w:r>
      <w:r>
        <w:t xml:space="preserve"> en el </w:t>
      </w:r>
      <w:r>
        <w:rPr>
          <w:b/>
        </w:rPr>
        <w:t>mercado chileno</w:t>
      </w:r>
      <w:r>
        <w:t xml:space="preserve">" reveló una tensión de factibilidad: en la Bolsa de Santiago casi no hay productoras de cobre puro cotizadas (las grandes son estatales o subsidiarias extranjeras). La solución adoptada </w:t>
      </w:r>
      <w:r>
        <w:rPr>
          <w:b/>
        </w:rPr>
        <w:t>convierte esa limitación en una fortaleza</w:t>
      </w:r>
      <w:r>
        <w:t>: triangular el fenómeno desde tres muestras complementarias, lo que habilita una pregunta nueva y más rica.</w:t>
      </w:r>
    </w:p>
    <w:p>
      <w:pPr>
        <w:pStyle w:val="Heading2"/>
      </w:pPr>
      <w:r>
        <w:t>La idea central</w:t>
      </w:r>
    </w:p>
    <w:p>
      <w:r>
        <w:t xml:space="preserve">Comparar </w:t>
      </w:r>
      <w:r>
        <w:rPr>
          <w:b/>
        </w:rPr>
        <w:t>cómo el mercado global y el mercado chileno precian el impacto macroeconómico</w:t>
      </w:r>
      <w:r>
        <w:t xml:space="preserve"> sobre las mismas materias primas. Esto eleva la hipótesis global-vs-local (H6) de "¿qué factores importan más?" a "¿</w:t>
      </w:r>
      <w:r>
        <w:rPr>
          <w:b/>
        </w:rPr>
        <w:t>dónde</w:t>
      </w:r>
      <w:r>
        <w:t xml:space="preserve"> —en qué mercado— se transmite mejor el shock?".</w:t>
      </w:r>
    </w:p>
    <w:p>
      <w:pPr>
        <w:pStyle w:val="Heading2"/>
      </w:pPr>
      <w:r>
        <w:t>Las tres muestras (cobertura 2004-2024 verificada en Yahoo)</w:t>
      </w:r>
    </w:p>
    <w:tbl>
      <w:tblPr>
        <w:tblW w:type="auto" w:w="0"/>
        <w:jc w:val="left"/>
        <w:tblLayout w:type="autofit"/>
        <w:tblLook w:firstColumn="1" w:firstRow="1" w:lastColumn="0" w:lastRow="0" w:noHBand="0" w:noVBand="1" w:val="04A0"/>
      </w:tblPr>
      <w:tblGrid>
        <w:gridCol w:w="1435"/>
        <w:gridCol w:w="1435"/>
        <w:gridCol w:w="1435"/>
        <w:gridCol w:w="1435"/>
        <w:gridCol w:w="1435"/>
        <w:gridCol w:w="1435"/>
      </w:tblGrid>
      <w:tr>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Muestra</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Definición</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Empresas</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N</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Método principal</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Rol</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B</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Cobre puro, </w:t>
            </w:r>
            <w:r>
              <w:rPr>
                <w:rFonts w:ascii="Segoe UI" w:hAnsi="Segoe UI"/>
                <w:b/>
                <w:sz w:val="20"/>
              </w:rPr>
              <w:t>mercado global</w:t>
            </w:r>
            <w:r>
              <w:rPr>
                <w:rFonts w:ascii="Segoe UI" w:hAnsi="Segoe UI"/>
                <w:sz w:val="20"/>
              </w:rPr>
              <w:t>, con operación en Chile</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ANTO.L, BHP, AAL.L, LUN.TO, TECK</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5</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FE + Driscoll-Kraay</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Referencia "cobre puro"</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A</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Cobre puro, </w:t>
            </w:r>
            <w:r>
              <w:rPr>
                <w:rFonts w:ascii="Segoe UI" w:hAnsi="Segoe UI"/>
                <w:b/>
                <w:sz w:val="20"/>
              </w:rPr>
              <w:t>mercado chileno</w:t>
            </w:r>
            <w:r>
              <w:rPr>
                <w:rFonts w:ascii="Segoe UI" w:hAnsi="Segoe UI"/>
                <w:sz w:val="20"/>
              </w:rPr>
              <w:t xml:space="preserve"> (Bolsa de Santiago)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PUCOBRE.SN</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Serie de tiempo (ARDL, VAR/IRF)</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Caso local puro</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C</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Sector minero</w:t>
            </w:r>
            <w:r>
              <w:rPr>
                <w:rFonts w:ascii="Segoe UI" w:hAnsi="Segoe UI"/>
                <w:sz w:val="20"/>
              </w:rPr>
              <w:t xml:space="preserve"> chileno (Bolsa de Santiago)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PUCOBRE, CAP, SQM-B, MOLYMET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FE + Driscoll-Kraay</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Mercado local con N para panel</w:t>
            </w:r>
          </w:p>
        </w:tc>
      </w:tr>
    </w:tbl>
    <w:p>
      <w:pPr>
        <w:spacing w:after="40"/>
      </w:pPr>
    </w:p>
    <w:p>
      <w:pPr>
        <w:pStyle w:val="Heading2"/>
      </w:pPr>
      <w:r>
        <w:t>Foco y rol de cada muestra (definido)</w:t>
      </w:r>
    </w:p>
    <w:p>
      <w:r>
        <w:rPr>
          <w:b/>
        </w:rPr>
        <w:t>El objeto de estudio es el cobre.</w:t>
      </w:r>
      <w:r>
        <w:t xml:space="preserve"> Dado que en la Bolsa de Santiago el cobre puro cotizado se reduce esencialmente a Pucobre, la </w:t>
      </w:r>
      <w:r>
        <w:rPr>
          <w:b/>
        </w:rPr>
        <w:t>muestra C (sector minero local) actúa como *vehículo* del mercado chileno</w:t>
      </w:r>
      <w:r>
        <w:t>, no como objeto de estudio en sí: permite estimar con tamaño de sección cruzada cómo el mercado local incorpora los shocks macro, controlando por el precio propio de cada commodity para aislar el efecto del cobre. Así, la tesis mantiene su foco en el cobre sin renombrarse a "minería".</w:t>
      </w:r>
    </w:p>
    <w:p>
      <w:pPr>
        <w:pStyle w:val="Heading2"/>
      </w:pPr>
      <w:r>
        <w:t>Objetivo general (definido)</w:t>
      </w:r>
    </w:p>
    <w:p>
      <w:pPr>
        <w:pStyle w:val="Heading3"/>
      </w:pPr>
      <w:r>
        <w:t>Título (definido)</w:t>
      </w:r>
    </w:p>
    <w:p>
      <w:pPr>
        <w:pStyle w:val="Heading2"/>
      </w:pPr>
      <w:r>
        <w:t>Pregunta e hipótesis adicionales que habilita</w:t>
      </w:r>
    </w:p>
    <w:p>
      <w:pPr>
        <w:pStyle w:val="ListBullet"/>
      </w:pPr>
      <w:r>
        <w:rPr>
          <w:b/>
        </w:rPr>
        <w:t>PI6 (nueva):</w:t>
      </w:r>
      <w:r>
        <w:t xml:space="preserve"> ¿Difiere la sensibilidad de los retornos al precio del cobre y a las variables macro entre las empresas que cotizan en el mercado global (B) y las que cotizan en el mercado chileno (A/C)?</w:t>
      </w:r>
    </w:p>
    <w:p>
      <w:pPr>
        <w:pStyle w:val="ListBullet"/>
      </w:pPr>
      <w:r>
        <w:rPr>
          <w:b/>
        </w:rPr>
        <w:t>H7 (nueva):</w:t>
      </w:r>
      <w:r>
        <w:t xml:space="preserve"> El mercado global incorpora el shock del cobre de forma más rápida y completa que el mercado chileno (menor profundidad/liquidez local → transmisión más lenta o parcial). </w:t>
      </w:r>
      <w:r>
        <w:rPr>
          <w:i/>
        </w:rPr>
        <w:t>Contrastable comparando coeficientes, IRF y FEVD entre muestras.</w:t>
      </w:r>
    </w:p>
    <w:p>
      <w:pPr>
        <w:pStyle w:val="Heading2"/>
      </w:pPr>
      <w:r>
        <w:t>Cómo se ejecuta (sin reescribir código)</w:t>
      </w:r>
    </w:p>
    <w:p>
      <w:r>
        <w:t>El pipeline ya es paramétrico. Para cada muestra: ```python from src import build_panel as bp from src import config as C</w:t>
      </w:r>
    </w:p>
    <w:p>
      <w:pPr>
        <w:pStyle w:val="Heading1"/>
      </w:pPr>
      <w:r>
        <w:t>Muestra B / A / C respectivamente:</w:t>
      </w:r>
    </w:p>
    <w:p>
      <w:r>
        <w:t xml:space="preserve">bp.construir(guardar=True, universo=C.UNIVERSO_PRINCIPAL)      # -&gt; panel.parquet bp.construir(guardar=True, universo=C.UNIVERSO_LOCAL_COBRE)    # (renombrar salida: _A) bp.construir(guardar=True, universo=C.UNIVERSO_LOCAL_MINERIA)  # (renombrar salida: _C) ``` Luego se corren los mismos notebooks 02–06 sobre cada panel y se </w:t>
      </w:r>
      <w:r>
        <w:rPr>
          <w:b/>
        </w:rPr>
        <w:t>comparan</w:t>
      </w:r>
      <w:r>
        <w:t xml:space="preserve"> los resultados en una tabla única (coeficiente del cobre, velocidad de ajuste, FEVD global) por muestra.</w:t>
      </w:r>
    </w:p>
    <w:p>
      <w:pPr>
        <w:pStyle w:val="Heading2"/>
      </w:pPr>
      <w:r>
        <w:t>Qué documentos hay que ajustar a este diseño</w:t>
      </w:r>
    </w:p>
    <w:p>
      <w:pPr>
        <w:pStyle w:val="ListBullet"/>
      </w:pPr>
      <w:r>
        <w:t xml:space="preserve">[ ] </w:t>
      </w:r>
      <w:r>
        <w:rPr>
          <w:rFonts w:ascii="Consolas" w:hAnsi="Consolas"/>
          <w:sz w:val="20"/>
        </w:rPr>
        <w:t>matriz_consistencia.md</w:t>
      </w:r>
      <w:r>
        <w:t xml:space="preserve"> — agregar PI6/H7 y la dimensión "muestra".</w:t>
      </w:r>
    </w:p>
    <w:p>
      <w:pPr>
        <w:pStyle w:val="ListBullet"/>
      </w:pPr>
      <w:r>
        <w:t xml:space="preserve">[ ] </w:t>
      </w:r>
      <w:r>
        <w:rPr>
          <w:rFonts w:ascii="Consolas" w:hAnsi="Consolas"/>
          <w:sz w:val="20"/>
        </w:rPr>
        <w:t>metodologia_capitulo3.md</w:t>
      </w:r>
      <w:r>
        <w:t xml:space="preserve"> §3.1 — describir las tres muestras.</w:t>
      </w:r>
    </w:p>
    <w:p>
      <w:pPr>
        <w:pStyle w:val="ListBullet"/>
      </w:pPr>
      <w:r>
        <w:t xml:space="preserve">[ ] </w:t>
      </w:r>
      <w:r>
        <w:rPr>
          <w:rFonts w:ascii="Consolas" w:hAnsi="Consolas"/>
          <w:sz w:val="20"/>
        </w:rPr>
        <w:t>marco_teorico_capitulo2.md</w:t>
      </w:r>
      <w:r>
        <w:t xml:space="preserve"> — agregar sub-bloque sobre integración/segmentación de mercados y velocidad de incorporación de información (eficiencia informacional).</w:t>
      </w:r>
    </w:p>
    <w:p>
      <w:pPr>
        <w:pStyle w:val="ListBullet"/>
      </w:pPr>
      <w:r>
        <w:t xml:space="preserve">[ ] </w:t>
      </w:r>
      <w:r>
        <w:rPr>
          <w:rFonts w:ascii="Consolas" w:hAnsi="Consolas"/>
          <w:sz w:val="20"/>
        </w:rPr>
        <w:t>introduccion_capitulo1.md</w:t>
      </w:r>
      <w:r>
        <w:t xml:space="preserve"> — reflejar la comparación de mercados en problema y aportes.</w:t>
      </w:r>
    </w:p>
    <w:p>
      <w:pPr>
        <w:pStyle w:val="ListBullet"/>
      </w:pPr>
      <w:r>
        <w:t>[ ] Título de la tesis.</w:t>
      </w:r>
    </w:p>
    <w:sectPr w:rsidR="00FC693F" w:rsidRPr="0006063C" w:rsidSect="00034616">
      <w:footerReference w:type="default" r:id="rId9"/>
      <w:pgSz w:w="12240" w:h="15840"/>
      <w:pgMar w:top="1701" w:right="1814" w:bottom="1474" w:left="181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E6E73"/>
        <w:sz w:val="18"/>
      </w:rPr>
      <w:fldChar w:fldCharType="begin"/>
      <w:instrText xml:space="preserve">PAGE</w:instrText>
      <w:fldChar w:fldCharType="separate"/>
      <w:instrText xml:space="preserve">1</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200"/>
      <w:jc w:val="left"/>
    </w:pPr>
    <w:rPr>
      <w:rFonts w:ascii="Segoe UI" w:hAnsi="Segoe UI"/>
      <w:color w:val="1D1D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jc w:val="left"/>
      <w:outlineLvl w:val="0"/>
    </w:pPr>
    <w:rPr>
      <w:rFonts w:asciiTheme="majorHAnsi" w:eastAsiaTheme="majorEastAsia" w:hAnsiTheme="majorHAnsi" w:cstheme="majorBidi" w:ascii="Segoe UI Semibold" w:hAnsi="Segoe UI Semibold"/>
      <w:b w:val="0"/>
      <w:bCs/>
      <w:i w:val="0"/>
      <w:color w:val="1D1D1F"/>
      <w:sz w:val="44"/>
      <w:szCs w:val="28"/>
    </w:rPr>
  </w:style>
  <w:style w:type="paragraph" w:styleId="Heading2">
    <w:name w:val="heading 2"/>
    <w:basedOn w:val="Normal"/>
    <w:next w:val="Normal"/>
    <w:link w:val="Heading2Char"/>
    <w:uiPriority w:val="9"/>
    <w:unhideWhenUsed/>
    <w:qFormat/>
    <w:rsid w:val="00FC693F"/>
    <w:pPr>
      <w:keepNext/>
      <w:keepLines/>
      <w:spacing w:before="360" w:after="80" w:line="264" w:lineRule="auto"/>
      <w:jc w:val="left"/>
      <w:outlineLvl w:val="1"/>
    </w:pPr>
    <w:rPr>
      <w:rFonts w:asciiTheme="majorHAnsi" w:eastAsiaTheme="majorEastAsia" w:hAnsiTheme="majorHAnsi" w:cstheme="majorBidi" w:ascii="Segoe UI Semibold" w:hAnsi="Segoe UI Semibold"/>
      <w:b w:val="0"/>
      <w:bCs/>
      <w:i w:val="0"/>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80" w:line="264" w:lineRule="auto"/>
      <w:jc w:val="left"/>
      <w:outlineLvl w:val="2"/>
    </w:pPr>
    <w:rPr>
      <w:rFonts w:asciiTheme="majorHAnsi" w:eastAsiaTheme="majorEastAsia" w:hAnsiTheme="majorHAnsi" w:cstheme="majorBidi" w:ascii="Segoe UI Semibold" w:hAnsi="Segoe UI Semibold"/>
      <w:b w:val="0"/>
      <w:bCs/>
      <w:i w:val="0"/>
      <w:color w:val="0071E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