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Guía de Descarga (BCCh)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Descarga del EMBI desde el Banco Central de Chile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Guía de Descarga (BCCh)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Guía de descarga de series locales (BCCh / INE / Bolsa) a `data/raw/`</w:t>
      </w:r>
    </w:p>
    <w:p>
      <w:r>
        <w:t xml:space="preserve">Objetivo: obtener las series que NO están en FRED y dejarlas en </w:t>
      </w:r>
      <w:r>
        <w:rPr>
          <w:rFonts w:ascii="Consolas" w:hAnsi="Consolas"/>
          <w:sz w:val="20"/>
        </w:rPr>
        <w:t>data/raw/</w:t>
      </w:r>
      <w:r>
        <w:t xml:space="preserve"> con el formato y nombre exactos que el código (</w:t>
      </w:r>
      <w:r>
        <w:rPr>
          <w:rFonts w:ascii="Consolas" w:hAnsi="Consolas"/>
          <w:sz w:val="20"/>
        </w:rPr>
        <w:t>src/config.py</w:t>
      </w:r>
      <w:r>
        <w:t xml:space="preserve"> → </w:t>
      </w:r>
      <w:r>
        <w:rPr>
          <w:rFonts w:ascii="Consolas" w:hAnsi="Consolas"/>
          <w:sz w:val="20"/>
        </w:rPr>
        <w:t>MACRO_LOCAL_BCCH</w:t>
      </w:r>
      <w:r>
        <w:t>) espera.</w:t>
      </w:r>
    </w:p>
    <w:p>
      <w:pPr>
        <w:pStyle w:val="Heading2"/>
      </w:pPr>
      <w:r>
        <w:t>1. Series requeridas y dónde encontrarlas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</w:tblGrid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Archivo destino (</w:t>
            </w:r>
            <w:r>
              <w:rPr>
                <w:rFonts w:ascii="Segoe UI" w:hAnsi="Segoe UI"/>
                <w:b/>
                <w:color w:val="1D1D1F"/>
                <w:sz w:val="20"/>
              </w:rPr>
              <w:t>data/raw/</w:t>
            </w:r>
            <w:r>
              <w:rPr>
                <w:rFonts w:ascii="Segoe UI" w:hAnsi="Segoe UI"/>
                <w:b/>
                <w:color w:val="1D1D1F"/>
                <w:sz w:val="20"/>
              </w:rPr>
              <w:t>)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Serie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Fuente principal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Dónde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bcch_tpm.csv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Tasa de Política Monetaria (TPM)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Banco Central de Chile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BDE → Tasas de interés → TPM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bcch_imacec.csv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IMACEC (índice mensual de actividad)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Banco Central de Chile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BDE → Actividad → IMACEC (serie empalmada, desestacionalizada o no — ver §4)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bcch_embi.csv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EMBI Chile / spread soberano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Banco Central de Chile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BDE → Estadísticas monetarias y financieras → Riesgo soberano / EMBI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bcch_ipc.csv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IPC / variación mensual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INE (BCCh redistribuye)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ine.gob.cl → IPC, o BDE → Precios → IPC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bcch_ipsa.csv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Índice IPSA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Bolsa de Santiago / BCCh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BDE → Mercado bursátil → IPSA (NO usar Yahoo: se corta en 2019)</w:t>
            </w:r>
          </w:p>
        </w:tc>
      </w:tr>
    </w:tbl>
    <w:p>
      <w:pPr>
        <w:spacing w:after="40"/>
      </w:pPr>
    </w:p>
    <w:p>
      <w:r>
        <w:rPr>
          <w:b/>
        </w:rPr>
        <w:t>Portal BCCh:</w:t>
      </w:r>
      <w:r>
        <w:t xml:space="preserve"> Base de Datos Estadísticos (BDE), </w:t>
      </w:r>
      <w:r>
        <w:rPr>
          <w:rFonts w:ascii="Consolas" w:hAnsi="Consolas"/>
          <w:sz w:val="20"/>
        </w:rPr>
        <w:t>si3.bcentral.cl</w:t>
      </w:r>
      <w:r>
        <w:t xml:space="preserve">. Permite seleccionar la serie, el rango de fechas (pon </w:t>
      </w:r>
      <w:r>
        <w:rPr>
          <w:b/>
        </w:rPr>
        <w:t>2003-01 a 2024-12</w:t>
      </w:r>
      <w:r>
        <w:t xml:space="preserve"> para tener margen de un año antes del inicio muestral) y </w:t>
      </w:r>
      <w:r>
        <w:rPr>
          <w:b/>
        </w:rPr>
        <w:t>exportar a Excel/CSV</w:t>
      </w:r>
      <w:r>
        <w:t>.</w:t>
      </w:r>
    </w:p>
    <w:p>
      <w:r>
        <w:rPr>
          <w:b/>
        </w:rPr>
        <w:t>Cobre diario (opcional, solo si harás análisis de alta frecuencia):</w:t>
      </w:r>
      <w:r>
        <w:t xml:space="preserve"> Cochilco (</w:t>
      </w:r>
      <w:r>
        <w:rPr>
          <w:rFonts w:ascii="Consolas" w:hAnsi="Consolas"/>
          <w:sz w:val="20"/>
        </w:rPr>
        <w:t>cochilco.cl</w:t>
      </w:r>
      <w:r>
        <w:t xml:space="preserve"> → estadísticas → precio del cobre) o LME. Guárdalo como </w:t>
      </w:r>
      <w:r>
        <w:rPr>
          <w:rFonts w:ascii="Consolas" w:hAnsi="Consolas"/>
          <w:sz w:val="20"/>
        </w:rPr>
        <w:t>cobre_diario.csv</w:t>
      </w:r>
      <w:r>
        <w:t>.</w:t>
      </w:r>
    </w:p>
    <w:p>
      <w:pPr>
        <w:pStyle w:val="Heading2"/>
      </w:pPr>
      <w:r>
        <w:t>2. Formato exacto que espera el código</w:t>
      </w:r>
    </w:p>
    <w:p>
      <w:r>
        <w:t xml:space="preserve">La función </w:t>
      </w:r>
      <w:r>
        <w:rPr>
          <w:rFonts w:ascii="Consolas" w:hAnsi="Consolas"/>
          <w:sz w:val="20"/>
        </w:rPr>
        <w:t>data_acquisition.load_local_csv()</w:t>
      </w:r>
      <w:r>
        <w:t xml:space="preserve"> está configurada para el export típico del BCCh:</w:t>
      </w:r>
    </w:p>
    <w:p>
      <w:pPr>
        <w:pStyle w:val="ListBullet"/>
      </w:pPr>
      <w:r>
        <w:rPr>
          <w:b/>
        </w:rPr>
        <w:t>Separador:</w:t>
      </w:r>
      <w:r>
        <w:t xml:space="preserve"> </w:t>
      </w:r>
      <w:r>
        <w:rPr>
          <w:rFonts w:ascii="Consolas" w:hAnsi="Consolas"/>
          <w:sz w:val="20"/>
        </w:rPr>
        <w:t>;</w:t>
      </w:r>
      <w:r>
        <w:t xml:space="preserve"> (punto y coma). El BCCh suele exportar así.</w:t>
      </w:r>
    </w:p>
    <w:p>
      <w:pPr>
        <w:pStyle w:val="ListBullet"/>
      </w:pPr>
      <w:r>
        <w:rPr>
          <w:b/>
        </w:rPr>
        <w:t>Decimal:</w:t>
      </w:r>
      <w:r>
        <w:t xml:space="preserve"> </w:t>
      </w:r>
      <w:r>
        <w:rPr>
          <w:rFonts w:ascii="Consolas" w:hAnsi="Consolas"/>
          <w:sz w:val="20"/>
        </w:rPr>
        <w:t>,</w:t>
      </w:r>
      <w:r>
        <w:t xml:space="preserve"> (coma). Verifícalo abriendo el archivo en un editor de texto.</w:t>
      </w:r>
    </w:p>
    <w:p>
      <w:pPr>
        <w:pStyle w:val="ListBullet"/>
      </w:pPr>
      <w:r>
        <w:rPr>
          <w:b/>
        </w:rPr>
        <w:t>Primera columna = fecha</w:t>
      </w:r>
      <w:r>
        <w:t xml:space="preserve">, en formato día/mes/año o mes/año (la función usa </w:t>
      </w:r>
      <w:r>
        <w:rPr>
          <w:rFonts w:ascii="Consolas" w:hAnsi="Consolas"/>
          <w:sz w:val="20"/>
        </w:rPr>
        <w:t>dayfirst=True</w:t>
      </w:r>
      <w:r>
        <w:t>).</w:t>
      </w:r>
    </w:p>
    <w:p>
      <w:pPr>
        <w:pStyle w:val="ListBullet"/>
      </w:pPr>
      <w:r>
        <w:rPr>
          <w:b/>
        </w:rPr>
        <w:t>Una columna de valores</w:t>
      </w:r>
      <w:r>
        <w:t xml:space="preserve"> (la serie). Si el export trae varias columnas o metadatos en las primeras filas, elimínalas o usa el parámetro </w:t>
      </w:r>
      <w:r>
        <w:rPr>
          <w:rFonts w:ascii="Consolas" w:hAnsi="Consolas"/>
          <w:sz w:val="20"/>
        </w:rPr>
        <w:t>skiprows</w:t>
      </w:r>
      <w:r>
        <w:t xml:space="preserve"> al cargar.</w:t>
      </w:r>
    </w:p>
    <w:p>
      <w:r>
        <w:t xml:space="preserve">Si tu export usa coma como separador y punto decimal (formato anglosajón), cárgalo con </w:t>
      </w:r>
      <w:r>
        <w:rPr>
          <w:rFonts w:ascii="Consolas" w:hAnsi="Consolas"/>
          <w:sz w:val="20"/>
        </w:rPr>
        <w:t>sep=','</w:t>
      </w:r>
      <w:r>
        <w:t xml:space="preserve"> y </w:t>
      </w:r>
      <w:r>
        <w:rPr>
          <w:rFonts w:ascii="Consolas" w:hAnsi="Consolas"/>
          <w:sz w:val="20"/>
        </w:rPr>
        <w:t>decimal='.'</w:t>
      </w:r>
      <w:r>
        <w:t xml:space="preserve"> en lugar de los valores por defecto.</w:t>
      </w:r>
    </w:p>
    <w:p>
      <w:pPr>
        <w:pStyle w:val="Heading3"/>
      </w:pPr>
      <w:r>
        <w:t>Ejemplo de archivo válido (`bcch_tpm.csv`)</w:t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  <w:t xml:space="preserve"> fecha;valor 02-01-2004;2,25 05-01-2004;2,25 ... </w:t>
      </w:r>
      <w:r>
        <w:rPr>
          <w:rFonts w:ascii="Consolas" w:hAnsi="Consolas"/>
          <w:sz w:val="20"/>
        </w:rPr>
      </w:r>
    </w:p>
    <w:p>
      <w:pPr>
        <w:pStyle w:val="Heading2"/>
      </w:pPr>
      <w:r>
        <w:t>3. Cómo cargar y verificar (en el notebook 01 o una celda nueva)</w:t>
      </w:r>
    </w:p>
    <w:p>
      <w:r>
        <w:t>```python from src import data_acquisition as da</w:t>
      </w:r>
    </w:p>
    <w:p>
      <w:r>
        <w:t>tpm    = da.load_local_csv('bcch_tpm.csv',    sep=';', decimal=',') imacec = da.load_local_csv('bcch_imacec.csv', sep=';', decimal=',') embi   = da.load_local_csv('bcch_embi.csv',   sep=';', decimal=',') ipc    = da.load_local_csv('bcch_ipc.csv',    sep=';', decimal=',') ipsa   = da.load_local_csv('bcch_ipsa.csv',   sep=';', decimal=',')</w:t>
      </w:r>
    </w:p>
    <w:p>
      <w:pPr>
        <w:pStyle w:val="Heading1"/>
      </w:pPr>
      <w:r>
        <w:t>Verificación mínima por serie:</w:t>
      </w:r>
    </w:p>
    <w:p>
      <w:r>
        <w:t>for nombre, df in [('TPM',tpm),('IMACEC',imacec),('EMBI',embi),('IPC',ipc),('IPSA',ipsa)]: if df is not None: print(f'{nombre:7s} {df.index.min().date()} -&gt; {df.index.max().date()}  ({len(df)} obs)') ```</w:t>
      </w:r>
    </w:p>
    <w:p>
      <w:r>
        <w:t xml:space="preserve">Si una serie carga con </w:t>
      </w:r>
      <w:r>
        <w:rPr>
          <w:rFonts w:ascii="Consolas" w:hAnsi="Consolas"/>
          <w:sz w:val="20"/>
        </w:rPr>
        <w:t>NaN</w:t>
      </w:r>
      <w:r>
        <w:t xml:space="preserve"> en los valores, casi siempre es por </w:t>
      </w:r>
      <w:r>
        <w:rPr>
          <w:rFonts w:ascii="Consolas" w:hAnsi="Consolas"/>
          <w:sz w:val="20"/>
        </w:rPr>
        <w:t>sep</w:t>
      </w:r>
      <w:r>
        <w:t>/</w:t>
      </w:r>
      <w:r>
        <w:rPr>
          <w:rFonts w:ascii="Consolas" w:hAnsi="Consolas"/>
          <w:sz w:val="20"/>
        </w:rPr>
        <w:t>decimal</w:t>
      </w:r>
      <w:r>
        <w:t xml:space="preserve"> mal puestos: abre el CSV en un editor de texto y ajusta los parámetros.</w:t>
      </w:r>
    </w:p>
    <w:p>
      <w:pPr>
        <w:pStyle w:val="Heading2"/>
      </w:pPr>
      <w:r>
        <w:t>4. Decisiones de transformación a tomar al descargar</w:t>
      </w:r>
    </w:p>
    <w:p>
      <w:pPr>
        <w:pStyle w:val="ListBullet"/>
      </w:pPr>
      <w:r>
        <w:rPr>
          <w:b/>
        </w:rPr>
        <w:t>IMACEC:</w:t>
      </w:r>
      <w:r>
        <w:t xml:space="preserve"> elige la versión </w:t>
      </w:r>
      <w:r>
        <w:rPr>
          <w:b/>
        </w:rPr>
        <w:t>desestacionalizada</w:t>
      </w:r>
      <w:r>
        <w:t xml:space="preserve"> si vas a usarlo en nivel/diferencia sin dummies de mes; si usas la serie original, incluye control de estacionalidad. Anótalo.</w:t>
      </w:r>
    </w:p>
    <w:p>
      <w:pPr>
        <w:pStyle w:val="ListBullet"/>
      </w:pPr>
      <w:r>
        <w:rPr>
          <w:b/>
        </w:rPr>
        <w:t>TPM:</w:t>
      </w:r>
      <w:r>
        <w:t xml:space="preserve"> es una tasa de nivel; el código la diferencia (</w:t>
      </w:r>
      <w:r>
        <w:rPr>
          <w:rFonts w:ascii="Consolas" w:hAnsi="Consolas"/>
          <w:sz w:val="20"/>
        </w:rPr>
        <w:t>d_tpm</w:t>
      </w:r>
      <w:r>
        <w:t>). Descárgala diaria o mensual; se remuestrea a fin de mes.</w:t>
      </w:r>
    </w:p>
    <w:p>
      <w:pPr>
        <w:pStyle w:val="ListBullet"/>
      </w:pPr>
      <w:r>
        <w:rPr>
          <w:b/>
        </w:rPr>
        <w:t>EMBI:</w:t>
      </w:r>
      <w:r>
        <w:t xml:space="preserve"> verifica unidades (puntos base). Entra en diferencia (</w:t>
      </w:r>
      <w:r>
        <w:rPr>
          <w:rFonts w:ascii="Consolas" w:hAnsi="Consolas"/>
          <w:sz w:val="20"/>
        </w:rPr>
        <w:t>d_embi</w:t>
      </w:r>
      <w:r>
        <w:t>).</w:t>
      </w:r>
    </w:p>
    <w:p>
      <w:pPr>
        <w:pStyle w:val="ListBullet"/>
      </w:pPr>
      <w:r>
        <w:rPr>
          <w:b/>
        </w:rPr>
        <w:t>IPC:</w:t>
      </w:r>
      <w:r>
        <w:t xml:space="preserve"> decide si usas el </w:t>
      </w:r>
      <w:r>
        <w:rPr>
          <w:b/>
        </w:rPr>
        <w:t>índice</w:t>
      </w:r>
      <w:r>
        <w:t xml:space="preserve"> (nivel, I(1)) o la </w:t>
      </w:r>
      <w:r>
        <w:rPr>
          <w:b/>
        </w:rPr>
        <w:t>variación mensual</w:t>
      </w:r>
      <w:r>
        <w:t xml:space="preserve"> (ya estacionaria). El código por defecto diferencia; si bajas la variación, ajústalo en </w:t>
      </w:r>
      <w:r>
        <w:rPr>
          <w:rFonts w:ascii="Consolas" w:hAnsi="Consolas"/>
          <w:sz w:val="20"/>
        </w:rPr>
        <w:t>build_panel.py</w:t>
      </w:r>
      <w:r>
        <w:t>.</w:t>
      </w:r>
    </w:p>
    <w:p>
      <w:pPr>
        <w:pStyle w:val="ListBullet"/>
      </w:pPr>
      <w:r>
        <w:rPr>
          <w:b/>
        </w:rPr>
        <w:t>Rango:</w:t>
      </w:r>
      <w:r>
        <w:t xml:space="preserve"> descarga desde </w:t>
      </w:r>
      <w:r>
        <w:rPr>
          <w:b/>
        </w:rPr>
        <w:t>2003</w:t>
      </w:r>
      <w:r>
        <w:t xml:space="preserve"> para no perder observaciones por los rezagos/diferencias al inicio de 2004.</w:t>
      </w:r>
    </w:p>
    <w:p>
      <w:pPr>
        <w:pStyle w:val="Heading2"/>
      </w:pPr>
      <w:r>
        <w:t>5. Una vez descargadas las 5 series</w:t>
      </w:r>
    </w:p>
    <w:p>
      <w:r>
        <w:t>```python</w:t>
      </w:r>
    </w:p>
    <w:p>
      <w:pPr>
        <w:pStyle w:val="Heading1"/>
      </w:pPr>
      <w:r>
        <w:t>Reconstruir el panel ahora CON las locales:</w:t>
      </w:r>
    </w:p>
    <w:p>
      <w:r>
        <w:t>from src import build_panel as bp from src import config as C panel, series = bp.construir(guardar=True, universo=C.UNIVERSO_ROBUSTEZ)</w:t>
      </w:r>
    </w:p>
    <w:p>
      <w:pPr>
        <w:pStyle w:val="Heading1"/>
      </w:pPr>
      <w:r>
        <w:t>build_panel detecta automáticamente los CSV en data/raw/ y los incorpora.</w:t>
      </w:r>
    </w:p>
    <w:p>
      <w:r>
        <w:rPr>
          <w:rFonts w:ascii="Consolas" w:hAnsi="Consolas"/>
          <w:sz w:val="20"/>
        </w:rPr>
        <w:t>`</w:t>
      </w:r>
    </w:p>
    <w:p>
      <w:r>
        <w:t xml:space="preserve">El log debe pasar de </w:t>
      </w:r>
      <w:r>
        <w:rPr>
          <w:rFonts w:ascii="Consolas" w:hAnsi="Consolas"/>
          <w:sz w:val="20"/>
        </w:rPr>
        <w:t>[AVISO] Sin series BCCh...</w:t>
      </w:r>
      <w:r>
        <w:t xml:space="preserve"> a </w:t>
      </w:r>
      <w:r>
        <w:rPr>
          <w:rFonts w:ascii="Consolas" w:hAnsi="Consolas"/>
          <w:sz w:val="20"/>
        </w:rPr>
        <w:t>[OK] BCCh cargado: ['tpm','imacec',...]</w:t>
      </w:r>
      <w:r>
        <w:t xml:space="preserve">, y la lista "Columnas macro" debe incluir </w:t>
      </w:r>
      <w:r>
        <w:rPr>
          <w:rFonts w:ascii="Consolas" w:hAnsi="Consolas"/>
          <w:sz w:val="20"/>
        </w:rPr>
        <w:t>d_tpm</w:t>
      </w:r>
      <w:r>
        <w:t xml:space="preserve">, </w:t>
      </w:r>
      <w:r>
        <w:rPr>
          <w:rFonts w:ascii="Consolas" w:hAnsi="Consolas"/>
          <w:sz w:val="20"/>
        </w:rPr>
        <w:t>d_imacec</w:t>
      </w:r>
      <w:r>
        <w:t xml:space="preserve">, </w:t>
      </w:r>
      <w:r>
        <w:rPr>
          <w:rFonts w:ascii="Consolas" w:hAnsi="Consolas"/>
          <w:sz w:val="20"/>
        </w:rPr>
        <w:t>d_embi</w:t>
      </w:r>
      <w:r>
        <w:t>, etc.</w:t>
      </w:r>
    </w:p>
    <w:p>
      <w:pPr>
        <w:pStyle w:val="Heading2"/>
      </w:pPr>
      <w:r>
        <w:t>6. Estados financieros (CMF) — para los controles de empresa (fase posterior)</w:t>
      </w:r>
    </w:p>
    <w:p>
      <w:r>
        <w:t xml:space="preserve">Para </w:t>
      </w:r>
      <w:r>
        <w:rPr>
          <w:rFonts w:ascii="Consolas" w:hAnsi="Consolas"/>
          <w:sz w:val="20"/>
        </w:rPr>
        <w:t>leverage</w:t>
      </w:r>
      <w:r>
        <w:t xml:space="preserve">, </w:t>
      </w:r>
      <w:r>
        <w:rPr>
          <w:rFonts w:ascii="Consolas" w:hAnsi="Consolas"/>
          <w:sz w:val="20"/>
        </w:rPr>
        <w:t>ROA</w:t>
      </w:r>
      <w:r>
        <w:t xml:space="preserve"> y demás ratios contables (trimestrales):</w:t>
      </w:r>
    </w:p>
    <w:p>
      <w:pPr>
        <w:pStyle w:val="ListBullet"/>
      </w:pPr>
      <w:r>
        <w:t xml:space="preserve">Fuente: </w:t>
      </w:r>
      <w:r>
        <w:rPr>
          <w:b/>
        </w:rPr>
        <w:t>CMF</w:t>
      </w:r>
      <w:r>
        <w:t xml:space="preserve"> (</w:t>
      </w:r>
      <w:r>
        <w:rPr>
          <w:rFonts w:ascii="Consolas" w:hAnsi="Consolas"/>
          <w:sz w:val="20"/>
        </w:rPr>
        <w:t>cmfchile.cl</w:t>
      </w:r>
      <w:r>
        <w:t>) → información financiera de cada emisor; o Bloomberg/Refinitiv.</w:t>
      </w:r>
    </w:p>
    <w:p>
      <w:pPr>
        <w:pStyle w:val="ListBullet"/>
      </w:pPr>
      <w:r>
        <w:t xml:space="preserve">Guarda un CSV por empresa o uno consolidado en </w:t>
      </w:r>
      <w:r>
        <w:rPr>
          <w:rFonts w:ascii="Consolas" w:hAnsi="Consolas"/>
          <w:sz w:val="20"/>
        </w:rPr>
        <w:t>data/raw/</w:t>
      </w:r>
      <w:r>
        <w:t xml:space="preserve"> (p. ej. </w:t>
      </w:r>
      <w:r>
        <w:rPr>
          <w:rFonts w:ascii="Consolas" w:hAnsi="Consolas"/>
          <w:sz w:val="20"/>
        </w:rPr>
        <w:t>eeff_trimestral.csv</w:t>
      </w:r>
      <w:r>
        <w:t xml:space="preserve">) con columnas: </w:t>
      </w:r>
      <w:r>
        <w:rPr>
          <w:rFonts w:ascii="Consolas" w:hAnsi="Consolas"/>
          <w:sz w:val="20"/>
        </w:rPr>
        <w:t>empresa, fecha, deuda_patrimonio, roa, ...</w:t>
      </w:r>
      <w:r>
        <w:t>.</w:t>
      </w:r>
    </w:p>
    <w:p>
      <w:pPr>
        <w:pStyle w:val="ListBullet"/>
      </w:pPr>
      <w:r>
        <w:t xml:space="preserve">El código las incorpora vía </w:t>
      </w:r>
      <w:r>
        <w:rPr>
          <w:rFonts w:ascii="Consolas" w:hAnsi="Consolas"/>
          <w:sz w:val="20"/>
        </w:rPr>
        <w:t>transformations.contable_a_mensual()</w:t>
      </w:r>
      <w:r>
        <w:t xml:space="preserve"> (ffill + rezago de publicación). Esto es de prioridad menor: parte con los modelos macro y agrega los controles de empresa después.</w:t>
      </w:r>
    </w:p>
    <w:p>
      <w:pPr>
        <w:pStyle w:val="Heading3"/>
      </w:pPr>
      <w:r>
        <w:t>Checklist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bcch_tpm.csv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bcch_imacec.csv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bcch_embi.csv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bcch_ipc.csv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bcch_ipsa.csv</w:t>
      </w:r>
    </w:p>
    <w:p>
      <w:pPr>
        <w:pStyle w:val="ListBullet"/>
      </w:pPr>
      <w:r>
        <w:t xml:space="preserve">[ ] (opcional) </w:t>
      </w:r>
      <w:r>
        <w:rPr>
          <w:rFonts w:ascii="Consolas" w:hAnsi="Consolas"/>
          <w:sz w:val="20"/>
        </w:rPr>
        <w:t>cobre_diario.csv</w:t>
      </w:r>
      <w:r>
        <w:t xml:space="preserve"> — solo si harás alta frecuencia</w:t>
      </w:r>
    </w:p>
    <w:p>
      <w:pPr>
        <w:pStyle w:val="ListBullet"/>
      </w:pPr>
      <w:r>
        <w:t>[ ] (posterior) EE.FF. trimestrales CMF</w:t>
      </w: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