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120"/>
      </w:pPr>
      <w:r>
        <w:rPr>
          <w:rFonts w:ascii="Segoe UI Semibold" w:hAnsi="Segoe UI Semibold"/>
          <w:color w:val="0071E3"/>
          <w:sz w:val="24"/>
          <w:spacing w:val="40"/>
        </w:rPr>
        <w:t>INVESTIGACIÓN · TESIS F. RIETTA</w:t>
      </w:r>
    </w:p>
    <w:p>
      <w:pPr>
        <w:spacing w:after="160" w:line="245" w:lineRule="auto"/>
      </w:pPr>
      <w:r>
        <w:rPr>
          <w:rFonts w:ascii="Segoe UI Semibold" w:hAnsi="Segoe UI Semibold"/>
          <w:color w:val="1D1D1F"/>
          <w:sz w:val="68"/>
        </w:rPr>
        <w:t>Literatura Chilena y Latinoamericana</w:t>
      </w:r>
    </w:p>
    <w:p>
      <w:pPr>
        <w:spacing w:after="0" w:line="288" w:lineRule="auto"/>
      </w:pPr>
      <w:r>
        <w:rPr>
          <w:rFonts w:ascii="Segoe UI" w:hAnsi="Segoe UI"/>
          <w:color w:val="6E6E73"/>
          <w:sz w:val="30"/>
        </w:rPr>
        <w:t>Tipo de cambio, cobre y mercado de capitales local</w:t>
      </w:r>
    </w:p>
    <w:p>
      <w:pPr>
        <w:spacing w:after="0"/>
      </w:pPr>
    </w:p>
    <w:p>
      <w:pPr>
        <w:spacing w:before="160" w:after="280"/>
        <w:pBdr>
          <w:bottom w:val="single" w:sz="6" w:space="1" w:color="D2D2D7"/>
        </w:pBdr>
      </w:pPr>
    </w:p>
    <w:p>
      <w:pPr>
        <w:spacing w:after="40"/>
      </w:pPr>
      <w:r>
        <w:rPr>
          <w:rFonts w:ascii="Segoe UI Semibold" w:hAnsi="Segoe UI Semibold"/>
          <w:color w:val="1D1D1F"/>
          <w:sz w:val="21"/>
        </w:rPr>
        <w:t xml:space="preserve">Proyecto   </w:t>
      </w:r>
      <w:r>
        <w:rPr>
          <w:rFonts w:ascii="Segoe UI" w:hAnsi="Segoe UI"/>
          <w:color w:val="6E6E73"/>
          <w:sz w:val="21"/>
        </w:rPr>
        <w:t>Macroeconomía y retornos del sector cobre en Chile (2004–2024)</w:t>
      </w:r>
    </w:p>
    <w:p>
      <w:pPr>
        <w:spacing w:after="40"/>
      </w:pPr>
      <w:r>
        <w:rPr>
          <w:rFonts w:ascii="Segoe UI Semibold" w:hAnsi="Segoe UI Semibold"/>
          <w:color w:val="1D1D1F"/>
          <w:sz w:val="21"/>
        </w:rPr>
        <w:t xml:space="preserve">Documento   </w:t>
      </w:r>
      <w:r>
        <w:rPr>
          <w:rFonts w:ascii="Segoe UI" w:hAnsi="Segoe UI"/>
          <w:color w:val="6E6E73"/>
          <w:sz w:val="21"/>
        </w:rPr>
        <w:t>Literatura Chilena y Latinoamericana</w:t>
      </w:r>
    </w:p>
    <w:p>
      <w:pPr>
        <w:spacing w:after="40"/>
      </w:pPr>
      <w:r>
        <w:rPr>
          <w:rFonts w:ascii="Segoe UI Semibold" w:hAnsi="Segoe UI Semibold"/>
          <w:color w:val="1D1D1F"/>
          <w:sz w:val="21"/>
        </w:rPr>
        <w:t xml:space="preserve">Formato   </w:t>
      </w:r>
      <w:r>
        <w:rPr>
          <w:rFonts w:ascii="Segoe UI" w:hAnsi="Segoe UI"/>
          <w:color w:val="6E6E73"/>
          <w:sz w:val="21"/>
        </w:rPr>
        <w:t>Estilo Apple · sugerencias MIT (sans serif, índice, enlaces)</w:t>
      </w:r>
    </w:p>
    <w:p>
      <w:r>
        <w:br w:type="page"/>
      </w:r>
    </w:p>
    <w:p>
      <w:pPr>
        <w:pStyle w:val="Heading1"/>
      </w:pPr>
      <w:r>
        <w:t>Revisión de literatura: cobre, tipo de cambio y mercado accionario chileno</w:t>
      </w:r>
    </w:p>
    <w:p>
      <w:r>
        <w:rPr>
          <w:b/>
        </w:rPr>
        <w:t>Tesis:</w:t>
      </w:r>
      <w:r>
        <w:t xml:space="preserve"> "Impacto de las variables macroeconómicas en los retornos accionarios de las empresas de cobre con exposición a Chile: una comparación entre el mercado internacional y el chileno, 2004–2024"</w:t>
      </w:r>
    </w:p>
    <w:p>
      <w:r>
        <w:rPr>
          <w:b/>
        </w:rPr>
        <w:t>Fecha de la búsqueda:</w:t>
      </w:r>
      <w:r>
        <w:t xml:space="preserve"> 2026-05-31 </w:t>
      </w:r>
      <w:r>
        <w:rPr>
          <w:b/>
        </w:rPr>
        <w:t>Método:</w:t>
      </w:r>
      <w:r>
        <w:t xml:space="preserve"> Búsqueda web (WebSearch + WebFetch) sobre fuentes académicas, Documentos de Trabajo del Banco Central de Chile (DTBC), Cochilco, revistas chilenas/latinoamericanas y literatura internacional de </w:t>
      </w:r>
      <w:r>
        <w:rPr>
          <w:i/>
        </w:rPr>
        <w:t>commodity currencies</w:t>
      </w:r>
      <w:r>
        <w:t>.</w:t>
      </w:r>
    </w:p>
    <w:p>
      <w:pPr>
        <w:pStyle w:val="Heading2"/>
      </w:pPr>
      <w:r>
        <w:t>1. Tabla de fuentes verificadas</w:t>
      </w:r>
    </w:p>
    <w:tbl>
      <w:tblPr>
        <w:tblW w:type="auto" w:w="0"/>
        <w:jc w:val="left"/>
        <w:tblLayout w:type="autofit"/>
        <w:tblLook w:firstColumn="1" w:firstRow="1" w:lastColumn="0" w:lastRow="0" w:noHBand="0" w:noVBand="1" w:val="04A0"/>
      </w:tblPr>
      <w:tblGrid>
        <w:gridCol w:w="1230"/>
        <w:gridCol w:w="1230"/>
        <w:gridCol w:w="1230"/>
        <w:gridCol w:w="1230"/>
        <w:gridCol w:w="1230"/>
        <w:gridCol w:w="1230"/>
        <w:gridCol w:w="1230"/>
      </w:tblGrid>
      <w:tr>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Autor(es)</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Año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Título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Publicado en</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URL</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Relación con la tesis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Salvador Zurita, Rodrigo Fuentes, Jorge Gregoire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2005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Factores Macroeconómicos en Retornos Accionarios Chilenos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Documento de Trabajo N°316, Banco Central de Chile (luego en </w:t>
            </w:r>
            <w:r>
              <w:rPr>
                <w:rFonts w:ascii="Segoe UI" w:hAnsi="Segoe UI"/>
                <w:i/>
                <w:sz w:val="20"/>
              </w:rPr>
              <w:t>El Trimestre Económico</w:t>
            </w:r>
            <w:r>
              <w:rPr>
                <w:rFonts w:ascii="Segoe UI" w:hAnsi="Segoe UI"/>
                <w:sz w:val="20"/>
              </w:rPr>
              <w:t>, 2006)</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10">
              <w:r>
                <w:rPr>
                  <w:rFonts w:ascii="Segoe UI" w:hAnsi="Segoe UI"/>
                  <w:color w:val="0071E3"/>
                  <w:u w:val="single"/>
                </w:rPr>
                <w:t xml:space="preserve">https://www.bcentral.cl/detalle-noticias-y-publicaciones/-/asset_publisher/Exzd7l9NC3Y6/content/documento-de-trabajo-n-316</w:t>
              </w:r>
            </w:hyperlink>
            <w:r>
              <w:rPr>
                <w:rFonts w:ascii="Segoe UI" w:hAnsi="Segoe UI"/>
                <w:sz w:val="20"/>
              </w:rPr>
              <w:t xml:space="preserve"> ; </w:t>
            </w:r>
            <w:hyperlink r:id="rId11">
              <w:r>
                <w:rPr>
                  <w:rFonts w:ascii="Segoe UI" w:hAnsi="Segoe UI"/>
                  <w:color w:val="0071E3"/>
                  <w:u w:val="single"/>
                </w:rPr>
                <w:t xml:space="preserve">https://dialnet.unirioja.es/descarga/articulo/3175851.pdf</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Fuente más directa para la tesis.</w:t>
            </w:r>
            <w:r>
              <w:rPr>
                <w:rFonts w:ascii="Segoe UI" w:hAnsi="Segoe UI"/>
                <w:sz w:val="20"/>
              </w:rPr>
              <w:t xml:space="preserve"> Modelo APT (Burmeister-McElroy) sobre retornos accionarios chilenos, 1990–2003. Hallan que las sorpresas en el </w:t>
            </w:r>
            <w:r>
              <w:rPr>
                <w:rFonts w:ascii="Segoe UI" w:hAnsi="Segoe UI"/>
                <w:b/>
                <w:sz w:val="20"/>
              </w:rPr>
              <w:t>precio del cobre</w:t>
            </w:r>
            <w:r>
              <w:rPr>
                <w:rFonts w:ascii="Segoe UI" w:hAnsi="Segoe UI"/>
                <w:sz w:val="20"/>
              </w:rPr>
              <w:t>, en el IMACEC y en el petróleo tienen primas por riesgo estadísticamente significativas; la inflación no aparece preciada. Rechazan CAPM a favor de APT. Es el antecedente chileno más cercano que vincula cobre y retornos bursátiles, pero a nivel del índice agregado, NO de acciones mineras específicas.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Felipe Labbé, José De Gregorio</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2011 (WP); cap. en libro IMF</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Copper, the Real Exchange Rate and Macroeconomic Fluctuations in Chile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Working Paper N°640, Banco Central de Chile; cap. 12 en </w:t>
            </w:r>
            <w:r>
              <w:rPr>
                <w:rFonts w:ascii="Segoe UI" w:hAnsi="Segoe UI"/>
                <w:i/>
                <w:sz w:val="20"/>
              </w:rPr>
              <w:t>Beyond the Curse</w:t>
            </w:r>
            <w:r>
              <w:rPr>
                <w:rFonts w:ascii="Segoe UI" w:hAnsi="Segoe UI"/>
                <w:sz w:val="20"/>
              </w:rPr>
              <w:t xml:space="preserve"> (FMI)</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12">
              <w:r>
                <w:rPr>
                  <w:rFonts w:ascii="Segoe UI" w:hAnsi="Segoe UI"/>
                  <w:color w:val="0071E3"/>
                  <w:u w:val="single"/>
                </w:rPr>
                <w:t xml:space="preserve">https://www.bcentral.cl/en/detail-news-and-publications/-/asset_publisher/Exzd7l9NC3Y6/content/documento-de-trabajo-n-640</w:t>
              </w:r>
            </w:hyperlink>
            <w:r>
              <w:rPr>
                <w:rFonts w:ascii="Segoe UI" w:hAnsi="Segoe UI"/>
                <w:sz w:val="20"/>
              </w:rPr>
              <w:t xml:space="preserve"> ; </w:t>
            </w:r>
            <w:hyperlink r:id="rId13">
              <w:r>
                <w:rPr>
                  <w:rFonts w:ascii="Segoe UI" w:hAnsi="Segoe UI"/>
                  <w:color w:val="0071E3"/>
                  <w:u w:val="single"/>
                </w:rPr>
                <w:t xml:space="preserve">https://ideas.repec.org/p/chb/bcchwp/640.html</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Documenta cómo el tipo de cambio real actúa como </w:t>
            </w:r>
            <w:r>
              <w:rPr>
                <w:rFonts w:ascii="Segoe UI" w:hAnsi="Segoe UI"/>
                <w:b/>
                <w:sz w:val="20"/>
              </w:rPr>
              <w:t>amortiguador (shock absorber)</w:t>
            </w:r>
            <w:r>
              <w:rPr>
                <w:rFonts w:ascii="Segoe UI" w:hAnsi="Segoe UI"/>
                <w:sz w:val="20"/>
              </w:rPr>
              <w:t xml:space="preserve"> de los shocks del precio del cobre y cómo la volatilidad del producto cayó en 20 años gracias a tipo de cambio flexible, regla fiscal estructural y metas de inflación. Sustenta el canal cobre → tipo de cambio que la tesis modela.</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Pablo Pincheira, Nicolás Hardy</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2019</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Forecasting base metal prices with the Chilean exchange rate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Resources Policy</w:t>
            </w:r>
            <w:r>
              <w:rPr>
                <w:rFonts w:ascii="Segoe UI" w:hAnsi="Segoe UI"/>
                <w:sz w:val="20"/>
              </w:rPr>
              <w:t>, vol. 62, pp. 256–281 (Elsevier)</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14">
              <w:r>
                <w:rPr>
                  <w:rFonts w:ascii="Segoe UI" w:hAnsi="Segoe UI"/>
                  <w:color w:val="0071E3"/>
                  <w:u w:val="single"/>
                </w:rPr>
                <w:t xml:space="preserve">https://www.sciencedirect.com/science/article/abs/pii/S0301420718303271</w:t>
              </w:r>
            </w:hyperlink>
            <w:r>
              <w:rPr>
                <w:rFonts w:ascii="Segoe UI" w:hAnsi="Segoe UI"/>
                <w:sz w:val="20"/>
              </w:rPr>
              <w:t xml:space="preserve"> ; </w:t>
            </w:r>
            <w:hyperlink r:id="rId15">
              <w:r>
                <w:rPr>
                  <w:rFonts w:ascii="Segoe UI" w:hAnsi="Segoe UI"/>
                  <w:color w:val="0071E3"/>
                  <w:u w:val="single"/>
                </w:rPr>
                <w:t xml:space="preserve">https://ideas.repec.org/a/eee/jrpoli/v62y2019icp256-281.html</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El tipo de cambio chileno predice los retornos del índice LME y de seis metales no ferrosos (incluido el </w:t>
            </w:r>
            <w:r>
              <w:rPr>
                <w:rFonts w:ascii="Segoe UI" w:hAnsi="Segoe UI"/>
                <w:b/>
                <w:sz w:val="20"/>
              </w:rPr>
              <w:t>cobre</w:t>
            </w:r>
            <w:r>
              <w:rPr>
                <w:rFonts w:ascii="Segoe UI" w:hAnsi="Segoe UI"/>
                <w:sz w:val="20"/>
              </w:rPr>
              <w:t xml:space="preserve">). Argumentan que el peso chileno es una </w:t>
            </w:r>
            <w:r>
              <w:rPr>
                <w:rFonts w:ascii="Segoe UI" w:hAnsi="Segoe UI"/>
                <w:i/>
                <w:sz w:val="20"/>
              </w:rPr>
              <w:t>commodity currency</w:t>
            </w:r>
            <w:r>
              <w:rPr>
                <w:rFonts w:ascii="Segoe UI" w:hAnsi="Segoe UI"/>
                <w:sz w:val="20"/>
              </w:rPr>
              <w:t xml:space="preserve"> porque el cobre es ~50% de las exportaciones y ~45% de la IED. Evidencia in-sample y out-of-sample. Apoya la relación bidireccional cobre↔peso.</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4</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Pablo Pincheira, Nicolás Hardy</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2018/2019</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The Predictive Relationship Between Exchange Rate Expectations and Base Metal Prices / Forecasting Base Metal Prices with Commodity Currencies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SSRN; MPRA (Munich)</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16">
              <w:r>
                <w:rPr>
                  <w:rFonts w:ascii="Segoe UI" w:hAnsi="Segoe UI"/>
                  <w:color w:val="0071E3"/>
                  <w:u w:val="single"/>
                </w:rPr>
                <w:t xml:space="preserve">https://papers.ssrn.com/sol3/papers.cfm?abstract_id=3263709</w:t>
              </w:r>
            </w:hyperlink>
            <w:r>
              <w:rPr>
                <w:rFonts w:ascii="Segoe UI" w:hAnsi="Segoe UI"/>
                <w:sz w:val="20"/>
              </w:rPr>
              <w:t xml:space="preserve"> ; </w:t>
            </w:r>
            <w:hyperlink r:id="rId17">
              <w:r>
                <w:rPr>
                  <w:rFonts w:ascii="Segoe UI" w:hAnsi="Segoe UI"/>
                  <w:color w:val="0071E3"/>
                  <w:u w:val="single"/>
                </w:rPr>
                <w:t xml:space="preserve">https://mpra.ub.uni-muenchen.de/83564/</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Extensión: las expectativas de encuesta sobre el peso chileno predicen los retornos de seis metales base mejor que el primer rezago de la moneda. Refuerza la dimensión de expectativas en el canal commodity-currency.</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Yu-chin Chen, Kenneth Rogoff</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2003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Commodity Currencies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Journal of International Economics</w:t>
            </w:r>
            <w:r>
              <w:rPr>
                <w:rFonts w:ascii="Segoe UI" w:hAnsi="Segoe UI"/>
                <w:sz w:val="20"/>
              </w:rPr>
              <w:t>, vol. 60</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18">
              <w:r>
                <w:rPr>
                  <w:rFonts w:ascii="Segoe UI" w:hAnsi="Segoe UI"/>
                  <w:color w:val="0071E3"/>
                  <w:u w:val="single"/>
                </w:rPr>
                <w:t xml:space="preserve">https://scholar.harvard.edu/files/rogoff/files/51_jie2003.pdf</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Trabajo seminal de </w:t>
            </w:r>
            <w:r>
              <w:rPr>
                <w:rFonts w:ascii="Segoe UI" w:hAnsi="Segoe UI"/>
                <w:i/>
                <w:sz w:val="20"/>
              </w:rPr>
              <w:t>commodity currencies</w:t>
            </w:r>
            <w:r>
              <w:rPr>
                <w:rFonts w:ascii="Segoe UI" w:hAnsi="Segoe UI"/>
                <w:sz w:val="20"/>
              </w:rPr>
              <w:t>. Muestra que el precio mundial de la canasta exportadora es un determinante robusto del tipo de cambio real (Australia, Nueva Zelanda, Canadá). Marco teórico base para tratar al peso chileno como moneda de commodity.</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6</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Yu-chin Chen, Kenneth Rogoff, Barbara Rossi</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2008/2010</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Can Exchange Rates Forecast Commodity Prices?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NBER WP 13901; </w:t>
            </w:r>
            <w:r>
              <w:rPr>
                <w:rFonts w:ascii="Segoe UI" w:hAnsi="Segoe UI"/>
                <w:i/>
                <w:sz w:val="20"/>
              </w:rPr>
              <w:t>Quarterly Journal of Economics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19">
              <w:r>
                <w:rPr>
                  <w:rFonts w:ascii="Segoe UI" w:hAnsi="Segoe UI"/>
                  <w:color w:val="0071E3"/>
                  <w:u w:val="single"/>
                </w:rPr>
                <w:t xml:space="preserve">https://www.nber.org/system/files/working_papers/w13901/w13901.pdf</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Incluye explícitamente a </w:t>
            </w:r>
            <w:r>
              <w:rPr>
                <w:rFonts w:ascii="Segoe UI" w:hAnsi="Segoe UI"/>
                <w:b/>
                <w:sz w:val="20"/>
              </w:rPr>
              <w:t>Chile</w:t>
            </w:r>
            <w:r>
              <w:rPr>
                <w:rFonts w:ascii="Segoe UI" w:hAnsi="Segoe UI"/>
                <w:sz w:val="20"/>
              </w:rPr>
              <w:t xml:space="preserve"> entre las monedas de commodity (junto con Australia, Canadá, Nueva Zelanda, Sudáfrica). Los tipos de cambio anticipan movimientos de precios de commodities. Marco para la comparación internacional de la tesis.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7</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Thilo Wallenstein, Alfredo Mendiola, Luis Chávez-Bedoya</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~2021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Analysis of the Reaction of Mining Stocks to the Development of Copper Prices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Conferencia CLADEA (Consejo Latinoamericano de Escuelas de Administración)</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20">
              <w:r>
                <w:rPr>
                  <w:rFonts w:ascii="Segoe UI" w:hAnsi="Segoe UI"/>
                  <w:color w:val="0071E3"/>
                  <w:u w:val="single"/>
                </w:rPr>
                <w:t xml:space="preserve">https://cladea.org/wp-content/uploads/2022/01/316Thilo-Wallenstein-Alfredo-Mendiola-and-Luis-Chavez-Bedoya-Analysis-of-the-Reaction-of-Mining-Stocks-to-the-Development-of-Copper-Prices.pdf</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Encuentran relación </w:t>
            </w:r>
            <w:r>
              <w:rPr>
                <w:rFonts w:ascii="Segoe UI" w:hAnsi="Segoe UI"/>
                <w:b/>
                <w:sz w:val="20"/>
              </w:rPr>
              <w:t>positiva pero inelástica</w:t>
            </w:r>
            <w:r>
              <w:rPr>
                <w:rFonts w:ascii="Segoe UI" w:hAnsi="Segoe UI"/>
                <w:sz w:val="20"/>
              </w:rPr>
              <w:t xml:space="preserve"> entre los retornos de acciones cobreras y los cambios en el precio del cobre, controlando por retorno de mercado y con firmas de alta capitalización. La crisis de 2008 tuvo impacto negativo (significativo en mercados menos desarrollados). Antecedente latinoamericano del vínculo cobre → acciones mineras (PDF no legible en texto plano; metadatos verificados vía buscador).</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8</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(Springer / Mineral Economics)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2025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Relationship between gold-copper prices and mining share prices on the New York, Toronto, and Australian stock exchanges (SEM)</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Mineral Economics</w:t>
            </w:r>
            <w:r>
              <w:rPr>
                <w:rFonts w:ascii="Segoe UI" w:hAnsi="Segoe UI"/>
                <w:sz w:val="20"/>
              </w:rPr>
              <w:t>, Springer</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21">
              <w:r>
                <w:rPr>
                  <w:rFonts w:ascii="Segoe UI" w:hAnsi="Segoe UI"/>
                  <w:color w:val="0071E3"/>
                  <w:u w:val="single"/>
                </w:rPr>
                <w:t xml:space="preserve">https://link.springer.com/article/10.1007/s13563-025-00498-7</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Modela con ecuaciones estructurales el vínculo precio cobre/oro → precio de acciones de grandes mineras (NY, Toronto, Australia). Las acciones de mineras medianas/pequeñas responden a otros factores. Comparable internacional; </w:t>
            </w:r>
            <w:r>
              <w:rPr>
                <w:rFonts w:ascii="Segoe UI" w:hAnsi="Segoe UI"/>
                <w:b/>
                <w:sz w:val="20"/>
              </w:rPr>
              <w:t>no incluye Chile ni la Bolsa de Santiago</w:t>
            </w:r>
            <w:r>
              <w:rPr>
                <w:rFonts w:ascii="Segoe UI" w:hAnsi="Segoe UI"/>
                <w:sz w:val="20"/>
              </w:rPr>
              <w:t>.</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9</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(autor por confirmar)</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2021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Economic drivers of commodity volatility: The case of copper</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Resources Policy</w:t>
            </w:r>
            <w:r>
              <w:rPr>
                <w:rFonts w:ascii="Segoe UI" w:hAnsi="Segoe UI"/>
                <w:sz w:val="20"/>
              </w:rPr>
              <w:t xml:space="preserve"> (Elsevier), S030142072100235X</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22">
              <w:r>
                <w:rPr>
                  <w:rFonts w:ascii="Segoe UI" w:hAnsi="Segoe UI"/>
                  <w:color w:val="0071E3"/>
                  <w:u w:val="single"/>
                </w:rPr>
                <w:t xml:space="preserve">https://www.sciencedirect.com/science/article/abs/pii/S030142072100235X</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Los retornos de las grandes mineras cobreras son útiles para predecir la volatilidad del cobre. Vincula valoración bursátil minera y dinámica del precio del metal. Referencia internacional.</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10</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Comisión Chilena del Cobre (Cochilco)</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2025–2026</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Proyecciones e informes del precio del cobre y su impacto económico</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Cochilco (institucional)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23">
              <w:r>
                <w:rPr>
                  <w:rFonts w:ascii="Segoe UI" w:hAnsi="Segoe UI"/>
                  <w:color w:val="0071E3"/>
                  <w:u w:val="single"/>
                </w:rPr>
                <w:t xml:space="preserve">https://www.cochilco.cl/web/otros-estudios-del-cobre/</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Fuente oficial de datos y proyecciones de precio del cobre e impacto fiscal/cambiario en Chile. Útil para el marco institucional y los datos, no como evidencia econométrica cobre→acciones.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Banco Central de Chile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varios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DTBC N°310 (Fluctuaciones del dólar, precio del cobre y términos de intercambio); N°918 (Commodities Fundamental Model)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Documentos de Trabajo BCCh</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24">
              <w:r>
                <w:rPr>
                  <w:rFonts w:ascii="Segoe UI" w:hAnsi="Segoe UI"/>
                  <w:color w:val="0071E3"/>
                  <w:u w:val="single"/>
                </w:rPr>
                <w:t xml:space="preserve">https://www.bcentral.cl/documents/33528/133326/DTBC_310.pdf</w:t>
              </w:r>
            </w:hyperlink>
            <w:r>
              <w:rPr>
                <w:rFonts w:ascii="Segoe UI" w:hAnsi="Segoe UI"/>
                <w:sz w:val="20"/>
              </w:rPr>
              <w:t xml:space="preserve"> ; </w:t>
            </w:r>
            <w:hyperlink r:id="rId25">
              <w:r>
                <w:rPr>
                  <w:rFonts w:ascii="Segoe UI" w:hAnsi="Segoe UI"/>
                  <w:color w:val="0071E3"/>
                  <w:u w:val="single"/>
                </w:rPr>
                <w:t xml:space="preserve">https://www.bcentral.cl/en/content/-/detalle/documento-de-trabajo-n-918</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Modelan determinantes del precio del cobre y su relación con dólar y términos de intercambio chilenos. Apoyan el canal macro cobre↔tipo de cambio.</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12</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(impacto de shocks de commodities en Chile)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2019</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The impact of commodity price shocks in a copper-rich economy: the case of Chile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Empirical Economics</w:t>
            </w:r>
            <w:r>
              <w:rPr>
                <w:rFonts w:ascii="Segoe UI" w:hAnsi="Segoe UI"/>
                <w:sz w:val="20"/>
              </w:rPr>
              <w:t>, vol. 57(4), Springer</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26">
              <w:r>
                <w:rPr>
                  <w:rFonts w:ascii="Segoe UI" w:hAnsi="Segoe UI"/>
                  <w:color w:val="0071E3"/>
                  <w:u w:val="single"/>
                </w:rPr>
                <w:t xml:space="preserve">https://ideas.repec.org/a/spr/empeco/v57y2019i4d10.1007_s00181-018-1485-9.html</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Shocks de precio del cobre: las alzas por demanda elevan el PIB chileno, no así las alzas por oferta; los shocks positivos aprecian la moneda. Refuerza la naturaleza asimétrica del canal cobre→economía/tipo de cambio.</w:t>
            </w:r>
          </w:p>
        </w:tc>
      </w:tr>
    </w:tbl>
    <w:p>
      <w:pPr>
        <w:spacing w:after="40"/>
      </w:pPr>
    </w:p>
    <w:p>
      <w:pPr>
        <w:pStyle w:val="Heading2"/>
      </w:pPr>
      <w:r>
        <w:t>2. Síntesis: ¿qué dice la literatura y dónde está el vacío?</w:t>
      </w:r>
    </w:p>
    <w:p>
      <w:pPr>
        <w:pStyle w:val="Heading3"/>
      </w:pPr>
      <w:r>
        <w:t>2.1 Lo que SÍ está establecido empíricamente</w:t>
      </w:r>
    </w:p>
    <w:p>
      <w:pPr>
        <w:ind w:left="454" w:hanging="454"/>
      </w:pPr>
      <w:r>
        <w:t xml:space="preserve">1. </w:t>
      </w:r>
      <w:r>
        <w:rPr>
          <w:b/>
        </w:rPr>
        <w:t>Cobre ↔ tipo de cambio (peso chileno).</w:t>
      </w:r>
      <w:r>
        <w:t xml:space="preserve"> Hay evidencia robusta y verificada (Chen-Rogoff 2003; Chen-Rogoff-Rossi 2008; Pincheira-Hardy 2018-2019; Labbé-De Gregorio 2011; DTBC 310). El peso chileno es una </w:t>
      </w:r>
      <w:r>
        <w:rPr>
          <w:i/>
        </w:rPr>
        <w:t>commodity currency</w:t>
      </w:r>
      <w:r>
        <w:t xml:space="preserve"> canónica: el cobre representa ~50% de las exportaciones, el tipo de cambio real responde al precio del cobre y, de hecho, el peso/sus expectativas tienen poder predictivo sobre los metales base. Este canal es el más sólido de la cadena.</w:t>
      </w:r>
    </w:p>
    <w:p>
      <w:pPr>
        <w:ind w:left="454" w:hanging="454"/>
      </w:pPr>
      <w:r>
        <w:t xml:space="preserve">2. </w:t>
      </w:r>
      <w:r>
        <w:rPr>
          <w:b/>
        </w:rPr>
        <w:t>Cobre ↔ economía chilena agregada / IPSA.</w:t>
      </w:r>
      <w:r>
        <w:t xml:space="preserve"> Existe evidencia a nivel macro: el DTBC N°316 (Zurita-Fuentes-Gregoire 2005) muestra que las sorpresas del precio del cobre están preciadas (prima por riesgo significativa) en los retornos accionarios chilenos </w:t>
      </w:r>
      <w:r>
        <w:rPr>
          <w:b/>
        </w:rPr>
        <w:t>a nivel del índice agregado</w:t>
      </w:r>
      <w:r>
        <w:t>, vía un modelo APT. También hay literatura de cointegración IMACEC-IPSA con tipo de cambio (repositorios U. de Chile).</w:t>
      </w:r>
    </w:p>
    <w:p>
      <w:pPr>
        <w:ind w:left="454" w:hanging="454"/>
      </w:pPr>
      <w:r>
        <w:t xml:space="preserve">3. </w:t>
      </w:r>
      <w:r>
        <w:rPr>
          <w:b/>
        </w:rPr>
        <w:t>Cobre ↔ acciones mineras (internacional).</w:t>
      </w:r>
      <w:r>
        <w:t xml:space="preserve"> Existe evidencia para NY, Toronto, Australia y a nivel latinoamericano (Wallenstein et al., CLADEA; Springer 2025; Resources Policy 2021): relación positiva pero inelástica, más fuerte en grandes mineras.</w:t>
      </w:r>
    </w:p>
    <w:p>
      <w:pPr>
        <w:pStyle w:val="Heading3"/>
      </w:pPr>
      <w:r>
        <w:t>2.2 El VACÍO que la tesis llena</w:t>
      </w:r>
    </w:p>
    <w:p>
      <w:r>
        <w:rPr>
          <w:b/>
        </w:rPr>
        <w:t>No se encontró ningún estudio académico chileno (paper indexado, DTBC, tesis publicada en repositorio) que estime econométricamente el efecto del precio del cobre y las variables macro sobre los retornos de las acciones mineras chilenas específicas (Antofagasta, SQM, CAP) ni que compare formalmente el mercado chileno con el internacional para empresas cobreras con exposición a Chile.</w:t>
      </w:r>
    </w:p>
    <w:p>
      <w:r>
        <w:t>Detalle del vacío confirmado:</w:t>
      </w:r>
    </w:p>
    <w:p>
      <w:pPr>
        <w:pStyle w:val="ListBullet"/>
      </w:pPr>
      <w:r>
        <w:t xml:space="preserve">La búsqueda específica de tesis/papers chilenos sobre "precio del cobre → retornos de acciones mineras (SQM/Antofagasta/CAP) en la Bolsa de Santiago" </w:t>
      </w:r>
      <w:r>
        <w:rPr>
          <w:b/>
        </w:rPr>
        <w:t>solo devolvió notas de prensa financiera</w:t>
      </w:r>
      <w:r>
        <w:t xml:space="preserve"> (Diario Financiero, Atlas Chile, memorias corporativas), </w:t>
      </w:r>
      <w:r>
        <w:rPr>
          <w:b/>
        </w:rPr>
        <w:t>no investigación empírica académica</w:t>
      </w:r>
      <w:r>
        <w:t>. Esto confirma la ausencia de literatura.</w:t>
      </w:r>
    </w:p>
    <w:p>
      <w:pPr>
        <w:pStyle w:val="ListBullet"/>
      </w:pPr>
      <w:r>
        <w:t xml:space="preserve">El antecedente chileno más cercano (DTBC N°316) trabaja con el </w:t>
      </w:r>
      <w:r>
        <w:rPr>
          <w:b/>
        </w:rPr>
        <w:t>índice agregado</w:t>
      </w:r>
      <w:r>
        <w:t>, no con acciones mineras desagregadas, y termina en 2003 — fuera del período 2004–2024 de la tesis.</w:t>
      </w:r>
    </w:p>
    <w:p>
      <w:pPr>
        <w:pStyle w:val="ListBullet"/>
      </w:pPr>
      <w:r>
        <w:t xml:space="preserve">Los estudios que sí modelan cobre → acciones mineras (Wallenstein et al.; Springer 2025) </w:t>
      </w:r>
      <w:r>
        <w:rPr>
          <w:b/>
        </w:rPr>
        <w:t>excluyen explícitamente a Chile y la Bolsa de Santiago</w:t>
      </w:r>
      <w:r>
        <w:t>, pese a que Chile es el principal productor mundial de cobre.</w:t>
      </w:r>
    </w:p>
    <w:p>
      <w:pPr>
        <w:pStyle w:val="ListBullet"/>
      </w:pPr>
      <w:r>
        <w:t xml:space="preserve">La dimensión </w:t>
      </w:r>
      <w:r>
        <w:rPr>
          <w:b/>
        </w:rPr>
        <w:t>comparativa internacional vs. chileno</w:t>
      </w:r>
      <w:r>
        <w:t xml:space="preserve"> para un mismo conjunto de empresas cobreras con exposición a Chile no aparece tratada en ninguna fuente hallada.</w:t>
      </w:r>
    </w:p>
    <w:p>
      <w:pPr>
        <w:pStyle w:val="Heading3"/>
      </w:pPr>
      <w:r>
        <w:t>2.3 Cómo posicionar la tesis</w:t>
      </w:r>
    </w:p>
    <w:p>
      <w:r>
        <w:t xml:space="preserve">La tesis se ubica en la </w:t>
      </w:r>
      <w:r>
        <w:rPr>
          <w:b/>
        </w:rPr>
        <w:t>intersección no cubierta</w:t>
      </w:r>
      <w:r>
        <w:t xml:space="preserve"> de tres literaturas bien establecidas por separado: (i) </w:t>
      </w:r>
      <w:r>
        <w:rPr>
          <w:i/>
        </w:rPr>
        <w:t>commodity currencies</w:t>
      </w:r>
      <w:r>
        <w:t xml:space="preserve"> y el peso chileno (Chen-Rogoff; Pincheira-Hardy), (ii) factores macro en retornos accionarios chilenos a nivel índice (Zurita-Fuentes-Gregoire), y (iii) reacción de acciones mineras al precio del cobre en mercados internacionales (Wallenstein et al.; Springer). La contribución original es desagregar a nivel de empresa cobrera con exposición a Chile y construir la comparación mercado internacional vs. chileno para 2004–2024.</w:t>
      </w:r>
    </w:p>
    <w:p>
      <w:pPr>
        <w:pStyle w:val="Heading2"/>
      </w:pPr>
      <w:r>
        <w:t>3. Advertencias de verificación</w:t>
      </w:r>
    </w:p>
    <w:p>
      <w:pPr>
        <w:pStyle w:val="ListBullet"/>
      </w:pPr>
      <w:r>
        <w:rPr>
          <w:b/>
        </w:rPr>
        <w:t>DTBC N°316:</w:t>
      </w:r>
      <w:r>
        <w:t xml:space="preserve"> un primer WebFetch arrojó por error autoría parcial ("Rodrigo Fuentes, Jorge Gregorie"); la verificación cruzada confirma autoría completa </w:t>
      </w:r>
      <w:r>
        <w:rPr>
          <w:b/>
        </w:rPr>
        <w:t>Salvador Zurita, Rodrigo Fuentes y Jorge Gregoire (2005)</w:t>
      </w:r>
      <w:r>
        <w:t xml:space="preserve">, reeditado en </w:t>
      </w:r>
      <w:r>
        <w:rPr>
          <w:i/>
        </w:rPr>
        <w:t>El Trimestre Económico</w:t>
      </w:r>
      <w:r>
        <w:t xml:space="preserve"> (2006). Usar esta atribución.</w:t>
      </w:r>
    </w:p>
    <w:p>
      <w:pPr>
        <w:pStyle w:val="ListBullet"/>
      </w:pPr>
      <w:r>
        <w:rPr>
          <w:b/>
        </w:rPr>
        <w:t>Fuente #7 (Wallenstein et al.):</w:t>
      </w:r>
      <w:r>
        <w:t xml:space="preserve"> el PDF está disponible pero no fue legible como texto plano por WebFetch (binario comprimido); título, autores y hallazgos se confirmaron por el snippet del buscador. Recomendable descargar y verificar año exacto y revista/proceedings antes de citar.</w:t>
      </w:r>
    </w:p>
    <w:p>
      <w:pPr>
        <w:pStyle w:val="ListBullet"/>
      </w:pPr>
      <w:r>
        <w:rPr>
          <w:b/>
        </w:rPr>
        <w:t>Fuentes #8 y #9:</w:t>
      </w:r>
      <w:r>
        <w:t xml:space="preserve"> verificar nombre completo de autores en la página del editor antes de citar (los snippets no entregaron la autoría completa).</w:t>
      </w:r>
    </w:p>
    <w:p>
      <w:pPr>
        <w:pStyle w:val="ListBullet"/>
      </w:pPr>
      <w:r>
        <w:t xml:space="preserve">Las notas de Cochilco y prensa (BioBioChile, Diario Financiero, RioTimes) sirven como </w:t>
      </w:r>
      <w:r>
        <w:rPr>
          <w:b/>
        </w:rPr>
        <w:t>contexto/datos</w:t>
      </w:r>
      <w:r>
        <w:t>, no como evidencia econométrica revisada por pares.</w:t>
      </w:r>
    </w:p>
    <w:sectPr w:rsidR="00FC693F" w:rsidRPr="0006063C" w:rsidSect="00034616">
      <w:footerReference w:type="default" r:id="rId9"/>
      <w:pgSz w:w="12240" w:h="15840"/>
      <w:pgMar w:top="1701" w:right="1814" w:bottom="1474" w:left="181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color w:val="6E6E73"/>
        <w:sz w:val="18"/>
      </w:rPr>
      <w:fldChar w:fldCharType="begin"/>
      <w:instrText xml:space="preserve">PAGE</w:instrText>
      <w:fldChar w:fldCharType="separate"/>
      <w:instrText xml:space="preserve">1</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200"/>
      <w:jc w:val="left"/>
    </w:pPr>
    <w:rPr>
      <w:rFonts w:ascii="Segoe UI" w:hAnsi="Segoe UI"/>
      <w:color w:val="1D1D1F"/>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64" w:lineRule="auto"/>
      <w:jc w:val="left"/>
      <w:outlineLvl w:val="0"/>
    </w:pPr>
    <w:rPr>
      <w:rFonts w:asciiTheme="majorHAnsi" w:eastAsiaTheme="majorEastAsia" w:hAnsiTheme="majorHAnsi" w:cstheme="majorBidi" w:ascii="Segoe UI Semibold" w:hAnsi="Segoe UI Semibold"/>
      <w:b w:val="0"/>
      <w:bCs/>
      <w:i w:val="0"/>
      <w:color w:val="1D1D1F"/>
      <w:sz w:val="44"/>
      <w:szCs w:val="28"/>
    </w:rPr>
  </w:style>
  <w:style w:type="paragraph" w:styleId="Heading2">
    <w:name w:val="heading 2"/>
    <w:basedOn w:val="Normal"/>
    <w:next w:val="Normal"/>
    <w:link w:val="Heading2Char"/>
    <w:uiPriority w:val="9"/>
    <w:unhideWhenUsed/>
    <w:qFormat/>
    <w:rsid w:val="00FC693F"/>
    <w:pPr>
      <w:keepNext/>
      <w:keepLines/>
      <w:spacing w:before="360" w:after="80" w:line="264" w:lineRule="auto"/>
      <w:jc w:val="left"/>
      <w:outlineLvl w:val="1"/>
    </w:pPr>
    <w:rPr>
      <w:rFonts w:asciiTheme="majorHAnsi" w:eastAsiaTheme="majorEastAsia" w:hAnsiTheme="majorHAnsi" w:cstheme="majorBidi" w:ascii="Segoe UI Semibold" w:hAnsi="Segoe UI Semibold"/>
      <w:b w:val="0"/>
      <w:bCs/>
      <w:i w:val="0"/>
      <w:color w:val="1D1D1F"/>
      <w:sz w:val="32"/>
      <w:szCs w:val="26"/>
    </w:rPr>
  </w:style>
  <w:style w:type="paragraph" w:styleId="Heading3">
    <w:name w:val="heading 3"/>
    <w:basedOn w:val="Normal"/>
    <w:next w:val="Normal"/>
    <w:link w:val="Heading3Char"/>
    <w:uiPriority w:val="9"/>
    <w:unhideWhenUsed/>
    <w:qFormat/>
    <w:rsid w:val="00FC693F"/>
    <w:pPr>
      <w:keepNext/>
      <w:keepLines/>
      <w:spacing w:before="360" w:after="80" w:line="264" w:lineRule="auto"/>
      <w:jc w:val="left"/>
      <w:outlineLvl w:val="2"/>
    </w:pPr>
    <w:rPr>
      <w:rFonts w:asciiTheme="majorHAnsi" w:eastAsiaTheme="majorEastAsia" w:hAnsiTheme="majorHAnsi" w:cstheme="majorBidi" w:ascii="Segoe UI Semibold" w:hAnsi="Segoe UI Semibold"/>
      <w:b w:val="0"/>
      <w:bCs/>
      <w:i w:val="0"/>
      <w:color w:val="0071E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central.cl/detalle-noticias-y-publicaciones/-/asset_publisher/Exzd7l9NC3Y6/content/documento-de-trabajo-n-316" TargetMode="External"/><Relationship Id="rId11" Type="http://schemas.openxmlformats.org/officeDocument/2006/relationships/hyperlink" Target="https://dialnet.unirioja.es/descarga/articulo/3175851.pdf" TargetMode="External"/><Relationship Id="rId12" Type="http://schemas.openxmlformats.org/officeDocument/2006/relationships/hyperlink" Target="https://www.bcentral.cl/en/detail-news-and-publications/-/asset_publisher/Exzd7l9NC3Y6/content/documento-de-trabajo-n-640" TargetMode="External"/><Relationship Id="rId13" Type="http://schemas.openxmlformats.org/officeDocument/2006/relationships/hyperlink" Target="https://ideas.repec.org/p/chb/bcchwp/640.html" TargetMode="External"/><Relationship Id="rId14" Type="http://schemas.openxmlformats.org/officeDocument/2006/relationships/hyperlink" Target="https://www.sciencedirect.com/science/article/abs/pii/S0301420718303271" TargetMode="External"/><Relationship Id="rId15" Type="http://schemas.openxmlformats.org/officeDocument/2006/relationships/hyperlink" Target="https://ideas.repec.org/a/eee/jrpoli/v62y2019icp256-281.html" TargetMode="External"/><Relationship Id="rId16" Type="http://schemas.openxmlformats.org/officeDocument/2006/relationships/hyperlink" Target="https://papers.ssrn.com/sol3/papers.cfm?abstract_id=3263709" TargetMode="External"/><Relationship Id="rId17" Type="http://schemas.openxmlformats.org/officeDocument/2006/relationships/hyperlink" Target="https://mpra.ub.uni-muenchen.de/83564/" TargetMode="External"/><Relationship Id="rId18" Type="http://schemas.openxmlformats.org/officeDocument/2006/relationships/hyperlink" Target="https://scholar.harvard.edu/files/rogoff/files/51_jie2003.pdf" TargetMode="External"/><Relationship Id="rId19" Type="http://schemas.openxmlformats.org/officeDocument/2006/relationships/hyperlink" Target="https://www.nber.org/system/files/working_papers/w13901/w13901.pdf" TargetMode="External"/><Relationship Id="rId20" Type="http://schemas.openxmlformats.org/officeDocument/2006/relationships/hyperlink" Target="https://cladea.org/wp-content/uploads/2022/01/316Thilo-Wallenstein-Alfredo-Mendiola-and-Luis-Chavez-Bedoya-Analysis-of-the-Reaction-of-Mining-Stocks-to-the-Development-of-Copper-Prices.pdf" TargetMode="External"/><Relationship Id="rId21" Type="http://schemas.openxmlformats.org/officeDocument/2006/relationships/hyperlink" Target="https://link.springer.com/article/10.1007/s13563-025-00498-7" TargetMode="External"/><Relationship Id="rId22" Type="http://schemas.openxmlformats.org/officeDocument/2006/relationships/hyperlink" Target="https://www.sciencedirect.com/science/article/abs/pii/S030142072100235X" TargetMode="External"/><Relationship Id="rId23" Type="http://schemas.openxmlformats.org/officeDocument/2006/relationships/hyperlink" Target="https://www.cochilco.cl/web/otros-estudios-del-cobre/" TargetMode="External"/><Relationship Id="rId24" Type="http://schemas.openxmlformats.org/officeDocument/2006/relationships/hyperlink" Target="https://www.bcentral.cl/documents/33528/133326/DTBC_310.pdf" TargetMode="External"/><Relationship Id="rId25" Type="http://schemas.openxmlformats.org/officeDocument/2006/relationships/hyperlink" Target="https://www.bcentral.cl/en/content/-/detalle/documento-de-trabajo-n-918" TargetMode="External"/><Relationship Id="rId26" Type="http://schemas.openxmlformats.org/officeDocument/2006/relationships/hyperlink" Target="https://ideas.repec.org/a/spr/empeco/v57y2019i4d10.1007_s00181-018-1485-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