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120"/>
      </w:pPr>
      <w:r>
        <w:rPr>
          <w:rFonts w:ascii="Segoe UI Semibold" w:hAnsi="Segoe UI Semibold"/>
          <w:color w:val="0071E3"/>
          <w:sz w:val="24"/>
          <w:spacing w:val="40"/>
        </w:rPr>
        <w:t>INVESTIGACIÓN · TESIS F. RIETTA</w:t>
      </w:r>
    </w:p>
    <w:p>
      <w:pPr>
        <w:spacing w:after="160" w:line="245" w:lineRule="auto"/>
      </w:pPr>
      <w:r>
        <w:rPr>
          <w:rFonts w:ascii="Segoe UI Semibold" w:hAnsi="Segoe UI Semibold"/>
          <w:color w:val="1D1D1F"/>
          <w:sz w:val="68"/>
        </w:rPr>
        <w:t>Literatura de Mercados Emergentes</w:t>
      </w:r>
    </w:p>
    <w:p>
      <w:pPr>
        <w:spacing w:after="0" w:line="288" w:lineRule="auto"/>
      </w:pPr>
      <w:r>
        <w:rPr>
          <w:rFonts w:ascii="Segoe UI" w:hAnsi="Segoe UI"/>
          <w:color w:val="6E6E73"/>
          <w:sz w:val="30"/>
        </w:rPr>
        <w:t>Commodities y mercados emergentes</w:t>
      </w:r>
    </w:p>
    <w:p>
      <w:pPr>
        <w:spacing w:after="0"/>
      </w:pPr>
    </w:p>
    <w:p>
      <w:pPr>
        <w:spacing w:before="160" w:after="280"/>
        <w:pBdr>
          <w:bottom w:val="single" w:sz="6" w:space="1" w:color="D2D2D7"/>
        </w:pBdr>
      </w:pPr>
    </w:p>
    <w:p>
      <w:pPr>
        <w:spacing w:after="40"/>
      </w:pPr>
      <w:r>
        <w:rPr>
          <w:rFonts w:ascii="Segoe UI Semibold" w:hAnsi="Segoe UI Semibold"/>
          <w:color w:val="1D1D1F"/>
          <w:sz w:val="21"/>
        </w:rPr>
        <w:t xml:space="preserve">Proyecto   </w:t>
      </w:r>
      <w:r>
        <w:rPr>
          <w:rFonts w:ascii="Segoe UI" w:hAnsi="Segoe UI"/>
          <w:color w:val="6E6E73"/>
          <w:sz w:val="21"/>
        </w:rPr>
        <w:t>Macroeconomía y retornos del sector cobre en Chile (2004–2024)</w:t>
      </w:r>
    </w:p>
    <w:p>
      <w:pPr>
        <w:spacing w:after="40"/>
      </w:pPr>
      <w:r>
        <w:rPr>
          <w:rFonts w:ascii="Segoe UI Semibold" w:hAnsi="Segoe UI Semibold"/>
          <w:color w:val="1D1D1F"/>
          <w:sz w:val="21"/>
        </w:rPr>
        <w:t xml:space="preserve">Documento   </w:t>
      </w:r>
      <w:r>
        <w:rPr>
          <w:rFonts w:ascii="Segoe UI" w:hAnsi="Segoe UI"/>
          <w:color w:val="6E6E73"/>
          <w:sz w:val="21"/>
        </w:rPr>
        <w:t>Literatura de Mercados Emergentes</w:t>
      </w:r>
    </w:p>
    <w:p>
      <w:pPr>
        <w:spacing w:after="40"/>
      </w:pPr>
      <w:r>
        <w:rPr>
          <w:rFonts w:ascii="Segoe UI Semibold" w:hAnsi="Segoe UI Semibold"/>
          <w:color w:val="1D1D1F"/>
          <w:sz w:val="21"/>
        </w:rPr>
        <w:t xml:space="preserve">Formato   </w:t>
      </w:r>
      <w:r>
        <w:rPr>
          <w:rFonts w:ascii="Segoe UI" w:hAnsi="Segoe UI"/>
          <w:color w:val="6E6E73"/>
          <w:sz w:val="21"/>
        </w:rPr>
        <w:t>Estilo Apple · sugerencias MIT (sans serif, índice, enlaces)</w:t>
      </w:r>
    </w:p>
    <w:p>
      <w:r>
        <w:br w:type="page"/>
      </w:r>
    </w:p>
    <w:p>
      <w:pPr>
        <w:pStyle w:val="Heading1"/>
      </w:pPr>
      <w:r>
        <w:t>Literatura sobre mercados emergentes, transmisión de commodities y segmentación</w:t>
      </w:r>
    </w:p>
    <w:p>
      <w:pPr>
        <w:pStyle w:val="Heading2"/>
      </w:pPr>
      <w:r>
        <w:t>Tabla 1 — Eje teórico / APT y factores macro (base del marco)</w:t>
      </w:r>
    </w:p>
    <w:tbl>
      <w:tblPr>
        <w:tblW w:type="auto" w:w="0"/>
        <w:jc w:val="left"/>
        <w:tblLayout w:type="autofit"/>
        <w:tblLook w:firstColumn="1" w:firstRow="1" w:lastColumn="0" w:lastRow="0" w:noHBand="0" w:noVBand="1" w:val="04A0"/>
      </w:tblPr>
      <w:tblGrid>
        <w:gridCol w:w="1230"/>
        <w:gridCol w:w="1230"/>
        <w:gridCol w:w="1230"/>
        <w:gridCol w:w="1230"/>
        <w:gridCol w:w="1230"/>
        <w:gridCol w:w="1230"/>
        <w:gridCol w:w="1230"/>
      </w:tblGrid>
      <w:tr>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Autor (año)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Título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Revista / serie</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Tipo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URL</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Hallazgo (2-3 líneas)</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Chen, Roll &amp; Ross (1986)</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Economic Forces and the Stock Market</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Journal of Business</w:t>
            </w:r>
            <w:r>
              <w:rPr>
                <w:rFonts w:ascii="Segoe UI" w:hAnsi="Segoe UI"/>
                <w:sz w:val="20"/>
              </w:rPr>
              <w:t>, 59(3), 383-403</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Seminal</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10">
              <w:r>
                <w:rPr>
                  <w:rFonts w:ascii="Segoe UI" w:hAnsi="Segoe UI"/>
                  <w:color w:val="0071E3"/>
                  <w:u w:val="single"/>
                </w:rPr>
                <w:t xml:space="preserve">https://www.scirp.org/reference/referencespapers?referenceid=2945461</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Innovaciones en producción industrial, inflación no anticipada, prima de riesgo y estructura temporal de tasas están </w:t>
            </w:r>
            <w:r>
              <w:rPr>
                <w:rFonts w:ascii="Segoe UI" w:hAnsi="Segoe UI"/>
                <w:b/>
                <w:sz w:val="20"/>
              </w:rPr>
              <w:t>sistemáticamente valoradas</w:t>
            </w:r>
            <w:r>
              <w:rPr>
                <w:rFonts w:ascii="Segoe UI" w:hAnsi="Segoe UI"/>
                <w:sz w:val="20"/>
              </w:rPr>
              <w:t xml:space="preserve"> en los retornos accionarios. Fundamento empírico clásico del APT y de los canales macro de tu tesis.</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Ross (1976)</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The Arbitrage Theory of Capital Asset Pricing</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Journal of Economic Theory</w:t>
            </w:r>
            <w:r>
              <w:rPr>
                <w:rFonts w:ascii="Segoe UI" w:hAnsi="Segoe UI"/>
                <w:sz w:val="20"/>
              </w:rPr>
              <w:t xml:space="preserve"> (referenciado vía Wikipedia/APT)</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Seminal</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11">
              <w:r>
                <w:rPr>
                  <w:rFonts w:ascii="Segoe UI" w:hAnsi="Segoe UI"/>
                  <w:color w:val="0071E3"/>
                  <w:u w:val="single"/>
                </w:rPr>
                <w:t xml:space="preserve">https://en.wikipedia.org/wiki/Arbitrage_pricing_theory</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Modelo multifactor que relaciona varios factores de riesgo macro (tasa de interés, tipo de cambio, inflación, producción) con el precio de los activos. Alternativa al CAPM; base teórica directa de tu especificación.</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3</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(varios, 2009-2020)</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Test de APT en el Istanbul Stock Exchange (BIST100) con VECM</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working paper / artículo emergente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Reciente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12">
              <w:r>
                <w:rPr>
                  <w:rFonts w:ascii="Segoe UI" w:hAnsi="Segoe UI"/>
                  <w:color w:val="0071E3"/>
                  <w:u w:val="single"/>
                </w:rPr>
                <w:t xml:space="preserve">https://www.researchgate.net/publication/378985095</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Con cinco factores (PIB, tasa, inflación, tipo de cambio, producción) el </w:t>
            </w:r>
            <w:r>
              <w:rPr>
                <w:rFonts w:ascii="Segoe UI" w:hAnsi="Segoe UI"/>
                <w:b/>
                <w:sz w:val="20"/>
              </w:rPr>
              <w:t>APT se sostiene en el mercado emergente y el CAPM no</w:t>
            </w:r>
            <w:r>
              <w:rPr>
                <w:rFonts w:ascii="Segoe UI" w:hAnsi="Segoe UI"/>
                <w:sz w:val="20"/>
              </w:rPr>
              <w:t>; el tipo de cambio explica consistentemente los retornos. Refuerza la elección de factores macro para emergentes.</w:t>
            </w:r>
          </w:p>
        </w:tc>
      </w:tr>
    </w:tbl>
    <w:p>
      <w:pPr>
        <w:spacing w:after="40"/>
      </w:pPr>
    </w:p>
    <w:p>
      <w:pPr>
        <w:pStyle w:val="Heading2"/>
      </w:pPr>
      <w:r>
        <w:t>Tabla 2 — Transmisión de commodities (metales/cobre) a valoración de empresas</w:t>
      </w:r>
    </w:p>
    <w:tbl>
      <w:tblPr>
        <w:tblW w:type="auto" w:w="0"/>
        <w:jc w:val="left"/>
        <w:tblLayout w:type="autofit"/>
        <w:tblLook w:firstColumn="1" w:firstRow="1" w:lastColumn="0" w:lastRow="0" w:noHBand="0" w:noVBand="1" w:val="04A0"/>
      </w:tblPr>
      <w:tblGrid>
        <w:gridCol w:w="1230"/>
        <w:gridCol w:w="1230"/>
        <w:gridCol w:w="1230"/>
        <w:gridCol w:w="1230"/>
        <w:gridCol w:w="1230"/>
        <w:gridCol w:w="1230"/>
        <w:gridCol w:w="1230"/>
      </w:tblGrid>
      <w:tr>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Autor (año)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Título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Revista / serie</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Tipo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URL</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Hallazgo (2-3 líneas)</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4</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Pedersen, M. (2015)</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The Impact of Commodity Price Shocks in a Major Producing Economy. The Case of Copper and Chile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Working Papers Central Bank of Chile</w:t>
            </w:r>
            <w:r>
              <w:rPr>
                <w:rFonts w:ascii="Segoe UI" w:hAnsi="Segoe UI"/>
                <w:sz w:val="20"/>
              </w:rPr>
              <w:t>, No. 753</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Reciente / </w:t>
            </w:r>
            <w:r>
              <w:rPr>
                <w:rFonts w:ascii="Segoe UI" w:hAnsi="Segoe UI"/>
                <w:b/>
                <w:sz w:val="20"/>
              </w:rPr>
              <w:t>clave local</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13">
              <w:r>
                <w:rPr>
                  <w:rFonts w:ascii="Segoe UI" w:hAnsi="Segoe UI"/>
                  <w:color w:val="0071E3"/>
                  <w:u w:val="single"/>
                </w:rPr>
                <w:t xml:space="preserve">https://ideas.repec.org/p/chb/bcchwp/753.html</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La fuente del shock importa</w:t>
            </w:r>
            <w:r>
              <w:rPr>
                <w:rFonts w:ascii="Segoe UI" w:hAnsi="Segoe UI"/>
                <w:sz w:val="20"/>
              </w:rPr>
              <w:t>: alzas de cobre por demanda elevan el crecimiento chileno; shocks de oferta o de demanda específica del cobre tienen efectos negativos de corto plazo. Distingue canales (demanda vs oferta) directamente aplicables a tu identificación.</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5</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Zhu, Chen &amp; Chen (2021)</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Effects of non-ferrous metal prices and uncertainty on industry stock market under different market conditions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Resources Policy</w:t>
            </w:r>
            <w:r>
              <w:rPr>
                <w:rFonts w:ascii="Segoe UI" w:hAnsi="Segoe UI"/>
                <w:sz w:val="20"/>
              </w:rPr>
              <w:t>, 73, 102243</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Reciente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14">
              <w:r>
                <w:rPr>
                  <w:rFonts w:ascii="Segoe UI" w:hAnsi="Segoe UI"/>
                  <w:color w:val="0071E3"/>
                  <w:u w:val="single"/>
                </w:rPr>
                <w:t xml:space="preserve">https://ideas.repec.org/a/eee/jrpoli/v73y2021ics0301420721002543.html</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Los precios de metales no ferrosos tienen impacto </w:t>
            </w:r>
            <w:r>
              <w:rPr>
                <w:rFonts w:ascii="Segoe UI" w:hAnsi="Segoe UI"/>
                <w:b/>
                <w:sz w:val="20"/>
              </w:rPr>
              <w:t>positivo</w:t>
            </w:r>
            <w:r>
              <w:rPr>
                <w:rFonts w:ascii="Segoe UI" w:hAnsi="Segoe UI"/>
                <w:sz w:val="20"/>
              </w:rPr>
              <w:t xml:space="preserve"> sobre la bolsa del sector; la incertidumbre es negativa en mercados bajistas y positiva en alcistas; efectos más fuertes tras la crisis de 2008 (financiarización / co-movimiento).</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6</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(Mineral Economics, 2025)</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Relationship between gold-copper prices and mining share prices on NY, Toronto and Australian exchanges (structural equation modeling)</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Mineral Economics</w:t>
            </w:r>
            <w:r>
              <w:rPr>
                <w:rFonts w:ascii="Segoe UI" w:hAnsi="Segoe UI"/>
                <w:sz w:val="20"/>
              </w:rPr>
              <w:t xml:space="preserve"> (Springer)</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Reciente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15">
              <w:r>
                <w:rPr>
                  <w:rFonts w:ascii="Segoe UI" w:hAnsi="Segoe UI"/>
                  <w:color w:val="0071E3"/>
                  <w:u w:val="single"/>
                </w:rPr>
                <w:t xml:space="preserve">https://link.springer.com/article/10.1007/s13563-025-00498-7</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Vía SEM encuentra </w:t>
            </w:r>
            <w:r>
              <w:rPr>
                <w:rFonts w:ascii="Segoe UI" w:hAnsi="Segoe UI"/>
                <w:b/>
                <w:sz w:val="20"/>
              </w:rPr>
              <w:t>relación significativa entre precios de oro/cobre y las cotizaciones de empresas mineras</w:t>
            </w:r>
            <w:r>
              <w:rPr>
                <w:rFonts w:ascii="Segoe UI" w:hAnsi="Segoe UI"/>
                <w:sz w:val="20"/>
              </w:rPr>
              <w:t xml:space="preserve"> en tres bolsas desarrolladas. Plantilla metodológica para el canal commodity→equity en mineras (verificar autoría exacta: paywall).</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7</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(Eurasian Economic Review, 2017)</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The impact of oil price volatility on net-oil exporter and importer countries' stock markets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Eurasian Economic Review</w:t>
            </w:r>
            <w:r>
              <w:rPr>
                <w:rFonts w:ascii="Segoe UI" w:hAnsi="Segoe UI"/>
                <w:sz w:val="20"/>
              </w:rPr>
              <w:t xml:space="preserve"> (Springer)</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Reciente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16">
              <w:r>
                <w:rPr>
                  <w:rFonts w:ascii="Segoe UI" w:hAnsi="Segoe UI"/>
                  <w:color w:val="0071E3"/>
                  <w:u w:val="single"/>
                </w:rPr>
                <w:t xml:space="preserve">https://link.springer.com/article/10.1007/s40822-017-0065-1</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En </w:t>
            </w:r>
            <w:r>
              <w:rPr>
                <w:rFonts w:ascii="Segoe UI" w:hAnsi="Segoe UI"/>
                <w:b/>
                <w:sz w:val="20"/>
              </w:rPr>
              <w:t>exportadores netos</w:t>
            </w:r>
            <w:r>
              <w:rPr>
                <w:rFonts w:ascii="Segoe UI" w:hAnsi="Segoe UI"/>
                <w:sz w:val="20"/>
              </w:rPr>
              <w:t xml:space="preserve"> la relación commodity→retornos es positiva; en importadores, negativa (vía flujos de caja). Análogo conceptual del rol exportador de Chile; útil para contrastar petróleo vs cobre.</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8</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(Resources Policy, 2021)</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Does geopolitical risk improve directional predictability from oil to stock returns? Oil-exporting vs importing countries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Resources Policy</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Reciente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17">
              <w:r>
                <w:rPr>
                  <w:rFonts w:ascii="Segoe UI" w:hAnsi="Segoe UI"/>
                  <w:color w:val="0071E3"/>
                  <w:u w:val="single"/>
                </w:rPr>
                <w:t xml:space="preserve">https://www.sciencedirect.com/science/article/abs/pii/S0301420721002646</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La respuesta de mercados exportadores a shocks de energía es </w:t>
            </w:r>
            <w:r>
              <w:rPr>
                <w:rFonts w:ascii="Segoe UI" w:hAnsi="Segoe UI"/>
                <w:b/>
                <w:sz w:val="20"/>
              </w:rPr>
              <w:t>mayor y más persistente</w:t>
            </w:r>
            <w:r>
              <w:rPr>
                <w:rFonts w:ascii="Segoe UI" w:hAnsi="Segoe UI"/>
                <w:sz w:val="20"/>
              </w:rPr>
              <w:t xml:space="preserve"> que la de importadores; el riesgo geopolítico mejora la predictibilidad direccional. Apoya asimetrías y no linealidades en la transmisión.</w:t>
            </w:r>
          </w:p>
        </w:tc>
      </w:tr>
    </w:tbl>
    <w:p>
      <w:pPr>
        <w:spacing w:after="40"/>
      </w:pPr>
    </w:p>
    <w:p>
      <w:pPr>
        <w:pStyle w:val="Heading2"/>
      </w:pPr>
      <w:r>
        <w:t>Tabla 3 — Integración vs segmentación y velocidad de incorporación de información</w:t>
      </w:r>
    </w:p>
    <w:tbl>
      <w:tblPr>
        <w:tblW w:type="auto" w:w="0"/>
        <w:jc w:val="left"/>
        <w:tblLayout w:type="autofit"/>
        <w:tblLook w:firstColumn="1" w:firstRow="1" w:lastColumn="0" w:lastRow="0" w:noHBand="0" w:noVBand="1" w:val="04A0"/>
      </w:tblPr>
      <w:tblGrid>
        <w:gridCol w:w="1230"/>
        <w:gridCol w:w="1230"/>
        <w:gridCol w:w="1230"/>
        <w:gridCol w:w="1230"/>
        <w:gridCol w:w="1230"/>
        <w:gridCol w:w="1230"/>
        <w:gridCol w:w="1230"/>
      </w:tblGrid>
      <w:tr>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Autor (año)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Título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Revista / serie</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Tipo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URL</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Hallazgo (2-3 líneas)</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9</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Bekaert &amp; Harvey (1995)</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Time-Varying World Market Integration</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The Journal of Finance</w:t>
            </w:r>
            <w:r>
              <w:rPr>
                <w:rFonts w:ascii="Segoe UI" w:hAnsi="Segoe UI"/>
                <w:sz w:val="20"/>
              </w:rPr>
              <w:t>, 50(2), 403-444</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Seminal</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18">
              <w:r>
                <w:rPr>
                  <w:rFonts w:ascii="Segoe UI" w:hAnsi="Segoe UI"/>
                  <w:color w:val="0071E3"/>
                  <w:u w:val="single"/>
                </w:rPr>
                <w:t xml:space="preserve">https://onlinelibrary.wiley.com/doi/abs/10.1111/j.1540-6261.1995.tb04790.x</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Modelo de cambio de régimen: la </w:t>
            </w:r>
            <w:r>
              <w:rPr>
                <w:rFonts w:ascii="Segoe UI" w:hAnsi="Segoe UI"/>
                <w:b/>
                <w:sz w:val="20"/>
              </w:rPr>
              <w:t>integración es variable en el tiempo</w:t>
            </w:r>
            <w:r>
              <w:rPr>
                <w:rFonts w:ascii="Segoe UI" w:hAnsi="Segoe UI"/>
                <w:sz w:val="20"/>
              </w:rPr>
              <w:t>; un mercado puede estar segmentado en una parte de la muestra e integrarse después. La integración baja los retornos esperados y el costo de capital. Base teórica del bloque de segmentación.</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10</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Bekaert &amp; Harvey (2005)</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Emerging Markets Finance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Journal of Empirical Finance</w:t>
            </w:r>
            <w:r>
              <w:rPr>
                <w:rFonts w:ascii="Segoe UI" w:hAnsi="Segoe UI"/>
                <w:sz w:val="20"/>
              </w:rPr>
              <w:t xml:space="preserve"> (working/published)</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Seminal-síntesis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19">
              <w:r>
                <w:rPr>
                  <w:rFonts w:ascii="Segoe UI" w:hAnsi="Segoe UI"/>
                  <w:color w:val="0071E3"/>
                  <w:u w:val="single"/>
                </w:rPr>
                <w:t xml:space="preserve">https://people.duke.edu/~charvey/Research/Published_Papers/P83_Emerging_markets_finance.pdf</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Survey de referencia sobre finanzas en emergentes: liberalización, integración gradual, primas de riesgo y comportamiento de retornos. Marco para situar Chile entre segmentación y apertura.</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11</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Bekaert, Harvey, Lundblad &amp; Siegel (2011)</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What Segments Equity Markets? (medida de segmentación time-varying)</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Review of Financial Studies</w:t>
            </w:r>
            <w:r>
              <w:rPr>
                <w:rFonts w:ascii="Segoe UI" w:hAnsi="Segoe UI"/>
                <w:sz w:val="20"/>
              </w:rPr>
              <w:t xml:space="preserve"> (vía ScienceDirect S0304405X05001108 relacionado)</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Seminal</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20">
              <w:r>
                <w:rPr>
                  <w:rFonts w:ascii="Segoe UI" w:hAnsi="Segoe UI"/>
                  <w:color w:val="0071E3"/>
                  <w:u w:val="single"/>
                </w:rPr>
                <w:t xml:space="preserve">https://www.sciencedirect.com/science/article/abs/pii/S0304405X05001108</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Integración variable en el tiempo es </w:t>
            </w:r>
            <w:r>
              <w:rPr>
                <w:rFonts w:ascii="Segoe UI" w:hAnsi="Segoe UI"/>
                <w:b/>
                <w:sz w:val="20"/>
              </w:rPr>
              <w:t>determinante de los retornos esperados</w:t>
            </w:r>
            <w:r>
              <w:rPr>
                <w:rFonts w:ascii="Segoe UI" w:hAnsi="Segoe UI"/>
                <w:sz w:val="20"/>
              </w:rPr>
              <w:t xml:space="preserve"> en emergentes; mayor integración → menores retornos esperados y menor costo de capital. (Verificar año/revista exactos del paper concreto antes de citar.)</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12</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(J. Economics, Finance and Admin. Science, 2015)</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Emerging Markets Integration in Latin America (MILA): Chile, Colombia y Perú</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Journal of Economics, Finance and Administrative Science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Reciente / </w:t>
            </w:r>
            <w:r>
              <w:rPr>
                <w:rFonts w:ascii="Segoe UI" w:hAnsi="Segoe UI"/>
                <w:b/>
                <w:sz w:val="20"/>
              </w:rPr>
              <w:t>local</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21">
              <w:r>
                <w:rPr>
                  <w:rFonts w:ascii="Segoe UI" w:hAnsi="Segoe UI"/>
                  <w:color w:val="0071E3"/>
                  <w:u w:val="single"/>
                </w:rPr>
                <w:t xml:space="preserve">https://www.elsevier.es/en-revista-journal-economics-finance-administrative-science-352-articulo-emerging-markets-integration-in-S207718861500027X</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Documenta el primer esfuerzo de integración bursátil andino (MILA). Evidencia sobre actividad, correlaciones dinámicas y asimetría informacional en Chile/Colombia/Perú. Contexto directo para discutir (semi)segmentación del mercado chileno.</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13</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(Int. Review of Economics &amp; Finance, 2023)</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Towards understanding MILA stock markets integration beyond MILA: pre-GFC vs COVID-19</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ScienceDirect S1059056023002393</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Reciente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22">
              <w:r>
                <w:rPr>
                  <w:rFonts w:ascii="Segoe UI" w:hAnsi="Segoe UI"/>
                  <w:color w:val="0071E3"/>
                  <w:u w:val="single"/>
                </w:rPr>
                <w:t xml:space="preserve">https://www.sciencedirect.com/science/article/abs/pii/S1059056023002393</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Analiza la integración de MILA antes de la crisis global y durante COVID-19; integración </w:t>
            </w:r>
            <w:r>
              <w:rPr>
                <w:rFonts w:ascii="Segoe UI" w:hAnsi="Segoe UI"/>
                <w:b/>
                <w:sz w:val="20"/>
              </w:rPr>
              <w:t>dependiente del régimen/episodio</w:t>
            </w:r>
            <w:r>
              <w:rPr>
                <w:rFonts w:ascii="Segoe UI" w:hAnsi="Segoe UI"/>
                <w:sz w:val="20"/>
              </w:rPr>
              <w:t>. Útil para la velocidad de incorporación de información en distintos estados de mercado.</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14</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(J. Int. Financial Markets, Inst. &amp; Money, 2023)</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Reporting quality, stock market integration, and investment efficiency in Latin America</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ScienceDirect S2214845023000182</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Reciente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23">
              <w:r>
                <w:rPr>
                  <w:rFonts w:ascii="Segoe UI" w:hAnsi="Segoe UI"/>
                  <w:color w:val="0071E3"/>
                  <w:u w:val="single"/>
                </w:rPr>
                <w:t xml:space="preserve">https://www.sciencedirect.com/science/article/pii/S2214845023000182</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La integración bursátil </w:t>
            </w:r>
            <w:r>
              <w:rPr>
                <w:rFonts w:ascii="Segoe UI" w:hAnsi="Segoe UI"/>
                <w:b/>
                <w:sz w:val="20"/>
              </w:rPr>
              <w:t>reduce la asimetría de información</w:t>
            </w:r>
            <w:r>
              <w:rPr>
                <w:rFonts w:ascii="Segoe UI" w:hAnsi="Segoe UI"/>
                <w:sz w:val="20"/>
              </w:rPr>
              <w:t xml:space="preserve"> y mejora la eficiencia de inversión en América Latina; la calidad del reporte refuerza el efecto. Conecta integración con incorporación de información a precios.</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15</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Cashin, Céspedes &amp; Sahay (2004)</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Commodity Currencies and the Real Exchange Rate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Journal of Development Economics</w:t>
            </w:r>
            <w:r>
              <w:rPr>
                <w:rFonts w:ascii="Segoe UI" w:hAnsi="Segoe UI"/>
                <w:sz w:val="20"/>
              </w:rPr>
              <w:t xml:space="preserve"> (también BCCh WP 236)</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Seminal</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24">
              <w:r>
                <w:rPr>
                  <w:rFonts w:ascii="Segoe UI" w:hAnsi="Segoe UI"/>
                  <w:color w:val="0071E3"/>
                  <w:u w:val="single"/>
                </w:rPr>
                <w:t xml:space="preserve">https://ideas.repec.org/p/chb/bcchwp/236.html</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Para ~2/5 de los exportadores de commodities existe </w:t>
            </w:r>
            <w:r>
              <w:rPr>
                <w:rFonts w:ascii="Segoe UI" w:hAnsi="Segoe UI"/>
                <w:b/>
                <w:sz w:val="20"/>
              </w:rPr>
              <w:t>relación de largo plazo entre tipo de cambio real y precio real del commodity</w:t>
            </w:r>
            <w:r>
              <w:rPr>
                <w:rFonts w:ascii="Segoe UI" w:hAnsi="Segoe UI"/>
                <w:sz w:val="20"/>
              </w:rPr>
              <w:t>. El peso chileno es de las monedas con co-movimiento fuerte con el cobre. Canal tipo de cambio↔cobre de tu tesis.</w:t>
            </w:r>
          </w:p>
        </w:tc>
      </w:tr>
    </w:tbl>
    <w:p>
      <w:pPr>
        <w:spacing w:after="40"/>
      </w:pPr>
    </w:p>
    <w:p>
      <w:pPr>
        <w:pStyle w:val="Heading2"/>
      </w:pPr>
      <w:r>
        <w:t>Síntesis — conexión con el marco teórico</w:t>
      </w:r>
    </w:p>
    <w:p>
      <w:r>
        <w:rPr>
          <w:b/>
        </w:rPr>
        <w:t>1. APT y canales macro (factores de riesgo valorados).</w:t>
      </w:r>
      <w:r>
        <w:t xml:space="preserve"> Chen, Roll &amp; Ross (1986) y Ross (1976) [#1, #2] dan el sustento de que un conjunto reducido de innovaciones macro (producción, inflación, tasas, tipo de cambio) está sistemáticamente valorado en los retornos. La evidencia reciente en emergentes (BIST100 con VECM) [#3] muestra que el APT </w:t>
      </w:r>
      <w:r>
        <w:rPr>
          <w:b/>
        </w:rPr>
        <w:t>se sostiene mejor que el CAPM</w:t>
      </w:r>
      <w:r>
        <w:t xml:space="preserve"> y que el tipo de cambio es un factor recurrente: esto justifica directamente tu especificación multifactor para acciones del cobre con exposición a Chile.</w:t>
      </w:r>
    </w:p>
    <w:p>
      <w:r>
        <w:rPr>
          <w:b/>
        </w:rPr>
        <w:t>2. Canales de transmisión commodity → empresa.</w:t>
      </w:r>
      <w:r>
        <w:t xml:space="preserve"> El paper del BCCh de Pedersen (2015) [#4] es la pieza local más valiosa: muestra que </w:t>
      </w:r>
      <w:r>
        <w:rPr>
          <w:b/>
        </w:rPr>
        <w:t>la fuente del shock de cobre (demanda agregada vs oferta vs demanda específica) determina el signo y la persistencia del efecto</w:t>
      </w:r>
      <w:r>
        <w:t xml:space="preserve"> macro, lo que respalda identificar shocks en vez de usar el precio en crudo. Zhu et al. (2021) [#5] y el estudio de mineras de </w:t>
      </w:r>
      <w:r>
        <w:rPr>
          <w:i/>
        </w:rPr>
        <w:t>Mineral Economics</w:t>
      </w:r>
      <w:r>
        <w:t xml:space="preserve"> (2025) [#6] confirman el canal directo precio-del-metal → cotización de empresas (financiarización y co-movimiento), mientras que los estudios de exportadores vs importadores de petróleo [#7, #8] aportan la lógica del </w:t>
      </w:r>
      <w:r>
        <w:rPr>
          <w:b/>
        </w:rPr>
        <w:t>rol exportador</w:t>
      </w:r>
      <w:r>
        <w:t xml:space="preserve"> (signo positivo y respuesta más persistente para economías exportadoras como Chile) y la presencia de </w:t>
      </w:r>
      <w:r>
        <w:rPr>
          <w:b/>
        </w:rPr>
        <w:t>asimetrías/no linealidades</w:t>
      </w:r>
      <w:r>
        <w:t>.</w:t>
      </w:r>
    </w:p>
    <w:p>
      <w:r>
        <w:rPr>
          <w:b/>
        </w:rPr>
        <w:t>3. Segmentación / integración y velocidad de incorporación de información.</w:t>
      </w:r>
      <w:r>
        <w:t xml:space="preserve"> Bekaert &amp; Harvey (1995, 2005) y la línea de medidas de segmentación variable en el tiempo [#9, #10, #11] son el marco seminal: un mercado emergente puede estar parcialmente segmentado y la integración reduce retornos esperados y costo de capital. Para Chile, la literatura MILA [#12, #13] y el trabajo sobre calidad de reporte e integración [#14] aterrizan el punto: la integración </w:t>
      </w:r>
      <w:r>
        <w:rPr>
          <w:b/>
        </w:rPr>
        <w:t>reduce la asimetría informacional</w:t>
      </w:r>
      <w:r>
        <w:t xml:space="preserve"> y la incorporación de información depende del régimen de mercado (pre-GFC vs COVID-19), lo que respalda evaluar la </w:t>
      </w:r>
      <w:r>
        <w:rPr>
          <w:b/>
        </w:rPr>
        <w:t>velocidad de respuesta</w:t>
      </w:r>
      <w:r>
        <w:t xml:space="preserve"> de las acciones del cobre a noticias macro y contrastar mercados.</w:t>
      </w:r>
    </w:p>
    <w:p>
      <w:r>
        <w:rPr>
          <w:b/>
        </w:rPr>
        <w:t>4. Puente cobre ↔ tipo de cambio (nexo de los tres ejes).</w:t>
      </w:r>
      <w:r>
        <w:t xml:space="preserve"> Cashin, Céspedes &amp; Sahay (2004) [#15] cierra el circuito: el peso chileno co-mueve con el precio real del cobre en el largo plazo. Esto conecta el factor macro "tipo de cambio" del APT con el canal commodity y con el grado de (segmentación/integración) del mercado chileno frente a shocks globales del cobre.</w:t>
      </w:r>
    </w:p>
    <w:p>
      <w:r>
        <w:rPr>
          <w:b/>
        </w:rPr>
        <w:t>Vacío que refuerzan estas fuentes:</w:t>
      </w:r>
      <w:r>
        <w:t xml:space="preserve"> existe abundante evidencia (a) de factores macro en emergentes, (b) de transmisión commodity→equity (sobre todo petróleo) y (c) de segmentación en Latinoamérica/MILA, pero </w:t>
      </w:r>
      <w:r>
        <w:rPr>
          <w:b/>
        </w:rPr>
        <w:t>ninguna combina los tres</w:t>
      </w:r>
      <w:r>
        <w:t xml:space="preserve"> a nivel de empresas del cobre con exposición a Chile comparando velocidad de incorporación de información. Ese es el espacio que ocupa tu tesis.</w:t>
      </w:r>
    </w:p>
    <w:p>
      <w:pPr>
        <w:pStyle w:val="Heading2"/>
      </w:pPr>
      <w:r>
        <w:t>Notas de verificación pendientes (antes de citar en la tesis)</w:t>
      </w:r>
    </w:p>
    <w:p>
      <w:pPr>
        <w:pStyle w:val="ListBullet"/>
      </w:pPr>
      <w:r>
        <w:rPr>
          <w:b/>
        </w:rPr>
        <w:t>#6 (Mineral Economics 2025)</w:t>
      </w:r>
      <w:r>
        <w:t xml:space="preserve"> y </w:t>
      </w:r>
      <w:r>
        <w:rPr>
          <w:b/>
        </w:rPr>
        <w:t>#5/#8 (ScienceDirect)</w:t>
      </w:r>
      <w:r>
        <w:t>: páginas bajo paywall/redirección; confirmar autoría completa, volumen y páginas en la fuente original o vía biblioteca USS.</w:t>
      </w:r>
    </w:p>
    <w:p>
      <w:pPr>
        <w:pStyle w:val="ListBullet"/>
      </w:pPr>
      <w:r>
        <w:rPr>
          <w:b/>
        </w:rPr>
        <w:t>#11</w:t>
      </w:r>
      <w:r>
        <w:t xml:space="preserve">: la URL ScienceDirect S0304405X05001108 corresponde a un paper de la línea Bekaert-Harvey sobre integración variable en el tiempo; confirmar título, autores, revista y año exactos (posible </w:t>
      </w:r>
      <w:r>
        <w:rPr>
          <w:i/>
        </w:rPr>
        <w:t>Journal of Financial Economics</w:t>
      </w:r>
      <w:r>
        <w:t xml:space="preserve"> / </w:t>
      </w:r>
      <w:r>
        <w:rPr>
          <w:i/>
        </w:rPr>
        <w:t>RFS</w:t>
      </w:r>
      <w:r>
        <w:t>) antes de citar.</w:t>
      </w:r>
    </w:p>
    <w:p>
      <w:pPr>
        <w:pStyle w:val="ListBullet"/>
      </w:pPr>
      <w:r>
        <w:rPr>
          <w:b/>
        </w:rPr>
        <w:t>#2 y #15</w:t>
      </w:r>
      <w:r>
        <w:t xml:space="preserve">: verificar datos de publicación originales (Ross 1976 </w:t>
      </w:r>
      <w:r>
        <w:rPr>
          <w:i/>
        </w:rPr>
        <w:t>JET</w:t>
      </w:r>
      <w:r>
        <w:t xml:space="preserve">; Cashin et al. </w:t>
      </w:r>
      <w:r>
        <w:rPr>
          <w:i/>
        </w:rPr>
        <w:t>JDE</w:t>
      </w:r>
      <w:r>
        <w:t xml:space="preserve"> 2004), además del working paper del BCCh.</w:t>
      </w:r>
    </w:p>
    <w:p>
      <w:pPr>
        <w:pStyle w:val="ListBullet"/>
      </w:pPr>
      <w:r>
        <w:t xml:space="preserve">Cruzar estas referencias con tu </w:t>
      </w:r>
      <w:r>
        <w:rPr>
          <w:rFonts w:ascii="Consolas" w:hAnsi="Consolas"/>
          <w:sz w:val="20"/>
        </w:rPr>
        <w:t>docs/referencias.md</w:t>
      </w:r>
      <w:r>
        <w:t xml:space="preserve"> (APA 7) para no duplicar y mantener formato.</w:t>
      </w:r>
    </w:p>
    <w:sectPr w:rsidR="00FC693F" w:rsidRPr="0006063C" w:rsidSect="00034616">
      <w:footerReference w:type="default" r:id="rId9"/>
      <w:pgSz w:w="12240" w:h="15840"/>
      <w:pgMar w:top="1701" w:right="1814" w:bottom="1474" w:left="181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Segoe UI" w:hAnsi="Segoe UI"/>
        <w:color w:val="6E6E73"/>
        <w:sz w:val="18"/>
      </w:rPr>
      <w:fldChar w:fldCharType="begin"/>
      <w:instrText xml:space="preserve">PAGE</w:instrText>
      <w:fldChar w:fldCharType="separate"/>
      <w:instrText xml:space="preserve">1</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200"/>
      <w:jc w:val="left"/>
    </w:pPr>
    <w:rPr>
      <w:rFonts w:ascii="Segoe UI" w:hAnsi="Segoe UI"/>
      <w:color w:val="1D1D1F"/>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64" w:lineRule="auto"/>
      <w:jc w:val="left"/>
      <w:outlineLvl w:val="0"/>
    </w:pPr>
    <w:rPr>
      <w:rFonts w:asciiTheme="majorHAnsi" w:eastAsiaTheme="majorEastAsia" w:hAnsiTheme="majorHAnsi" w:cstheme="majorBidi" w:ascii="Segoe UI Semibold" w:hAnsi="Segoe UI Semibold"/>
      <w:b w:val="0"/>
      <w:bCs/>
      <w:i w:val="0"/>
      <w:color w:val="1D1D1F"/>
      <w:sz w:val="44"/>
      <w:szCs w:val="28"/>
    </w:rPr>
  </w:style>
  <w:style w:type="paragraph" w:styleId="Heading2">
    <w:name w:val="heading 2"/>
    <w:basedOn w:val="Normal"/>
    <w:next w:val="Normal"/>
    <w:link w:val="Heading2Char"/>
    <w:uiPriority w:val="9"/>
    <w:unhideWhenUsed/>
    <w:qFormat/>
    <w:rsid w:val="00FC693F"/>
    <w:pPr>
      <w:keepNext/>
      <w:keepLines/>
      <w:spacing w:before="360" w:after="80" w:line="264" w:lineRule="auto"/>
      <w:jc w:val="left"/>
      <w:outlineLvl w:val="1"/>
    </w:pPr>
    <w:rPr>
      <w:rFonts w:asciiTheme="majorHAnsi" w:eastAsiaTheme="majorEastAsia" w:hAnsiTheme="majorHAnsi" w:cstheme="majorBidi" w:ascii="Segoe UI Semibold" w:hAnsi="Segoe UI Semibold"/>
      <w:b w:val="0"/>
      <w:bCs/>
      <w:i w:val="0"/>
      <w:color w:val="1D1D1F"/>
      <w:sz w:val="32"/>
      <w:szCs w:val="26"/>
    </w:rPr>
  </w:style>
  <w:style w:type="paragraph" w:styleId="Heading3">
    <w:name w:val="heading 3"/>
    <w:basedOn w:val="Normal"/>
    <w:next w:val="Normal"/>
    <w:link w:val="Heading3Char"/>
    <w:uiPriority w:val="9"/>
    <w:unhideWhenUsed/>
    <w:qFormat/>
    <w:rsid w:val="00FC693F"/>
    <w:pPr>
      <w:keepNext/>
      <w:keepLines/>
      <w:spacing w:before="360" w:after="80" w:line="264" w:lineRule="auto"/>
      <w:jc w:val="left"/>
      <w:outlineLvl w:val="2"/>
    </w:pPr>
    <w:rPr>
      <w:rFonts w:asciiTheme="majorHAnsi" w:eastAsiaTheme="majorEastAsia" w:hAnsiTheme="majorHAnsi" w:cstheme="majorBidi" w:ascii="Segoe UI Semibold" w:hAnsi="Segoe UI Semibold"/>
      <w:b w:val="0"/>
      <w:bCs/>
      <w:i w:val="0"/>
      <w:color w:val="0071E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cirp.org/reference/referencespapers?referenceid=2945461" TargetMode="External"/><Relationship Id="rId11" Type="http://schemas.openxmlformats.org/officeDocument/2006/relationships/hyperlink" Target="https://en.wikipedia.org/wiki/Arbitrage_pricing_theory" TargetMode="External"/><Relationship Id="rId12" Type="http://schemas.openxmlformats.org/officeDocument/2006/relationships/hyperlink" Target="https://www.researchgate.net/publication/378985095" TargetMode="External"/><Relationship Id="rId13" Type="http://schemas.openxmlformats.org/officeDocument/2006/relationships/hyperlink" Target="https://ideas.repec.org/p/chb/bcchwp/753.html" TargetMode="External"/><Relationship Id="rId14" Type="http://schemas.openxmlformats.org/officeDocument/2006/relationships/hyperlink" Target="https://ideas.repec.org/a/eee/jrpoli/v73y2021ics0301420721002543.html" TargetMode="External"/><Relationship Id="rId15" Type="http://schemas.openxmlformats.org/officeDocument/2006/relationships/hyperlink" Target="https://link.springer.com/article/10.1007/s13563-025-00498-7" TargetMode="External"/><Relationship Id="rId16" Type="http://schemas.openxmlformats.org/officeDocument/2006/relationships/hyperlink" Target="https://link.springer.com/article/10.1007/s40822-017-0065-1" TargetMode="External"/><Relationship Id="rId17" Type="http://schemas.openxmlformats.org/officeDocument/2006/relationships/hyperlink" Target="https://www.sciencedirect.com/science/article/abs/pii/S0301420721002646" TargetMode="External"/><Relationship Id="rId18" Type="http://schemas.openxmlformats.org/officeDocument/2006/relationships/hyperlink" Target="https://onlinelibrary.wiley.com/doi/abs/10.1111/j.1540-6261.1995.tb04790.x" TargetMode="External"/><Relationship Id="rId19" Type="http://schemas.openxmlformats.org/officeDocument/2006/relationships/hyperlink" Target="https://people.duke.edu/~charvey/Research/Published_Papers/P83_Emerging_markets_finance.pdf" TargetMode="External"/><Relationship Id="rId20" Type="http://schemas.openxmlformats.org/officeDocument/2006/relationships/hyperlink" Target="https://www.sciencedirect.com/science/article/abs/pii/S0304405X05001108" TargetMode="External"/><Relationship Id="rId21" Type="http://schemas.openxmlformats.org/officeDocument/2006/relationships/hyperlink" Target="https://www.elsevier.es/en-revista-journal-economics-finance-administrative-science-352-articulo-emerging-markets-integration-in-S207718861500027X" TargetMode="External"/><Relationship Id="rId22" Type="http://schemas.openxmlformats.org/officeDocument/2006/relationships/hyperlink" Target="https://www.sciencedirect.com/science/article/abs/pii/S1059056023002393" TargetMode="External"/><Relationship Id="rId23" Type="http://schemas.openxmlformats.org/officeDocument/2006/relationships/hyperlink" Target="https://www.sciencedirect.com/science/article/pii/S2214845023000182" TargetMode="External"/><Relationship Id="rId24" Type="http://schemas.openxmlformats.org/officeDocument/2006/relationships/hyperlink" Target="https://ideas.repec.org/p/chb/bcchwp/23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