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Matriz de Consistencia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Problema – objetivos – hipótesis – variables – método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Matriz de Consistencia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Matriz de consistencia</w:t>
      </w:r>
    </w:p>
    <w:p>
      <w:r>
        <w:rPr>
          <w:b/>
        </w:rPr>
        <w:t>Tesis:</w:t>
      </w:r>
      <w:r>
        <w:t xml:space="preserve"> Impacto de las variables macroeconómicas globales y financieras en la valoración bursátil del sector de minería de cobre en Chile.</w:t>
      </w:r>
    </w:p>
    <w:p>
      <w:r>
        <w:rPr>
          <w:b/>
        </w:rPr>
        <w:t>Objetivo general:</w:t>
      </w:r>
      <w:r>
        <w:t xml:space="preserve"> Cuantificar el impacto de las variables macroeconómicas globales y nacionales, y de los indicadores financieros de mercado y de empresa, sobre los retornos accionarios de las empresas de minería de cobre con exposición a Chile durante el período 2004–2024, evaluando la estabilidad de dichas relaciones a lo largo de las distintas fases del ciclo del precio del cobre, mediante modelos econométricos de series de tiempo y datos de panel.</w:t>
      </w:r>
    </w:p>
    <w:p>
      <w:pPr>
        <w:pStyle w:val="Heading2"/>
      </w:pPr>
      <w:r>
        <w:t>1. Matriz principal (Objetivo específico → Pregunta → Hipótesis → Método → Prueba)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OE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Objetivo específico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Pregunta (PI)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Hipótesis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Variables principales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Método / Modelo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Prueba estadística clave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Resultado esperado (contraste)</w:t>
            </w:r>
          </w:p>
        </w:tc>
      </w:tr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OE1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Caracterizar las propiedades estadísticas de las series (estacionariedad, volatilidad, quiebres).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— (transversal)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—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Retornos; niveles de cobre, TC, tasas, VIX, IMACEC.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EDA + raíz unitaria.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ADF, Phillips-Perron, KPSS, Zivot-Andrews, IPS/CIPS (panel).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Retornos I(0); precios/TC I(1). Define la estrategia OE2–OE4.</w:t>
            </w:r>
          </w:p>
        </w:tc>
      </w:tr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OE2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Estimar la sensibilidad de los retornos a las variables macro-financieras, distinguiendo factores globales vs locales.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PI1, PI2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H1, H2, H3, H4, H6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Dep:</w:t>
            </w:r>
            <w:r>
              <w:rPr>
                <w:rFonts w:ascii="Segoe UI" w:hAnsi="Segoe UI"/>
                <w:sz w:val="20"/>
              </w:rPr>
              <w:t xml:space="preserve"> retorno log. </w:t>
            </w:r>
            <w:r>
              <w:rPr>
                <w:rFonts w:ascii="Segoe UI" w:hAnsi="Segoe UI"/>
                <w:b/>
                <w:sz w:val="20"/>
              </w:rPr>
              <w:t>Indep:</w:t>
            </w:r>
            <w:r>
              <w:rPr>
                <w:rFonts w:ascii="Segoe UI" w:hAnsi="Segoe UI"/>
                <w:sz w:val="20"/>
              </w:rPr>
              <w:t xml:space="preserve"> Δcobre, ΔTC, Δtasa, ΔVIX, controles de empresa.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Serie de tiempo (cartera) como baseline + </w:t>
            </w:r>
            <w:r>
              <w:rPr>
                <w:rFonts w:ascii="Segoe UI" w:hAnsi="Segoe UI"/>
                <w:b/>
                <w:sz w:val="20"/>
              </w:rPr>
              <w:t>Panel FE con Driscoll-Kraay</w:t>
            </w:r>
            <w:r>
              <w:rPr>
                <w:rFonts w:ascii="Segoe UI" w:hAnsi="Segoe UI"/>
                <w:sz w:val="20"/>
              </w:rPr>
              <w:t>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t/F sobre coeficientes; Wald conjunto por bloque (global vs local); Hausman; CD-Pesaran.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Signos H1(+), H2(±), H3(−), H4(−) significativos; bloque global ≳ local.</w:t>
            </w:r>
          </w:p>
        </w:tc>
      </w:tr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OE3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Determinar relaciones de equilibrio de largo plazo y dinámicas de corto plazo.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PI3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H5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Niveles I(1): valor cartera, cobre, TC, tasa.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ARDL bounds</w:t>
            </w:r>
            <w:r>
              <w:rPr>
                <w:rFonts w:ascii="Segoe UI" w:hAnsi="Segoe UI"/>
                <w:sz w:val="20"/>
              </w:rPr>
              <w:t xml:space="preserve"> (principal) + </w:t>
            </w:r>
            <w:r>
              <w:rPr>
                <w:rFonts w:ascii="Segoe UI" w:hAnsi="Segoe UI"/>
                <w:b/>
                <w:sz w:val="20"/>
              </w:rPr>
              <w:t>Johansen</w:t>
            </w:r>
            <w:r>
              <w:rPr>
                <w:rFonts w:ascii="Segoe UI" w:hAnsi="Segoe UI"/>
                <w:sz w:val="20"/>
              </w:rPr>
              <w:t xml:space="preserve"> (robustez) + </w:t>
            </w:r>
            <w:r>
              <w:rPr>
                <w:rFonts w:ascii="Segoe UI" w:hAnsi="Segoe UI"/>
                <w:b/>
                <w:sz w:val="20"/>
              </w:rPr>
              <w:t>Westerlund</w:t>
            </w:r>
            <w:r>
              <w:rPr>
                <w:rFonts w:ascii="Segoe UI" w:hAnsi="Segoe UI"/>
                <w:sz w:val="20"/>
              </w:rPr>
              <w:t xml:space="preserve"> (panel) → </w:t>
            </w:r>
            <w:r>
              <w:rPr>
                <w:rFonts w:ascii="Segoe UI" w:hAnsi="Segoe UI"/>
                <w:b/>
                <w:sz w:val="20"/>
              </w:rPr>
              <w:t>VECM</w:t>
            </w:r>
            <w:r>
              <w:rPr>
                <w:rFonts w:ascii="Segoe UI" w:hAnsi="Segoe UI"/>
                <w:sz w:val="20"/>
              </w:rPr>
              <w:t>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Test de bordes (F-bounds); traza/máx. autovalor; α (velocidad de ajuste).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≥1 vector de cointegración; ECM con α&lt;0 significativo.</w:t>
            </w:r>
          </w:p>
        </w:tc>
      </w:tr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OE4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Cuantificar la respuesta dinámica de los retornos ante shocks macro.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PI4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H1, H6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Sistema {cobre, VIX/Fed, TC, tasa, retorno}.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VAR</w:t>
            </w:r>
            <w:r>
              <w:rPr>
                <w:rFonts w:ascii="Segoe UI" w:hAnsi="Segoe UI"/>
                <w:sz w:val="20"/>
              </w:rPr>
              <w:t xml:space="preserve"> (o </w:t>
            </w:r>
            <w:r>
              <w:rPr>
                <w:rFonts w:ascii="Segoe UI" w:hAnsi="Segoe UI"/>
                <w:b/>
                <w:sz w:val="20"/>
              </w:rPr>
              <w:t>VECM</w:t>
            </w:r>
            <w:r>
              <w:rPr>
                <w:rFonts w:ascii="Segoe UI" w:hAnsi="Segoe UI"/>
                <w:sz w:val="20"/>
              </w:rPr>
              <w:t xml:space="preserve"> si cointegran) sobre la cartera.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Funciones impulso-respuesta (IRF); descomposición de varianza (FEVD); causalidad de Granger.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Respuesta positiva y persistente al shock de cobre; FEVD: cobre/global dominan.</w:t>
            </w:r>
          </w:p>
        </w:tc>
      </w:tr>
      <w:tr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OE5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Evaluar la estabilidad de las relaciones a lo largo de las fases del ciclo del cobre.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PI5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H1–H4 condicionadas al régimen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+ dummy/interacción de fase del ciclo.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Fechado BBQ</w:t>
            </w:r>
            <w:r>
              <w:rPr>
                <w:rFonts w:ascii="Segoe UI" w:hAnsi="Segoe UI"/>
                <w:sz w:val="20"/>
              </w:rPr>
              <w:t xml:space="preserve"> del cobre + interacciones; re-estimación por subperíodo; (robustez: Markov-switching).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Significancia de términos de interacción; comparación de IRF entre fases; tests de quiebre (Bai-Perron, Chow).</w:t>
            </w:r>
          </w:p>
        </w:tc>
        <w:tc>
          <w:tcPr>
            <w:tcW w:type="dxa" w:w="107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Sensibilidad al cobre mayor en expansión vs contracción (asimetría de régimen).</w:t>
            </w:r>
          </w:p>
        </w:tc>
      </w:tr>
    </w:tbl>
    <w:p>
      <w:pPr>
        <w:spacing w:after="40"/>
      </w:pPr>
    </w:p>
    <w:p>
      <w:pPr>
        <w:pStyle w:val="Heading2"/>
      </w:pPr>
      <w:r>
        <w:t>2. Preguntas de investigación</w:t>
      </w:r>
    </w:p>
    <w:p>
      <w:pPr>
        <w:pStyle w:val="ListBullet"/>
      </w:pPr>
      <w:r>
        <w:rPr>
          <w:b/>
        </w:rPr>
        <w:t>PI1 (→OE2):</w:t>
      </w:r>
      <w:r>
        <w:t xml:space="preserve"> ¿Qué variables macroeconómicas globales y nacionales explican significativamente los retornos del sector cobre en Chile, y cuál es su magnitud y signo?</w:t>
      </w:r>
    </w:p>
    <w:p>
      <w:pPr>
        <w:pStyle w:val="ListBullet"/>
      </w:pPr>
      <w:r>
        <w:rPr>
          <w:b/>
        </w:rPr>
        <w:t>PI2 (→OE2):</w:t>
      </w:r>
      <w:r>
        <w:t xml:space="preserve"> ¿Predominan los factores globales (cobre, riesgo internacional, tasas externas) o los locales (TC, actividad e interés domésticos)?</w:t>
      </w:r>
    </w:p>
    <w:p>
      <w:pPr>
        <w:pStyle w:val="ListBullet"/>
      </w:pPr>
      <w:r>
        <w:rPr>
          <w:b/>
        </w:rPr>
        <w:t>PI3 (→OE3):</w:t>
      </w:r>
      <w:r>
        <w:t xml:space="preserve"> ¿Existe relación de largo plazo (cointegración) entre la valoración del sector y sus determinantes macro? ¿A qué velocidad se corrige una desviación?</w:t>
      </w:r>
    </w:p>
    <w:p>
      <w:pPr>
        <w:pStyle w:val="ListBullet"/>
      </w:pPr>
      <w:r>
        <w:rPr>
          <w:b/>
        </w:rPr>
        <w:t>PI4 (→OE4):</w:t>
      </w:r>
      <w:r>
        <w:t xml:space="preserve"> Ante un shock en el precio del cobre o el tipo de cambio, ¿cómo y por cuánto tiempo responden los retornos?</w:t>
      </w:r>
    </w:p>
    <w:p>
      <w:pPr>
        <w:pStyle w:val="ListBullet"/>
      </w:pPr>
      <w:r>
        <w:rPr>
          <w:b/>
        </w:rPr>
        <w:t>PI5 (→OE5):</w:t>
      </w:r>
      <w:r>
        <w:t xml:space="preserve"> ¿Son estables estas relaciones o cambian según la fase del ciclo del cobre?</w:t>
      </w:r>
    </w:p>
    <w:p>
      <w:pPr>
        <w:pStyle w:val="ListBullet"/>
      </w:pPr>
      <w:r>
        <w:rPr>
          <w:b/>
        </w:rPr>
        <w:t>PI6 (→OE6, triangulación):</w:t>
      </w:r>
      <w:r>
        <w:t xml:space="preserve"> ¿Difiere la sensibilidad de los retornos al precio del cobre y a las variables macro entre las empresas que cotizan en el </w:t>
      </w:r>
      <w:r>
        <w:rPr>
          <w:b/>
        </w:rPr>
        <w:t>mercado global</w:t>
      </w:r>
      <w:r>
        <w:t xml:space="preserve"> (muestra B) y las que cotizan en el </w:t>
      </w:r>
      <w:r>
        <w:rPr>
          <w:b/>
        </w:rPr>
        <w:t>mercado chileno</w:t>
      </w:r>
      <w:r>
        <w:t xml:space="preserve"> (muestras A y C)?</w:t>
      </w:r>
    </w:p>
    <w:p>
      <w:pPr>
        <w:pStyle w:val="Heading2"/>
      </w:pPr>
      <w:r>
        <w:t>3. Hipótesis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</w:tblGrid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H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Enunciado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Signo esperado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Sustento teórico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H1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El precio del cobre afecta positivamente los retornos del sector.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+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Canal de ingresos; el cobre es el principal </w:t>
            </w:r>
            <w:r>
              <w:rPr>
                <w:rFonts w:ascii="Segoe UI" w:hAnsi="Segoe UI"/>
                <w:i/>
                <w:sz w:val="20"/>
              </w:rPr>
              <w:t>driver</w:t>
            </w:r>
            <w:r>
              <w:rPr>
                <w:rFonts w:ascii="Segoe UI" w:hAnsi="Segoe UI"/>
                <w:sz w:val="20"/>
              </w:rPr>
              <w:t xml:space="preserve"> de flujos.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H2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La depreciación del peso (↑USD/CLP) afecta los retornos de productoras con ingresos en USD.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± (a determinar)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Canal de competitividad/márgenes; signo depende de bolsa y estructura de costos.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H3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Un alza de tasas (local y/o externa) afecta negativamente los retornos.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−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Canal de descuento y apetito por riesgo.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H4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Un aumento del riesgo/aversión global (VIX, EMBI) afecta negativamente los retornos.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−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i/>
                <w:sz w:val="20"/>
              </w:rPr>
              <w:t>Flight to quality</w:t>
            </w:r>
            <w:r>
              <w:rPr>
                <w:rFonts w:ascii="Segoe UI" w:hAnsi="Segoe UI"/>
                <w:sz w:val="20"/>
              </w:rPr>
              <w:t>; activos cíclicos y emergentes.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H5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Existe cointegración entre el valor del sector y {cobre, TC, tasa}, con ECM significativo.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—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Relación de equilibrio de largo plazo.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H6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Los factores globales explican mayor fracción de la varianza de los retornos que los locales.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global &gt; local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Economía pequeña, abierta y exportadora de commodity.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H7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El </w:t>
            </w:r>
            <w:r>
              <w:rPr>
                <w:rFonts w:ascii="Segoe UI" w:hAnsi="Segoe UI"/>
                <w:b/>
                <w:sz w:val="20"/>
              </w:rPr>
              <w:t>mercado global</w:t>
            </w:r>
            <w:r>
              <w:rPr>
                <w:rFonts w:ascii="Segoe UI" w:hAnsi="Segoe UI"/>
                <w:sz w:val="20"/>
              </w:rPr>
              <w:t xml:space="preserve"> (muestra B) incorpora el shock del cobre de forma más rápida y completa que el </w:t>
            </w:r>
            <w:r>
              <w:rPr>
                <w:rFonts w:ascii="Segoe UI" w:hAnsi="Segoe UI"/>
                <w:b/>
                <w:sz w:val="20"/>
              </w:rPr>
              <w:t>mercado chileno</w:t>
            </w:r>
            <w:r>
              <w:rPr>
                <w:rFonts w:ascii="Segoe UI" w:hAnsi="Segoe UI"/>
                <w:sz w:val="20"/>
              </w:rPr>
              <w:t xml:space="preserve"> (muestras A/C).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global &gt; local en velocidad/magnitud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Menor profundidad y liquidez del mercado local → transmisión más lenta/parcial (eficiencia informacional, segmentación de mercados).</w:t>
            </w:r>
          </w:p>
        </w:tc>
      </w:tr>
    </w:tbl>
    <w:p>
      <w:pPr>
        <w:spacing w:after="40"/>
      </w:pPr>
    </w:p>
    <w:p>
      <w:pPr>
        <w:pStyle w:val="Heading2"/>
      </w:pPr>
      <w:r>
        <w:t>3bis. Dimensión transversal: triangulación por muestras</w:t>
      </w:r>
    </w:p>
    <w:p>
      <w:r>
        <w:t xml:space="preserve">Todo el análisis (OE2–OE5) se ejecuta en paralelo sobre </w:t>
      </w:r>
      <w:r>
        <w:rPr>
          <w:b/>
        </w:rPr>
        <w:t>tres muestras</w:t>
      </w:r>
      <w:r>
        <w:t xml:space="preserve"> y se compara: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53"/>
        <w:gridCol w:w="2153"/>
        <w:gridCol w:w="2153"/>
        <w:gridCol w:w="2153"/>
      </w:tblGrid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Muestra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Definición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Empresas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Método principal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B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Cobre puro, mercado global, operación en Chile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ANTO.L, BHP, AAL.L, LUN.TO, TECK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 FE + Driscoll-Kraay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A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Cobre puro, mercado chileno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PUCOBRE.SN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Serie de tiempo (ARDL, VAR/IRF)</w:t>
            </w:r>
          </w:p>
        </w:tc>
      </w:tr>
      <w:tr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C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Sector minero chileno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PUCOBRE, CAP, SQM-B, MOLYMET</w:t>
            </w:r>
          </w:p>
        </w:tc>
        <w:tc>
          <w:tcPr>
            <w:tcW w:type="dxa" w:w="2153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 FE + Driscoll-Kraay</w:t>
            </w:r>
          </w:p>
        </w:tc>
      </w:tr>
    </w:tbl>
    <w:p>
      <w:pPr>
        <w:spacing w:after="40"/>
      </w:pPr>
    </w:p>
    <w:p>
      <w:r>
        <w:rPr>
          <w:b/>
        </w:rPr>
        <w:t>OE6 (nuevo):</w:t>
      </w:r>
      <w:r>
        <w:t xml:space="preserve"> Comparar la transmisión del impacto macro entre el mercado global y el chileno (contrasta PI6/H7). En la muestra C se controla por el precio propio de cada commodity.</w:t>
      </w:r>
    </w:p>
    <w:p>
      <w:pPr>
        <w:pStyle w:val="Heading2"/>
      </w:pPr>
      <w:r>
        <w:t>4. Trazabilidad capítulo ↔ objetivo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71"/>
        <w:gridCol w:w="2871"/>
        <w:gridCol w:w="2871"/>
      </w:tblGrid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Sección de resultados (Cap. 4)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Objetivo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Hipótesis contrastadas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4.1 Descriptivo y propiedades de series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OE1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—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4.2 Determinantes: global vs local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OE2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H1, H2, H3, H4, H6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4.3 Largo plazo y corrección de error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OE3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H5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4.4 Respuesta dinámica a shocks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OE4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H1, H6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4.5 Estabilidad por fases del ciclo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OE5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H1–H4 (condicionadas)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4.6 Comparación entre mercados (global vs chileno)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OE6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PI6, H7</w:t>
            </w:r>
          </w:p>
        </w:tc>
      </w:tr>
    </w:tbl>
    <w:p>
      <w:pPr>
        <w:spacing w:after="40"/>
      </w:pPr>
    </w:p>
    <w:p>
      <w:pPr>
        <w:pStyle w:val="Heading2"/>
      </w:pPr>
      <w:r>
        <w:t>5. Veredicto empírico (síntesis)</w:t>
      </w:r>
    </w:p>
    <w:p>
      <w:r>
        <w:t>Resultado del contraste de cada hipótesis sobre los datos (preliminar en cuanto a magnitudes; ver Cap. 4).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71"/>
        <w:gridCol w:w="2871"/>
        <w:gridCol w:w="2871"/>
      </w:tblGrid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H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Veredicto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Evidencia / prueba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H1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β cobre +0,57\</w:t>
            </w:r>
            <w:r>
              <w:rPr>
                <w:rFonts w:ascii="Segoe UI" w:hAnsi="Segoe UI"/>
                <w:i/>
                <w:sz w:val="20"/>
              </w:rPr>
              <w:t>\</w:t>
            </w:r>
            <w:r>
              <w:rPr>
                <w:rFonts w:ascii="Segoe UI" w:hAnsi="Segoe UI"/>
                <w:sz w:val="20"/>
              </w:rPr>
              <w:t>\*; robusta a corrección FDR y a subperíodos (0,56→0,75).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H2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 (signo −)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ΔTC −1,57\</w:t>
            </w:r>
            <w:r>
              <w:rPr>
                <w:rFonts w:ascii="Segoe UI" w:hAnsi="Segoe UI"/>
                <w:i/>
                <w:sz w:val="20"/>
              </w:rPr>
              <w:t>\</w:t>
            </w:r>
            <w:r>
              <w:rPr>
                <w:rFonts w:ascii="Segoe UI" w:hAnsi="Segoe UI"/>
                <w:sz w:val="20"/>
              </w:rPr>
              <w:t>\*; capta competitividad y riesgo.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H3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No respaldada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Tasa local y externa no significativas en la especificación base.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H4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VIX negativo y significativo; mayor efecto estandarizado (−0,31 σ).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H5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 con quiebre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Gregory-Hansen: cointegración con quiebre en 2008 (ADF\* = −6,68).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H6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FEVD: global ≈ 32% vs local ≈ 5%; jerarquía de betas estandarizados.</w:t>
            </w:r>
          </w:p>
        </w:tc>
      </w:tr>
      <w:tr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b/>
                <w:sz w:val="20"/>
              </w:rPr>
              <w:t>H7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Respaldada</w:t>
            </w:r>
          </w:p>
        </w:tc>
        <w:tc>
          <w:tcPr>
            <w:tcW w:type="dxa" w:w="2871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Interacción d_cobre × global = +0,25 (p = 0,01); mayor sensibilidad internacional.</w:t>
            </w:r>
          </w:p>
        </w:tc>
      </w:tr>
    </w:tbl>
    <w:p>
      <w:pPr>
        <w:spacing w:after="40"/>
      </w:pPr>
    </w:p>
    <w:p>
      <w:r>
        <w:rPr>
          <w:b/>
        </w:rPr>
        <w:t>Diagnósticos de soporte:</w:t>
      </w:r>
      <w:r>
        <w:t xml:space="preserve"> CD-Pesaran (dependencia cruzada → Driscoll-Kraay); CIPS (precios I(1), retornos I(0)); estabilidad del VAR y Granger; GJR-GARCH (apalancamiento); Local Projections (cross-validación de la IRF); razón de varianzas de Lo-MacKinlay (eficiencia débil accionaria). La síntesis completa figura en el Anexo J.</w:t>
      </w: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