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Segoe UI Semibold" w:hAnsi="Segoe UI Semibold"/>
          <w:color w:val="0071E3"/>
          <w:sz w:val="24"/>
          <w:spacing w:val="40"/>
        </w:rPr>
        <w:t>INVESTIGACIÓN · TESIS F. RIETTA</w:t>
      </w:r>
    </w:p>
    <w:p>
      <w:pPr>
        <w:spacing w:after="160" w:line="245" w:lineRule="auto"/>
      </w:pPr>
      <w:r>
        <w:rPr>
          <w:rFonts w:ascii="Segoe UI Semibold" w:hAnsi="Segoe UI Semibold"/>
          <w:color w:val="1D1D1F"/>
          <w:sz w:val="68"/>
        </w:rPr>
        <w:t>Reproducibilidad</w:t>
      </w:r>
    </w:p>
    <w:p>
      <w:pPr>
        <w:spacing w:after="0" w:line="288" w:lineRule="auto"/>
      </w:pPr>
      <w:r>
        <w:rPr>
          <w:rFonts w:ascii="Segoe UI" w:hAnsi="Segoe UI"/>
          <w:color w:val="6E6E73"/>
          <w:sz w:val="30"/>
        </w:rPr>
        <w:t>Flujo de trabajo, entorno y pasos para replicar</w:t>
      </w:r>
    </w:p>
    <w:p>
      <w:pPr>
        <w:spacing w:after="0"/>
      </w:pPr>
    </w:p>
    <w:p>
      <w:pPr>
        <w:spacing w:before="160" w:after="280"/>
        <w:pBdr>
          <w:bottom w:val="single" w:sz="6" w:space="1" w:color="D2D2D7"/>
        </w:pBdr>
      </w:pP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Proyecto   </w:t>
      </w:r>
      <w:r>
        <w:rPr>
          <w:rFonts w:ascii="Segoe UI" w:hAnsi="Segoe UI"/>
          <w:color w:val="6E6E73"/>
          <w:sz w:val="21"/>
        </w:rPr>
        <w:t>Macroeconomía y retornos del sector cobre en Chile (2004–2024)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Documento   </w:t>
      </w:r>
      <w:r>
        <w:rPr>
          <w:rFonts w:ascii="Segoe UI" w:hAnsi="Segoe UI"/>
          <w:color w:val="6E6E73"/>
          <w:sz w:val="21"/>
        </w:rPr>
        <w:t>Reproducibilidad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Formato   </w:t>
      </w:r>
      <w:r>
        <w:rPr>
          <w:rFonts w:ascii="Segoe UI" w:hAnsi="Segoe UI"/>
          <w:color w:val="6E6E73"/>
          <w:sz w:val="21"/>
        </w:rPr>
        <w:t>Estilo Apple · sugerencias MIT (sans serif, índice, enlaces)</w:t>
      </w:r>
    </w:p>
    <w:p>
      <w:r>
        <w:br w:type="page"/>
      </w:r>
    </w:p>
    <w:p>
      <w:pPr>
        <w:pStyle w:val="Heading1"/>
      </w:pPr>
      <w:r>
        <w:t>Declaración de reproducibilidad</w:t>
      </w:r>
    </w:p>
    <w:p>
      <w:r>
        <w:t xml:space="preserve">Este proyecto está diseñado para ser </w:t>
      </w:r>
      <w:r>
        <w:rPr>
          <w:b/>
        </w:rPr>
        <w:t>completamente reproducible</w:t>
      </w:r>
      <w:r>
        <w:t>. Todos los resultados, tablas y figuras de la tesis se generan a partir de datos públicos mediante código abierto y determinista.</w:t>
      </w:r>
    </w:p>
    <w:p>
      <w:pPr>
        <w:pStyle w:val="Heading2"/>
      </w:pPr>
      <w:r>
        <w:t>Cómo reproducir</w:t>
      </w:r>
    </w:p>
    <w:p>
      <w:r>
        <w:t>```powershell</w:t>
      </w:r>
    </w:p>
    <w:p>
      <w:pPr>
        <w:pStyle w:val="Heading1"/>
      </w:pPr>
      <w:r>
        <w:t>1. Entorno</w:t>
      </w:r>
    </w:p>
    <w:p>
      <w:r>
        <w:t>python -m venv .venv &amp;&amp; .\.venv\Scripts\Activate.ps1 pip install -r requirements.txt</w:t>
      </w:r>
    </w:p>
    <w:p>
      <w:pPr>
        <w:pStyle w:val="Heading1"/>
      </w:pPr>
      <w:r>
        <w:t>2. (opcional) Volver a descargar los datos de fuentes públicas</w:t>
      </w:r>
    </w:p>
    <w:p>
      <w:r>
        <w:t>python -m src.run_all --descargar</w:t>
      </w:r>
    </w:p>
    <w:p>
      <w:pPr>
        <w:pStyle w:val="Heading1"/>
      </w:pPr>
      <w:r>
        <w:t>3. Regenerar TODO el análisis (paneles, tests, robustez, predictor, figuras, anexos)</w:t>
      </w:r>
    </w:p>
    <w:p>
      <w:r>
        <w:t>python -m src.run_all</w:t>
      </w:r>
    </w:p>
    <w:p>
      <w:pPr>
        <w:pStyle w:val="Heading1"/>
      </w:pPr>
      <w:r>
        <w:t>4. Pruebas unitarias</w:t>
      </w:r>
    </w:p>
    <w:p>
      <w:r>
        <w:t>python -m pytest -q</w:t>
      </w:r>
    </w:p>
    <w:p>
      <w:pPr>
        <w:pStyle w:val="Heading1"/>
      </w:pPr>
      <w:r>
        <w:t>5. Regenerar el documento Word/PDF (requiere Microsoft Word)</w:t>
      </w:r>
    </w:p>
    <w:p>
      <w:r>
        <w:t>python build_thesis.py ```</w:t>
      </w:r>
    </w:p>
    <w:p>
      <w:pPr>
        <w:pStyle w:val="Heading2"/>
      </w:pPr>
      <w:r>
        <w:t>Garantías</w:t>
      </w:r>
    </w:p>
    <w:p>
      <w:pPr>
        <w:pStyle w:val="ListBullet"/>
      </w:pPr>
      <w:r>
        <w:rPr>
          <w:b/>
        </w:rPr>
        <w:t>Determinismo:</w:t>
      </w:r>
      <w:r>
        <w:t xml:space="preserve"> el pipeline produce exactamente los mismos resultados en cada ejecución (semillas fijas donde aplica; sin aleatoriedad no controlada). Una corrida de verificación confirmó </w:t>
      </w:r>
      <w:r>
        <w:rPr>
          <w:b/>
        </w:rPr>
        <w:t>0 diferencias</w:t>
      </w:r>
      <w:r>
        <w:t xml:space="preserve"> entre ejecuciones sucesivas.</w:t>
      </w:r>
    </w:p>
    <w:p>
      <w:pPr>
        <w:pStyle w:val="ListBullet"/>
      </w:pPr>
      <w:r>
        <w:rPr>
          <w:b/>
        </w:rPr>
        <w:t>Cobertura:</w:t>
      </w:r>
      <w:r>
        <w:t xml:space="preserve"> </w:t>
      </w:r>
      <w:r>
        <w:rPr>
          <w:rFonts w:ascii="Consolas" w:hAnsi="Consolas"/>
          <w:sz w:val="20"/>
        </w:rPr>
        <w:t>python -m src.run_all</w:t>
      </w:r>
      <w:r>
        <w:t xml:space="preserve"> ejecuta los 12 pasos del análisis (construcción de paneles → diagnósticos avanzados → robustez de segunda generación → predictor → exportación de datos, figuras y anexos) con reporte de estado por paso.</w:t>
      </w:r>
    </w:p>
    <w:p>
      <w:pPr>
        <w:pStyle w:val="ListBullet"/>
      </w:pPr>
      <w:r>
        <w:rPr>
          <w:b/>
        </w:rPr>
        <w:t>Pruebas:</w:t>
      </w:r>
      <w:r>
        <w:t xml:space="preserve"> la suite </w:t>
      </w:r>
      <w:r>
        <w:rPr>
          <w:rFonts w:ascii="Consolas" w:hAnsi="Consolas"/>
          <w:sz w:val="20"/>
        </w:rPr>
        <w:t>tests/</w:t>
      </w:r>
      <w:r>
        <w:t xml:space="preserve"> valida las funciones econométricas clave sobre datos sintéticos de referencia (estacionariedad I(0)/I(1), fechado del ciclo, transformaciones, panel de efectos fijos).</w:t>
      </w:r>
    </w:p>
    <w:p>
      <w:pPr>
        <w:pStyle w:val="ListBullet"/>
      </w:pPr>
      <w:r>
        <w:rPr>
          <w:b/>
        </w:rPr>
        <w:t>Fuentes:</w:t>
      </w:r>
      <w:r>
        <w:t xml:space="preserve"> todos los datos provienen de fuentes públicas (FRED, Yahoo Finance) y, donde corresponde, del Banco Central de Chile; los códigos y tickers están documentados en </w:t>
      </w:r>
      <w:r>
        <w:rPr>
          <w:rFonts w:ascii="Consolas" w:hAnsi="Consolas"/>
          <w:sz w:val="20"/>
        </w:rPr>
        <w:t>src/config.py</w:t>
      </w:r>
      <w:r>
        <w:t xml:space="preserve"> y en el Anexo G.</w:t>
      </w:r>
    </w:p>
    <w:p>
      <w:pPr>
        <w:pStyle w:val="Heading2"/>
      </w:pPr>
      <w:r>
        <w:t>Estructura del código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06"/>
        <w:gridCol w:w="4306"/>
      </w:tblGrid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 xml:space="preserve">Módulo </w:t>
            </w:r>
            <w:r>
              <w:rPr>
                <w:rFonts w:ascii="Segoe UI" w:hAnsi="Segoe UI"/>
                <w:b/>
                <w:color w:val="1D1D1F"/>
                <w:sz w:val="20"/>
              </w:rPr>
              <w:t>src/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Función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config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data_acquisition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transformations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Configuración, descarga y transformación de datos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stationarity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panel_unit_root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Raíz unitaria individual y en panel (ADF/PP/KPSS/ZA, CIPS)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panel_models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hausman_test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Panel de efectos fijos (Driscoll-Kraay), FE vs RE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cointegration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extensions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ARDL/Johansen/VECM, Gregory-Hansen, GARCH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var_irf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cycle_dating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VAR/IRF/FEVD, fechado del ciclo (Bry-Boschan)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robustness_extra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variance_ratio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market_comparison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FDR, betas, GJR, Local Projections, Lo-MacKinlay, H7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predictor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Extensión predictiva del precio del cobre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make_figures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full_tables</w:t>
            </w:r>
            <w:r>
              <w:rPr>
                <w:rFonts w:ascii="Segoe UI" w:hAnsi="Segoe UI"/>
                <w:sz w:val="20"/>
              </w:rPr>
              <w:t xml:space="preserve">, </w:t>
            </w:r>
            <w:r>
              <w:rPr>
                <w:rFonts w:ascii="Segoe UI" w:hAnsi="Segoe UI"/>
                <w:sz w:val="20"/>
              </w:rPr>
              <w:t>export_web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Figuras, anexos y datos para la plataforma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run_all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Orquestador del pipeline completo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701" w:right="1814" w:bottom="1474" w:left="181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E6E73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200"/>
      <w:jc w:val="left"/>
    </w:pPr>
    <w:rPr>
      <w:rFonts w:ascii="Segoe UI" w:hAnsi="Segoe UI"/>
      <w:color w:val="1D1D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jc w:val="left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0071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