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20"/>
      </w:pPr>
      <w:r>
        <w:rPr>
          <w:rFonts w:ascii="Segoe UI Semibold" w:hAnsi="Segoe UI Semibold"/>
          <w:color w:val="0071E3"/>
          <w:sz w:val="24"/>
          <w:spacing w:val="40"/>
        </w:rPr>
        <w:t>INVESTIGACIÓN · TESIS F. RIETTA</w:t>
      </w:r>
    </w:p>
    <w:p>
      <w:pPr>
        <w:spacing w:after="160" w:line="245" w:lineRule="auto"/>
      </w:pPr>
      <w:r>
        <w:rPr>
          <w:rFonts w:ascii="Segoe UI Semibold" w:hAnsi="Segoe UI Semibold"/>
          <w:color w:val="1D1D1F"/>
          <w:sz w:val="68"/>
        </w:rPr>
        <w:t>Revisión de Literatura</w:t>
      </w:r>
    </w:p>
    <w:p>
      <w:pPr>
        <w:spacing w:after="0" w:line="288" w:lineRule="auto"/>
      </w:pPr>
      <w:r>
        <w:rPr>
          <w:rFonts w:ascii="Segoe UI" w:hAnsi="Segoe UI"/>
          <w:color w:val="6E6E73"/>
          <w:sz w:val="30"/>
        </w:rPr>
        <w:t>Marco de antecedentes estructurado</w:t>
      </w:r>
    </w:p>
    <w:p>
      <w:pPr>
        <w:spacing w:after="0"/>
      </w:pPr>
    </w:p>
    <w:p>
      <w:pPr>
        <w:spacing w:before="160" w:after="280"/>
        <w:pBdr>
          <w:bottom w:val="single" w:sz="6" w:space="1" w:color="D2D2D7"/>
        </w:pBdr>
      </w:pPr>
    </w:p>
    <w:p>
      <w:pPr>
        <w:spacing w:after="40"/>
      </w:pPr>
      <w:r>
        <w:rPr>
          <w:rFonts w:ascii="Segoe UI Semibold" w:hAnsi="Segoe UI Semibold"/>
          <w:color w:val="1D1D1F"/>
          <w:sz w:val="21"/>
        </w:rPr>
        <w:t xml:space="preserve">Proyecto   </w:t>
      </w:r>
      <w:r>
        <w:rPr>
          <w:rFonts w:ascii="Segoe UI" w:hAnsi="Segoe UI"/>
          <w:color w:val="6E6E73"/>
          <w:sz w:val="21"/>
        </w:rPr>
        <w:t>Macroeconomía y retornos del sector cobre en Chile (2004–2024)</w:t>
      </w:r>
    </w:p>
    <w:p>
      <w:pPr>
        <w:spacing w:after="40"/>
      </w:pPr>
      <w:r>
        <w:rPr>
          <w:rFonts w:ascii="Segoe UI Semibold" w:hAnsi="Segoe UI Semibold"/>
          <w:color w:val="1D1D1F"/>
          <w:sz w:val="21"/>
        </w:rPr>
        <w:t xml:space="preserve">Documento   </w:t>
      </w:r>
      <w:r>
        <w:rPr>
          <w:rFonts w:ascii="Segoe UI" w:hAnsi="Segoe UI"/>
          <w:color w:val="6E6E73"/>
          <w:sz w:val="21"/>
        </w:rPr>
        <w:t>Revisión de Literatura</w:t>
      </w:r>
    </w:p>
    <w:p>
      <w:pPr>
        <w:spacing w:after="40"/>
      </w:pPr>
      <w:r>
        <w:rPr>
          <w:rFonts w:ascii="Segoe UI Semibold" w:hAnsi="Segoe UI Semibold"/>
          <w:color w:val="1D1D1F"/>
          <w:sz w:val="21"/>
        </w:rPr>
        <w:t xml:space="preserve">Formato   </w:t>
      </w:r>
      <w:r>
        <w:rPr>
          <w:rFonts w:ascii="Segoe UI" w:hAnsi="Segoe UI"/>
          <w:color w:val="6E6E73"/>
          <w:sz w:val="21"/>
        </w:rPr>
        <w:t>Estilo Apple · sugerencias MIT (sans serif, índice, enlaces)</w:t>
      </w:r>
    </w:p>
    <w:p>
      <w:r>
        <w:br w:type="page"/>
      </w:r>
    </w:p>
    <w:p>
      <w:pPr>
        <w:pStyle w:val="Heading1"/>
      </w:pPr>
      <w:r>
        <w:t>Mapa de revisión de literatura — Capítulo 2</w:t>
      </w:r>
    </w:p>
    <w:p>
      <w:r>
        <w:t xml:space="preserve">Estructura el Capítulo 2 en seis bloques, cada uno alineado con tus hipótesis y métodos. Para cada bloque: </w:t>
      </w:r>
      <w:r>
        <w:rPr>
          <w:b/>
        </w:rPr>
        <w:t>anclas seminales</w:t>
      </w:r>
      <w:r>
        <w:t xml:space="preserve"> (obras de referencia ampliamente citadas) + </w:t>
      </w:r>
      <w:r>
        <w:rPr>
          <w:b/>
        </w:rPr>
        <w:t>qué buscar tú</w:t>
      </w:r>
      <w:r>
        <w:t>.</w:t>
      </w:r>
    </w:p>
    <w:p>
      <w:pPr>
        <w:pStyle w:val="Heading2"/>
      </w:pPr>
      <w:r>
        <w:t>Bloque 2.1 — Determinantes macro de los retornos accionarios (marco teórico base)</w:t>
      </w:r>
    </w:p>
    <w:p>
      <w:r>
        <w:t>Sustenta el enfoque multifactorial (OE2, H1–H4, H6).</w:t>
      </w:r>
    </w:p>
    <w:p>
      <w:r>
        <w:rPr>
          <w:b/>
        </w:rPr>
        <w:t>Anclas seminales (verificar cita):</w:t>
      </w:r>
    </w:p>
    <w:p>
      <w:pPr>
        <w:pStyle w:val="ListBullet"/>
      </w:pPr>
      <w:r>
        <w:rPr>
          <w:b/>
        </w:rPr>
        <w:t>Ross (1976)</w:t>
      </w:r>
      <w:r>
        <w:t xml:space="preserve"> — </w:t>
      </w:r>
      <w:r>
        <w:rPr>
          <w:i/>
        </w:rPr>
        <w:t>Arbitrage Pricing Theory (APT)</w:t>
      </w:r>
      <w:r>
        <w:t>: base teórica de un modelo multifactorial donde factores sistemáticos (macro) explican retornos. Es tu marco conceptual central.</w:t>
      </w:r>
    </w:p>
    <w:p>
      <w:pPr>
        <w:pStyle w:val="ListBullet"/>
      </w:pPr>
      <w:r>
        <w:rPr>
          <w:b/>
        </w:rPr>
        <w:t>Chen, Roll &amp; Ross (1986), "Economic Forces and the Stock Market", *Journal of Business</w:t>
      </w:r>
      <w:r>
        <w:rPr>
          <w:i/>
        </w:rPr>
        <w:t xml:space="preserve"> — el paper fundacional que vincula variables macro (producción industrial, inflación, prima de riesgo, estructura temporal) con retornos accionarios. </w:t>
      </w:r>
      <w:r>
        <w:rPr>
          <w:i/>
        </w:rPr>
        <w:t>Cita obligada</w:t>
      </w:r>
      <w:r>
        <w:t>*: replica conceptualmente lo que tú haces para el sector cobre.</w:t>
      </w:r>
    </w:p>
    <w:p>
      <w:pPr>
        <w:pStyle w:val="ListBullet"/>
      </w:pPr>
      <w:r>
        <w:rPr>
          <w:b/>
        </w:rPr>
        <w:t>Fama &amp; French (1989, 1993)</w:t>
      </w:r>
      <w:r>
        <w:t xml:space="preserve"> — factores de riesgo y variables de estado macro-financieras.</w:t>
      </w:r>
    </w:p>
    <w:p>
      <w:pPr>
        <w:pStyle w:val="ListBullet"/>
      </w:pPr>
      <w:r>
        <w:rPr>
          <w:b/>
        </w:rPr>
        <w:t>Fama (1981), "Stock Returns, Real Activity, Inflation and Money"</w:t>
      </w:r>
      <w:r>
        <w:t xml:space="preserve"> — relación actividad real ↔ retornos.</w:t>
      </w:r>
    </w:p>
    <w:p>
      <w:r>
        <w:rPr>
          <w:b/>
        </w:rPr>
        <w:t>Qué buscar tú:</w:t>
      </w:r>
      <w:r>
        <w:t xml:space="preserve"> revisiones recientes (post-2010) de </w:t>
      </w:r>
      <w:r>
        <w:rPr>
          <w:i/>
        </w:rPr>
        <w:t>macro factors and stock returns</w:t>
      </w:r>
      <w:r>
        <w:t xml:space="preserve"> en mercados emergentes; meta-análisis si existen.</w:t>
      </w:r>
    </w:p>
    <w:p>
      <w:pPr>
        <w:pStyle w:val="Heading2"/>
      </w:pPr>
      <w:r>
        <w:t>Bloque 2.2 — Commodities y valoración de empresas mineras</w:t>
      </w:r>
    </w:p>
    <w:p>
      <w:r>
        <w:t xml:space="preserve">Sustenta H1 (canal del cobre) y el </w:t>
      </w:r>
      <w:r>
        <w:rPr>
          <w:i/>
        </w:rPr>
        <w:t>operating leverage</w:t>
      </w:r>
      <w:r>
        <w:t xml:space="preserve"> del sector.</w:t>
      </w:r>
    </w:p>
    <w:p>
      <w:r>
        <w:rPr>
          <w:b/>
        </w:rPr>
        <w:t>Anclas seminales (verificar cita):</w:t>
      </w:r>
    </w:p>
    <w:p>
      <w:pPr>
        <w:pStyle w:val="ListBullet"/>
      </w:pPr>
      <w:r>
        <w:rPr>
          <w:b/>
        </w:rPr>
        <w:t>Sadorsky (2001)</w:t>
      </w:r>
      <w:r>
        <w:t xml:space="preserve"> — impacto del precio del petróleo en retornos de empresas de energía (metodología trasladable: commodity → retornos sectoriales).</w:t>
      </w:r>
    </w:p>
    <w:p>
      <w:pPr>
        <w:pStyle w:val="ListBullet"/>
      </w:pPr>
      <w:r>
        <w:rPr>
          <w:b/>
        </w:rPr>
        <w:t>Boyer &amp; Filion (2007)</w:t>
      </w:r>
      <w:r>
        <w:t xml:space="preserve"> — determinantes de retornos de empresas canadienses de petróleo y gas (incluye precio del commodity, TC, tasas): </w:t>
      </w:r>
      <w:r>
        <w:rPr>
          <w:b/>
        </w:rPr>
        <w:t>plantilla metodológica muy cercana a tu tesis</w:t>
      </w:r>
      <w:r>
        <w:t>, cámbiala de energía a cobre.</w:t>
      </w:r>
    </w:p>
    <w:p>
      <w:pPr>
        <w:pStyle w:val="ListBullet"/>
      </w:pPr>
      <w:r>
        <w:t xml:space="preserve">Literatura de </w:t>
      </w:r>
      <w:r>
        <w:rPr>
          <w:i/>
        </w:rPr>
        <w:t>commodity price exposure</w:t>
      </w:r>
      <w:r>
        <w:t xml:space="preserve"> / </w:t>
      </w:r>
      <w:r>
        <w:rPr>
          <w:i/>
        </w:rPr>
        <w:t>resource-based firms</w:t>
      </w:r>
      <w:r>
        <w:t>.</w:t>
      </w:r>
    </w:p>
    <w:p>
      <w:r>
        <w:rPr>
          <w:b/>
        </w:rPr>
        <w:t>Qué buscar tú:</w:t>
      </w:r>
      <w:r>
        <w:t xml:space="preserve"> estudios específicos sobre </w:t>
      </w:r>
      <w:r>
        <w:rPr>
          <w:b/>
        </w:rPr>
        <w:t>acciones mineras</w:t>
      </w:r>
      <w:r>
        <w:t xml:space="preserve"> y precio de metales (cobre, oro); exposición de productoras a precios spot vs futuros. Términos: </w:t>
      </w:r>
      <w:r>
        <w:rPr>
          <w:i/>
        </w:rPr>
        <w:t>mining stocks copper price exposure</w:t>
      </w:r>
      <w:r>
        <w:t xml:space="preserve">, </w:t>
      </w:r>
      <w:r>
        <w:rPr>
          <w:i/>
        </w:rPr>
        <w:t>metal prices equity returns</w:t>
      </w:r>
      <w:r>
        <w:t>.</w:t>
      </w:r>
    </w:p>
    <w:p>
      <w:pPr>
        <w:pStyle w:val="Heading2"/>
      </w:pPr>
      <w:r>
        <w:t>Bloque 2.3 — Tipo de cambio y empresas exportadoras (exposición cambiaria)</w:t>
      </w:r>
    </w:p>
    <w:p>
      <w:r>
        <w:t>Sustenta H2 (el bloque con signo ambiguo y, por eso, más interesante).</w:t>
      </w:r>
    </w:p>
    <w:p>
      <w:r>
        <w:rPr>
          <w:b/>
        </w:rPr>
        <w:t>Anclas seminales (verificar cita):</w:t>
      </w:r>
    </w:p>
    <w:p>
      <w:pPr>
        <w:pStyle w:val="ListBullet"/>
      </w:pPr>
      <w:r>
        <w:rPr>
          <w:b/>
        </w:rPr>
        <w:t>Adler &amp; Dumas (1984)</w:t>
      </w:r>
      <w:r>
        <w:t xml:space="preserve"> — definición de </w:t>
      </w:r>
      <w:r>
        <w:rPr>
          <w:i/>
        </w:rPr>
        <w:t>exchange rate exposure</w:t>
      </w:r>
      <w:r>
        <w:t xml:space="preserve"> como elasticidad del valor de la firma al TC.</w:t>
      </w:r>
    </w:p>
    <w:p>
      <w:pPr>
        <w:pStyle w:val="ListBullet"/>
      </w:pPr>
      <w:r>
        <w:rPr>
          <w:b/>
        </w:rPr>
        <w:t>Jorion (1990), "The Exchange-Rate Exposure of U.S. Multinationals", *Journal of Business</w:t>
      </w:r>
      <w:r>
        <w:rPr>
          <w:i/>
        </w:rPr>
        <w:t xml:space="preserve"> — metodología estándar para medir exposición cambiaria vía regresión de retornos sobre variación del TC. </w:t>
      </w:r>
      <w:r>
        <w:rPr>
          <w:i/>
        </w:rPr>
        <w:t>Tu H2 se contrasta exactamente con esta forma funcional.</w:t>
      </w:r>
      <w:r>
        <w:t>*</w:t>
      </w:r>
    </w:p>
    <w:p>
      <w:pPr>
        <w:pStyle w:val="ListBullet"/>
      </w:pPr>
      <w:r>
        <w:rPr>
          <w:b/>
        </w:rPr>
        <w:t>Dominguez &amp; Tesar (2006)</w:t>
      </w:r>
      <w:r>
        <w:t xml:space="preserve"> — exposición cambiaria en varios países.</w:t>
      </w:r>
    </w:p>
    <w:p>
      <w:r>
        <w:rPr>
          <w:b/>
        </w:rPr>
        <w:t>Qué buscar tú:</w:t>
      </w:r>
      <w:r>
        <w:t xml:space="preserve"> exposición cambiaria en </w:t>
      </w:r>
      <w:r>
        <w:rPr>
          <w:b/>
        </w:rPr>
        <w:t>economías exportadoras de commodities</w:t>
      </w:r>
      <w:r>
        <w:t xml:space="preserve"> y en empresas chilenas; cómo el signo depende de la estructura ingresos-USD / costos-CLP.</w:t>
      </w:r>
    </w:p>
    <w:p>
      <w:pPr>
        <w:pStyle w:val="Heading2"/>
      </w:pPr>
      <w:r>
        <w:t>Bloque 2.4 — Cobre, tipo de cambio y la economía chilena (puente al caso país)</w:t>
      </w:r>
    </w:p>
    <w:p>
      <w:r>
        <w:t>Conecta el commodity con las variables locales (TC, EMBI, IMACEC). Clave para PI2/H6.</w:t>
      </w:r>
    </w:p>
    <w:p>
      <w:r>
        <w:rPr>
          <w:b/>
        </w:rPr>
        <w:t>Anclas seminales (verificar cita):</w:t>
      </w:r>
    </w:p>
    <w:p>
      <w:pPr>
        <w:pStyle w:val="ListBullet"/>
      </w:pPr>
      <w:r>
        <w:rPr>
          <w:b/>
        </w:rPr>
        <w:t>Chen, Rogoff &amp; Rossi (2010), "Can Exchange Rates Forecast Commodity Prices?", *Quarterly Journal of Economics</w:t>
      </w:r>
      <w:r>
        <w:t>* — relación TC de exportadores de commodities ↔ precios; Chile y el peso-cobre suelen aparecer en esta literatura.</w:t>
      </w:r>
    </w:p>
    <w:p>
      <w:pPr>
        <w:pStyle w:val="ListBullet"/>
      </w:pPr>
      <w:r>
        <w:rPr>
          <w:b/>
        </w:rPr>
        <w:t>Cashin, Céspedes &amp; Sahay (2004)</w:t>
      </w:r>
      <w:r>
        <w:t xml:space="preserve"> — </w:t>
      </w:r>
      <w:r>
        <w:rPr>
          <w:i/>
        </w:rPr>
        <w:t>commodity currencies</w:t>
      </w:r>
      <w:r>
        <w:t xml:space="preserve"> (el peso chileno como moneda-commodity).</w:t>
      </w:r>
    </w:p>
    <w:p>
      <w:pPr>
        <w:pStyle w:val="ListBullet"/>
      </w:pPr>
      <w:r>
        <w:t xml:space="preserve">Trabajos del </w:t>
      </w:r>
      <w:r>
        <w:rPr>
          <w:b/>
        </w:rPr>
        <w:t>Banco Central de Chile</w:t>
      </w:r>
      <w:r>
        <w:t xml:space="preserve"> (Documentos de Trabajo) y de </w:t>
      </w:r>
      <w:r>
        <w:rPr>
          <w:b/>
        </w:rPr>
        <w:t>Cochilco</w:t>
      </w:r>
      <w:r>
        <w:t xml:space="preserve"> sobre cobre y macroeconomía chilena.</w:t>
      </w:r>
    </w:p>
    <w:p>
      <w:r>
        <w:rPr>
          <w:b/>
        </w:rPr>
        <w:t>Qué buscar tú (PRIORITARIO, es tu vacío):</w:t>
      </w:r>
      <w:r>
        <w:t xml:space="preserve"> evidencia empírica chilena sobre </w:t>
      </w:r>
      <w:r>
        <w:rPr>
          <w:b/>
        </w:rPr>
        <w:t>cobre ↔ peso ↔ mercado accionario</w:t>
      </w:r>
      <w:r>
        <w:t>. Bases recomendadas:</w:t>
      </w:r>
    </w:p>
    <w:p>
      <w:pPr>
        <w:pStyle w:val="ListBullet"/>
      </w:pPr>
      <w:r>
        <w:rPr>
          <w:b/>
        </w:rPr>
        <w:t>SciELO Chile</w:t>
      </w:r>
      <w:r>
        <w:t xml:space="preserve"> y revistas locales (</w:t>
      </w:r>
      <w:r>
        <w:rPr>
          <w:i/>
        </w:rPr>
        <w:t>Revista de Análisis Económico</w:t>
      </w:r>
      <w:r>
        <w:t xml:space="preserve">, </w:t>
      </w:r>
      <w:r>
        <w:rPr>
          <w:i/>
        </w:rPr>
        <w:t>Estudios de Economía</w:t>
      </w:r>
      <w:r>
        <w:t xml:space="preserve">, </w:t>
      </w:r>
      <w:r>
        <w:rPr>
          <w:i/>
        </w:rPr>
        <w:t>El Trimestre Económico</w:t>
      </w:r>
      <w:r>
        <w:t>).</w:t>
      </w:r>
    </w:p>
    <w:p>
      <w:pPr>
        <w:pStyle w:val="ListBullet"/>
      </w:pPr>
      <w:r>
        <w:rPr>
          <w:b/>
        </w:rPr>
        <w:t>Documentos de Trabajo del BCCh</w:t>
      </w:r>
      <w:r>
        <w:t xml:space="preserve"> (bcentral.cl).</w:t>
      </w:r>
    </w:p>
    <w:p>
      <w:pPr>
        <w:pStyle w:val="ListBullet"/>
      </w:pPr>
      <w:r>
        <w:rPr>
          <w:b/>
        </w:rPr>
        <w:t>Google Scholar / Web of Science / Scopus</w:t>
      </w:r>
      <w:r>
        <w:t xml:space="preserve"> con: </w:t>
      </w:r>
      <w:r>
        <w:rPr>
          <w:i/>
        </w:rPr>
        <w:t>copper price Chilean stock market</w:t>
      </w:r>
      <w:r>
        <w:t xml:space="preserve">, </w:t>
      </w:r>
      <w:r>
        <w:rPr>
          <w:i/>
        </w:rPr>
        <w:t>cobre IPSA retornos</w:t>
      </w:r>
      <w:r>
        <w:t xml:space="preserve">, </w:t>
      </w:r>
      <w:r>
        <w:rPr>
          <w:i/>
        </w:rPr>
        <w:t>commodity Chile equity returns</w:t>
      </w:r>
      <w:r>
        <w:t>.</w:t>
      </w:r>
    </w:p>
    <w:p>
      <w:pPr>
        <w:pStyle w:val="Heading2"/>
      </w:pPr>
      <w:r>
        <w:t>Bloque 2.5 — Métodos econométricos (justificación metodológica)</w:t>
      </w:r>
    </w:p>
    <w:p>
      <w:r>
        <w:t>Respalda la elección de modelos del Capítulo 3 (OE1–OE5). Citar la fuente metodológica de cada técnica: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06"/>
        <w:gridCol w:w="4306"/>
      </w:tblGrid>
      <w:tr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Técnica</w:t>
            </w:r>
          </w:p>
        </w:tc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F5F5F7"/>
            <w:tcBorders>
              <w:bottom w:val="single" w:sz="6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b/>
                <w:color w:val="1D1D1F"/>
                <w:sz w:val="20"/>
              </w:rPr>
            </w:r>
            <w:r>
              <w:rPr>
                <w:rFonts w:ascii="Segoe UI" w:hAnsi="Segoe UI"/>
                <w:b/>
                <w:color w:val="1D1D1F"/>
                <w:sz w:val="20"/>
              </w:rPr>
              <w:t>Referencia metodológica ancla (verificar cita)</w:t>
            </w:r>
          </w:p>
        </w:tc>
      </w:tr>
      <w:tr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Raíz unitaria</w:t>
            </w:r>
          </w:p>
        </w:tc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Dickey &amp; Fuller (1979); Phillips &amp; Perron (1988); Kwiatkowski-Phillips-Schmidt-Shin (KPSS, 1992)</w:t>
            </w:r>
          </w:p>
        </w:tc>
      </w:tr>
      <w:tr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Quiebres estructurales</w:t>
            </w:r>
          </w:p>
        </w:tc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Zivot &amp; Andrews (1992); Bai &amp; Perron (2003)</w:t>
            </w:r>
          </w:p>
        </w:tc>
      </w:tr>
      <w:tr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Cointegración</w:t>
            </w:r>
          </w:p>
        </w:tc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Engle &amp; Granger (1987); Johansen (1988, 1991)</w:t>
            </w:r>
          </w:p>
        </w:tc>
      </w:tr>
      <w:tr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ARDL bounds</w:t>
            </w:r>
          </w:p>
        </w:tc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 xml:space="preserve">Pesaran, Shin &amp; Smith (2001), </w:t>
            </w:r>
            <w:r>
              <w:rPr>
                <w:rFonts w:ascii="Segoe UI" w:hAnsi="Segoe UI"/>
                <w:i/>
                <w:sz w:val="20"/>
              </w:rPr>
              <w:t>Journal of Applied Econometrics</w:t>
            </w:r>
          </w:p>
        </w:tc>
      </w:tr>
      <w:tr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VAR</w:t>
            </w:r>
          </w:p>
        </w:tc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 xml:space="preserve">Sims (1980), "Macroeconomics and Reality", </w:t>
            </w:r>
            <w:r>
              <w:rPr>
                <w:rFonts w:ascii="Segoe UI" w:hAnsi="Segoe UI"/>
                <w:i/>
                <w:sz w:val="20"/>
              </w:rPr>
              <w:t>Econometrica</w:t>
            </w:r>
          </w:p>
        </w:tc>
      </w:tr>
      <w:tr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Impulso-respuesta generalizada</w:t>
            </w:r>
          </w:p>
        </w:tc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Pesaran &amp; Shin (1998)</w:t>
            </w:r>
          </w:p>
        </w:tc>
      </w:tr>
      <w:tr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Panel: raíz unitaria</w:t>
            </w:r>
          </w:p>
        </w:tc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Im, Pesaran &amp; Shin (2003); Pesaran CIPS (2007)</w:t>
            </w:r>
          </w:p>
        </w:tc>
      </w:tr>
      <w:tr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Panel: cointegración</w:t>
            </w:r>
          </w:p>
        </w:tc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Pedroni (2004); Westerlund (2007)</w:t>
            </w:r>
          </w:p>
        </w:tc>
      </w:tr>
      <w:tr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Panel: errores robustos</w:t>
            </w:r>
          </w:p>
        </w:tc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Driscoll &amp; Kraay (1998)</w:t>
            </w:r>
          </w:p>
        </w:tc>
      </w:tr>
      <w:tr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Datación de ciclos</w:t>
            </w:r>
          </w:p>
        </w:tc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Bry &amp; Boschan (1971); Harding &amp; Pagan (2002)</w:t>
            </w:r>
          </w:p>
        </w:tc>
      </w:tr>
      <w:tr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Cambio de régimen</w:t>
            </w:r>
          </w:p>
        </w:tc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Hamilton (1989), modelo Markov-switching</w:t>
            </w:r>
          </w:p>
        </w:tc>
      </w:tr>
      <w:tr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Volatilidad</w:t>
            </w:r>
          </w:p>
        </w:tc>
        <w:tc>
          <w:tcPr>
            <w:tcW w:type="dxa" w:w="4306"/>
            <w:tcMar>
              <w:top w:w="80" w:type="dxa"/>
              <w:bottom w:w="80" w:type="dxa"/>
              <w:left w:w="110" w:type="dxa"/>
              <w:right w:w="110" w:type="dxa"/>
            </w:tcMar>
            <w:tcBorders>
              <w:bottom w:val="single" w:sz="4" w:space="0" w:color="D2D2D7"/>
            </w:tcBorders>
          </w:tcPr>
          <w:p>
            <w:pPr>
              <w:spacing w:after="40" w:line="252" w:lineRule="auto"/>
              <w:jc w:val="left"/>
            </w:pPr>
            <w:r>
              <w:rPr>
                <w:rFonts w:ascii="Segoe UI" w:hAnsi="Segoe UI"/>
                <w:sz w:val="20"/>
              </w:rPr>
            </w:r>
            <w:r>
              <w:rPr>
                <w:rFonts w:ascii="Segoe UI" w:hAnsi="Segoe UI"/>
                <w:sz w:val="20"/>
              </w:rPr>
              <w:t>Engle (1982, ARCH); Bollerslev (1986, GARCH)</w:t>
            </w:r>
          </w:p>
        </w:tc>
      </w:tr>
    </w:tbl>
    <w:p>
      <w:pPr>
        <w:spacing w:after="40"/>
      </w:pPr>
    </w:p>
    <w:p>
      <w:r>
        <w:rPr>
          <w:b/>
        </w:rPr>
        <w:t>Qué buscar tú:</w:t>
      </w:r>
      <w:r>
        <w:t xml:space="preserve"> aplicaciones recientes que combinen VAR/VECM con análisis por regímenes en mercados de commodities (justifica OE5).</w:t>
      </w:r>
    </w:p>
    <w:p>
      <w:pPr>
        <w:pStyle w:val="Heading2"/>
      </w:pPr>
      <w:r>
        <w:t>Bloque 2.6 — Síntesis e identificación del vacío (gap)</w:t>
      </w:r>
    </w:p>
    <w:p>
      <w:r>
        <w:t>Cierre del capítulo: argumenta por qué tu tesis aporta.</w:t>
      </w:r>
    </w:p>
    <w:p>
      <w:r>
        <w:rPr>
          <w:b/>
        </w:rPr>
        <w:t>Argumento del vacío (a desarrollar con tu evidencia):</w:t>
      </w:r>
    </w:p>
    <w:p>
      <w:pPr>
        <w:ind w:left="454" w:hanging="454"/>
      </w:pPr>
      <w:r>
        <w:t>1. La literatura internacional macro→retornos es abundante, pero está dominada por mercados desarrollados y por índices agregados.</w:t>
      </w:r>
    </w:p>
    <w:p>
      <w:pPr>
        <w:ind w:left="454" w:hanging="454"/>
      </w:pPr>
      <w:r>
        <w:t xml:space="preserve">2. La literatura de commodity→equity se concentra en </w:t>
      </w:r>
      <w:r>
        <w:rPr>
          <w:b/>
        </w:rPr>
        <w:t>energía</w:t>
      </w:r>
      <w:r>
        <w:t xml:space="preserve"> (petróleo/gas); el </w:t>
      </w:r>
      <w:r>
        <w:rPr>
          <w:b/>
        </w:rPr>
        <w:t>cobre</w:t>
      </w:r>
      <w:r>
        <w:t xml:space="preserve"> está menos estudiado a nivel de acciones.</w:t>
      </w:r>
    </w:p>
    <w:p>
      <w:pPr>
        <w:ind w:left="454" w:hanging="454"/>
      </w:pPr>
      <w:r>
        <w:t xml:space="preserve">3. La evidencia chilena vincula cobre con macro (TC, crecimiento), pero </w:t>
      </w:r>
      <w:r>
        <w:rPr>
          <w:b/>
        </w:rPr>
        <w:t>rara vez a nivel de valoración bursátil de las propias mineras</w:t>
      </w:r>
      <w:r>
        <w:t xml:space="preserve">, ni evaluando </w:t>
      </w:r>
      <w:r>
        <w:rPr>
          <w:b/>
        </w:rPr>
        <w:t>estabilidad por fases del ciclo</w:t>
      </w:r>
      <w:r>
        <w:t>.</w:t>
      </w:r>
    </w:p>
    <w:p>
      <w:pPr>
        <w:ind w:left="454" w:hanging="454"/>
      </w:pPr>
      <w:r>
        <w:t xml:space="preserve">4. Tu aporte: medición de impacto + cointegración + IRF + </w:t>
      </w:r>
      <w:r>
        <w:rPr>
          <w:b/>
        </w:rPr>
        <w:t>análisis por fases del ciclo del cobre</w:t>
      </w:r>
      <w:r>
        <w:t xml:space="preserve"> para el sector cobre con exposición a Chile.</w:t>
      </w:r>
    </w:p>
    <w:p>
      <w:pPr>
        <w:pStyle w:val="Heading2"/>
      </w:pPr>
      <w:r>
        <w:t>Estrategia de búsqueda y gestión bibliográfica</w:t>
      </w:r>
    </w:p>
    <w:p>
      <w:pPr>
        <w:pStyle w:val="ListBullet"/>
      </w:pPr>
      <w:r>
        <w:rPr>
          <w:b/>
        </w:rPr>
        <w:t>Bases:</w:t>
      </w:r>
      <w:r>
        <w:t xml:space="preserve"> Web of Science, Scopus, Google Scholar, SciELO, EconLit, SSRN, repositorio BCCh, Cochilco.</w:t>
      </w:r>
    </w:p>
    <w:p>
      <w:pPr>
        <w:pStyle w:val="ListBullet"/>
      </w:pPr>
      <w:r>
        <w:rPr>
          <w:b/>
        </w:rPr>
        <w:t>Palabras clave (combinar ES/EN):</w:t>
      </w:r>
      <w:r>
        <w:t xml:space="preserve"> </w:t>
      </w:r>
      <w:r>
        <w:rPr>
          <w:rFonts w:ascii="Consolas" w:hAnsi="Consolas"/>
          <w:sz w:val="20"/>
        </w:rPr>
        <w:t>copper price</w:t>
      </w:r>
      <w:r>
        <w:t xml:space="preserve"> / </w:t>
      </w:r>
      <w:r>
        <w:rPr>
          <w:rFonts w:ascii="Consolas" w:hAnsi="Consolas"/>
          <w:sz w:val="20"/>
        </w:rPr>
        <w:t>precio del cobre</w:t>
      </w:r>
      <w:r>
        <w:t xml:space="preserve">; </w:t>
      </w:r>
      <w:r>
        <w:rPr>
          <w:rFonts w:ascii="Consolas" w:hAnsi="Consolas"/>
          <w:sz w:val="20"/>
        </w:rPr>
        <w:t>stock returns</w:t>
      </w:r>
      <w:r>
        <w:t xml:space="preserve"> / </w:t>
      </w:r>
      <w:r>
        <w:rPr>
          <w:rFonts w:ascii="Consolas" w:hAnsi="Consolas"/>
          <w:sz w:val="20"/>
        </w:rPr>
        <w:t>retornos accionarios</w:t>
      </w:r>
      <w:r>
        <w:t xml:space="preserve">; </w:t>
      </w:r>
      <w:r>
        <w:rPr>
          <w:rFonts w:ascii="Consolas" w:hAnsi="Consolas"/>
          <w:sz w:val="20"/>
        </w:rPr>
        <w:t>mining equities</w:t>
      </w:r>
      <w:r>
        <w:t xml:space="preserve">; </w:t>
      </w:r>
      <w:r>
        <w:rPr>
          <w:rFonts w:ascii="Consolas" w:hAnsi="Consolas"/>
          <w:sz w:val="20"/>
        </w:rPr>
        <w:t>commodity currency</w:t>
      </w:r>
      <w:r>
        <w:t xml:space="preserve">; </w:t>
      </w:r>
      <w:r>
        <w:rPr>
          <w:rFonts w:ascii="Consolas" w:hAnsi="Consolas"/>
          <w:sz w:val="20"/>
        </w:rPr>
        <w:t>Chile</w:t>
      </w:r>
      <w:r>
        <w:t xml:space="preserve">; </w:t>
      </w:r>
      <w:r>
        <w:rPr>
          <w:rFonts w:ascii="Consolas" w:hAnsi="Consolas"/>
          <w:sz w:val="20"/>
        </w:rPr>
        <w:t>exchange rate exposure</w:t>
      </w:r>
      <w:r>
        <w:t xml:space="preserve">; </w:t>
      </w:r>
      <w:r>
        <w:rPr>
          <w:rFonts w:ascii="Consolas" w:hAnsi="Consolas"/>
          <w:sz w:val="20"/>
        </w:rPr>
        <w:t>APT macroeconomic factors</w:t>
      </w:r>
      <w:r>
        <w:t xml:space="preserve">; </w:t>
      </w:r>
      <w:r>
        <w:rPr>
          <w:rFonts w:ascii="Consolas" w:hAnsi="Consolas"/>
          <w:sz w:val="20"/>
        </w:rPr>
        <w:t>VECM commodity stock</w:t>
      </w:r>
      <w:r>
        <w:t>.</w:t>
      </w:r>
    </w:p>
    <w:p>
      <w:pPr>
        <w:pStyle w:val="ListBullet"/>
      </w:pPr>
      <w:r>
        <w:rPr>
          <w:b/>
        </w:rPr>
        <w:t>Gestor:</w:t>
      </w:r>
      <w:r>
        <w:t xml:space="preserve"> Zotero o Mendeley desde el inicio (exporta BibTeX para LaTeX/Word).</w:t>
      </w:r>
    </w:p>
    <w:p>
      <w:pPr>
        <w:pStyle w:val="ListBullet"/>
      </w:pPr>
      <w:r>
        <w:rPr>
          <w:b/>
        </w:rPr>
        <w:t>Criterio de inclusión:</w:t>
      </w:r>
      <w:r>
        <w:t xml:space="preserve"> prioriza (a) seminales metodológicos, (b) empíricos commodity→equity, (c) </w:t>
      </w:r>
      <w:r>
        <w:rPr>
          <w:b/>
        </w:rPr>
        <w:t>todo lo chileno</w:t>
      </w:r>
      <w:r>
        <w:t xml:space="preserve"> sobre cobre-macro-mercado.</w:t>
      </w:r>
    </w:p>
    <w:p>
      <w:pPr>
        <w:pStyle w:val="ListBullet"/>
      </w:pPr>
      <w:r>
        <w:rPr>
          <w:b/>
        </w:rPr>
        <w:t>Tabla de literatura:</w:t>
      </w:r>
      <w:r>
        <w:t xml:space="preserve"> mantén una matriz </w:t>
      </w:r>
      <w:r>
        <w:rPr>
          <w:rFonts w:ascii="Consolas" w:hAnsi="Consolas"/>
          <w:sz w:val="20"/>
        </w:rPr>
        <w:t>autor | año | datos | método | hallazgo | relación con mi tesis</w:t>
      </w:r>
      <w:r>
        <w:t xml:space="preserve"> — facilita escribir el 2.6 y defender el gap.</w:t>
      </w:r>
    </w:p>
    <w:sectPr w:rsidR="00FC693F" w:rsidRPr="0006063C" w:rsidSect="00034616">
      <w:footerReference w:type="default" r:id="rId9"/>
      <w:pgSz w:w="12240" w:h="15840"/>
      <w:pgMar w:top="1701" w:right="1814" w:bottom="1474" w:left="181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/>
        <w:color w:val="6E6E73"/>
        <w:sz w:val="18"/>
      </w:rPr>
      <w:fldChar w:fldCharType="begin"/>
      <w:instrText xml:space="preserve">PAGE</w:instrText>
      <w:fldChar w:fldCharType="separate"/>
      <w:instrText xml:space="preserve">1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6" w:lineRule="auto" w:after="200"/>
      <w:jc w:val="left"/>
    </w:pPr>
    <w:rPr>
      <w:rFonts w:ascii="Segoe UI" w:hAnsi="Segoe UI"/>
      <w:color w:val="1D1D1F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 w:line="264" w:lineRule="auto"/>
      <w:jc w:val="left"/>
      <w:outlineLvl w:val="0"/>
    </w:pPr>
    <w:rPr>
      <w:rFonts w:asciiTheme="majorHAnsi" w:eastAsiaTheme="majorEastAsia" w:hAnsiTheme="majorHAnsi" w:cstheme="majorBidi" w:ascii="Segoe UI Semibold" w:hAnsi="Segoe UI Semibold"/>
      <w:b w:val="0"/>
      <w:bCs/>
      <w:i w:val="0"/>
      <w:color w:val="1D1D1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80" w:line="264" w:lineRule="auto"/>
      <w:jc w:val="left"/>
      <w:outlineLvl w:val="1"/>
    </w:pPr>
    <w:rPr>
      <w:rFonts w:asciiTheme="majorHAnsi" w:eastAsiaTheme="majorEastAsia" w:hAnsiTheme="majorHAnsi" w:cstheme="majorBidi" w:ascii="Segoe UI Semibold" w:hAnsi="Segoe UI Semibold"/>
      <w:b w:val="0"/>
      <w:bCs/>
      <w:i w:val="0"/>
      <w:color w:val="1D1D1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80" w:line="264" w:lineRule="auto"/>
      <w:jc w:val="left"/>
      <w:outlineLvl w:val="2"/>
    </w:pPr>
    <w:rPr>
      <w:rFonts w:asciiTheme="majorHAnsi" w:eastAsiaTheme="majorEastAsia" w:hAnsiTheme="majorHAnsi" w:cstheme="majorBidi" w:ascii="Segoe UI Semibold" w:hAnsi="Segoe UI Semibold"/>
      <w:b w:val="0"/>
      <w:bCs/>
      <w:i w:val="0"/>
      <w:color w:val="0071E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