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8ED7E9" w14:textId="77777777" w:rsidR="00064C7C" w:rsidRDefault="00803E71">
      <w:pPr>
        <w:spacing w:after="40"/>
        <w:jc w:val="center"/>
      </w:pPr>
      <w:r>
        <w:rPr>
          <w:b/>
          <w:sz w:val="28"/>
        </w:rPr>
        <w:t>UNIVERSIDAD SAN SEBASTIÁN</w:t>
      </w:r>
    </w:p>
    <w:p w14:paraId="21FDC915" w14:textId="77777777" w:rsidR="00064C7C" w:rsidRDefault="00803E71">
      <w:pPr>
        <w:spacing w:after="800"/>
        <w:jc w:val="center"/>
      </w:pPr>
      <w:r>
        <w:t>Magíster en Data Science</w:t>
      </w:r>
    </w:p>
    <w:p w14:paraId="2017F064" w14:textId="77777777" w:rsidR="00064C7C" w:rsidRDefault="00803E71">
      <w:pPr>
        <w:spacing w:after="720"/>
        <w:jc w:val="center"/>
      </w:pPr>
      <w:r>
        <w:rPr>
          <w:b/>
          <w:sz w:val="34"/>
        </w:rPr>
        <w:t xml:space="preserve">Impacto de las variables macroeconómicas en los retornos accionarios de las empresas de cobre con exposición a Chile: una comparación entre el mercado bursátil internacional y el chileno, </w:t>
      </w:r>
      <w:r>
        <w:rPr>
          <w:b/>
          <w:sz w:val="34"/>
        </w:rPr>
        <w:t>2004–2024</w:t>
      </w:r>
    </w:p>
    <w:p w14:paraId="516DE3ED" w14:textId="77777777" w:rsidR="00064C7C" w:rsidRDefault="00803E71">
      <w:pPr>
        <w:spacing w:after="800"/>
        <w:jc w:val="center"/>
      </w:pPr>
      <w:r>
        <w:rPr>
          <w:i/>
        </w:rPr>
        <w:t>Tesis para optar al grado de Magíster en Data Science</w:t>
      </w:r>
    </w:p>
    <w:p w14:paraId="7FCDCC64" w14:textId="77777777" w:rsidR="00064C7C" w:rsidRDefault="00803E71">
      <w:pPr>
        <w:spacing w:after="40"/>
        <w:jc w:val="center"/>
      </w:pPr>
      <w:r>
        <w:t>Autor: Francisco Rietta</w:t>
      </w:r>
    </w:p>
    <w:p w14:paraId="15271B9B" w14:textId="77777777" w:rsidR="00064C7C" w:rsidRDefault="00803E71">
      <w:pPr>
        <w:spacing w:after="800"/>
        <w:jc w:val="center"/>
      </w:pPr>
      <w:r>
        <w:t>Profesor guía: [Nombre del profesor]</w:t>
      </w:r>
    </w:p>
    <w:p w14:paraId="185AC5C7" w14:textId="77777777" w:rsidR="00064C7C" w:rsidRDefault="00803E71">
      <w:pPr>
        <w:jc w:val="center"/>
      </w:pPr>
      <w:r>
        <w:t>Santiago, Chile — 2026</w:t>
      </w:r>
    </w:p>
    <w:p w14:paraId="6D622D2B" w14:textId="77777777" w:rsidR="00064C7C" w:rsidRDefault="00803E71">
      <w:r>
        <w:br w:type="page"/>
      </w:r>
    </w:p>
    <w:p w14:paraId="6A6BCE91" w14:textId="77777777" w:rsidR="00064C7C" w:rsidRDefault="00803E71">
      <w:pPr>
        <w:pStyle w:val="Ttulo1"/>
      </w:pPr>
      <w:bookmarkStart w:id="0" w:name="_Toc231075985"/>
      <w:r>
        <w:lastRenderedPageBreak/>
        <w:t>Resumen</w:t>
      </w:r>
      <w:bookmarkEnd w:id="0"/>
    </w:p>
    <w:p w14:paraId="44E08BEF" w14:textId="77777777" w:rsidR="00064C7C" w:rsidRDefault="00803E71">
      <w:r>
        <w:t>Esta investigación cuantifica y compara el impacto de las variables macroeconómicas globales y nacionales sobre los retornos accionarios de las empresas de cobre con exposición a Chile durante el período 2004–2024, contrastando su transmisión entre el mercado bursátil internacional y el chileno. Mediante un diseño de triangulación por tres muestras y un conjunto de modelos econométricos de series de tiempo y datos de panel —pruebas de raíz unitaria, panel de efectos fijos con errores Driscoll-Kraay, cointeg</w:t>
      </w:r>
      <w:r>
        <w:t>ración (ARDL/Johansen) y vectores autorregresivos con descomposición de varianza—, se evalúa la sensibilidad de los retornos a los factores macro-financieros, su estabilidad a lo largo de las fases del ciclo del cobre y la transmisión diferenciada entre mercados. La evidencia preliminar respalda al precio del cobre como principal determinante de los retornos y la dominancia de los factores globales sobre los locales.</w:t>
      </w:r>
    </w:p>
    <w:p w14:paraId="756521F1" w14:textId="77777777" w:rsidR="00064C7C" w:rsidRDefault="00803E71">
      <w:r>
        <w:rPr>
          <w:b/>
        </w:rPr>
        <w:t>Palabras clave:</w:t>
      </w:r>
      <w:r>
        <w:t xml:space="preserve"> cobre, retornos accionarios, variables macroeconómicas, Chile, datos de panel, cointegración, segmentación de mercados.</w:t>
      </w:r>
    </w:p>
    <w:p w14:paraId="43D41DC0" w14:textId="77777777" w:rsidR="00064C7C" w:rsidRDefault="00803E71">
      <w:r>
        <w:br w:type="page"/>
      </w:r>
    </w:p>
    <w:p w14:paraId="3B862AB0" w14:textId="77777777" w:rsidR="00064C7C" w:rsidRDefault="00803E71">
      <w:pPr>
        <w:pStyle w:val="Ttulo1"/>
      </w:pPr>
      <w:bookmarkStart w:id="1" w:name="_Toc231075986"/>
      <w:r>
        <w:lastRenderedPageBreak/>
        <w:t>Índice</w:t>
      </w:r>
      <w:bookmarkEnd w:id="1"/>
    </w:p>
    <w:p w14:paraId="1428A734" w14:textId="4F38ADFE" w:rsidR="00803E71" w:rsidRDefault="00803E71">
      <w:pPr>
        <w:pStyle w:val="TDC1"/>
        <w:tabs>
          <w:tab w:val="right" w:leader="dot" w:pos="8832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1075985" w:history="1">
        <w:r w:rsidRPr="00336065">
          <w:rPr>
            <w:rStyle w:val="Hipervnculo"/>
            <w:noProof/>
          </w:rPr>
          <w:t>Resumen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6A325C4" w14:textId="75DE89EA" w:rsidR="00803E71" w:rsidRDefault="00803E71">
      <w:pPr>
        <w:pStyle w:val="TDC1"/>
        <w:tabs>
          <w:tab w:val="right" w:leader="dot" w:pos="8832"/>
        </w:tabs>
        <w:rPr>
          <w:noProof/>
        </w:rPr>
      </w:pPr>
      <w:hyperlink w:anchor="_Toc231075986" w:history="1">
        <w:r w:rsidRPr="00336065">
          <w:rPr>
            <w:rStyle w:val="Hipervnculo"/>
            <w:noProof/>
          </w:rPr>
          <w:t>Índice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ECD307" w14:textId="27AE384E" w:rsidR="00803E71" w:rsidRDefault="00803E71">
      <w:pPr>
        <w:pStyle w:val="TDC1"/>
        <w:tabs>
          <w:tab w:val="right" w:leader="dot" w:pos="8832"/>
        </w:tabs>
        <w:rPr>
          <w:noProof/>
        </w:rPr>
      </w:pPr>
      <w:hyperlink w:anchor="_Toc231075987" w:history="1">
        <w:r w:rsidRPr="00336065">
          <w:rPr>
            <w:rStyle w:val="Hipervnculo"/>
            <w:noProof/>
          </w:rPr>
          <w:t>Capítulo 1 —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7689313" w14:textId="24E6BDAE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5988" w:history="1">
        <w:r w:rsidRPr="00336065">
          <w:rPr>
            <w:rStyle w:val="Hipervnculo"/>
            <w:noProof/>
          </w:rPr>
          <w:t>1.1 Contextualización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1DF3086" w14:textId="11262FA9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5989" w:history="1">
        <w:r w:rsidRPr="00336065">
          <w:rPr>
            <w:rStyle w:val="Hipervnculo"/>
            <w:noProof/>
          </w:rPr>
          <w:t>1.2 Problema de investigación y justificación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A553874" w14:textId="58EEAAE2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5990" w:history="1">
        <w:r w:rsidRPr="00336065">
          <w:rPr>
            <w:rStyle w:val="Hipervnculo"/>
            <w:noProof/>
          </w:rPr>
          <w:t>1.3 Pregunta y objetivos de investigación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263A7B0" w14:textId="4B99FD40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5991" w:history="1">
        <w:r w:rsidRPr="00336065">
          <w:rPr>
            <w:rStyle w:val="Hipervnculo"/>
            <w:noProof/>
          </w:rPr>
          <w:t>1.4 Hipótesis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424EAD9" w14:textId="15045DA9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5992" w:history="1">
        <w:r w:rsidRPr="00336065">
          <w:rPr>
            <w:rStyle w:val="Hipervnculo"/>
            <w:noProof/>
          </w:rPr>
          <w:t>1.5 Aspectos metodológicos y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7524D7E" w14:textId="3ADB59F5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5993" w:history="1">
        <w:r w:rsidRPr="00336065">
          <w:rPr>
            <w:rStyle w:val="Hipervnculo"/>
            <w:noProof/>
          </w:rPr>
          <w:t>1.6 Aportes esperados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B739943" w14:textId="65262505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5994" w:history="1">
        <w:r w:rsidRPr="00336065">
          <w:rPr>
            <w:rStyle w:val="Hipervnculo"/>
            <w:noProof/>
          </w:rPr>
          <w:t>1.7 Estructura de la tesis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CCB8BE9" w14:textId="244712BD" w:rsidR="00803E71" w:rsidRDefault="00803E71">
      <w:pPr>
        <w:pStyle w:val="TDC1"/>
        <w:tabs>
          <w:tab w:val="right" w:leader="dot" w:pos="8832"/>
        </w:tabs>
        <w:rPr>
          <w:noProof/>
        </w:rPr>
      </w:pPr>
      <w:hyperlink w:anchor="_Toc231075995" w:history="1">
        <w:r w:rsidRPr="00336065">
          <w:rPr>
            <w:rStyle w:val="Hipervnculo"/>
            <w:noProof/>
          </w:rPr>
          <w:t>Capítulo 2 — Marco teórico y revisión de 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7C34B21" w14:textId="742D86C7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5996" w:history="1">
        <w:r w:rsidRPr="00336065">
          <w:rPr>
            <w:rStyle w:val="Hipervnculo"/>
            <w:noProof/>
          </w:rPr>
          <w:t>2.1 Determinantes macroeconómicos de los retornos accionarios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A25F087" w14:textId="20E86C82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5997" w:history="1">
        <w:r w:rsidRPr="00336065">
          <w:rPr>
            <w:rStyle w:val="Hipervnculo"/>
            <w:noProof/>
          </w:rPr>
          <w:t>2.2 Precios de commodities y valoración de empresas mineras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C894614" w14:textId="429142C6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5998" w:history="1">
        <w:r w:rsidRPr="00336065">
          <w:rPr>
            <w:rStyle w:val="Hipervnculo"/>
            <w:noProof/>
          </w:rPr>
          <w:t>2.3 Tipo de cambio y exposición de empresas exportadoras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95261B4" w14:textId="0855636D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5999" w:history="1">
        <w:r w:rsidRPr="00336065">
          <w:rPr>
            <w:rStyle w:val="Hipervnculo"/>
            <w:noProof/>
          </w:rPr>
          <w:t>2.4 Cobre, tipo de cambio y la economía chilena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87B1AB9" w14:textId="33DD640D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6000" w:history="1">
        <w:r w:rsidRPr="00336065">
          <w:rPr>
            <w:rStyle w:val="Hipervnculo"/>
            <w:noProof/>
          </w:rPr>
          <w:t>2.5 Eficiencia informacional y segmentación de mercados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5BCE701" w14:textId="6A4F5C06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6001" w:history="1">
        <w:r w:rsidRPr="00336065">
          <w:rPr>
            <w:rStyle w:val="Hipervnculo"/>
            <w:noProof/>
          </w:rPr>
          <w:t>2.6 Enfoques econométricos para la medición de impacto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AF6C2E5" w14:textId="30E67E07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6002" w:history="1">
        <w:r w:rsidRPr="00336065">
          <w:rPr>
            <w:rStyle w:val="Hipervnculo"/>
            <w:noProof/>
          </w:rPr>
          <w:t>2.7 Síntesis e identificación del vacío de investigación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79F8124" w14:textId="0ECA059E" w:rsidR="00803E71" w:rsidRDefault="00803E71">
      <w:pPr>
        <w:pStyle w:val="TDC3"/>
        <w:tabs>
          <w:tab w:val="right" w:leader="dot" w:pos="8832"/>
        </w:tabs>
        <w:rPr>
          <w:noProof/>
        </w:rPr>
      </w:pPr>
      <w:hyperlink w:anchor="_Toc231076003" w:history="1">
        <w:r w:rsidRPr="00336065">
          <w:rPr>
            <w:rStyle w:val="Hipervnculo"/>
            <w:noProof/>
          </w:rPr>
          <w:t>Nota sobre la tabla de 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D2A1386" w14:textId="5CD2CA83" w:rsidR="00803E71" w:rsidRDefault="00803E71">
      <w:pPr>
        <w:pStyle w:val="TDC1"/>
        <w:tabs>
          <w:tab w:val="right" w:leader="dot" w:pos="8832"/>
        </w:tabs>
        <w:rPr>
          <w:noProof/>
        </w:rPr>
      </w:pPr>
      <w:hyperlink w:anchor="_Toc231076004" w:history="1">
        <w:r w:rsidRPr="00336065">
          <w:rPr>
            <w:rStyle w:val="Hipervnculo"/>
            <w:noProof/>
          </w:rPr>
          <w:t>Capítulo 3 — Datos y metodología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23BE687" w14:textId="0249AE8C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6005" w:history="1">
        <w:r w:rsidRPr="00336065">
          <w:rPr>
            <w:rStyle w:val="Hipervnculo"/>
            <w:noProof/>
          </w:rPr>
          <w:t>3.1 Definición del universo de empresas y período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F07A3C8" w14:textId="77AD9D9B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6006" w:history="1">
        <w:r w:rsidRPr="00336065">
          <w:rPr>
            <w:rStyle w:val="Hipervnculo"/>
            <w:noProof/>
          </w:rPr>
          <w:t>3.2 Variable dependiente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3230839" w14:textId="1DD43923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6007" w:history="1">
        <w:r w:rsidRPr="00336065">
          <w:rPr>
            <w:rStyle w:val="Hipervnculo"/>
            <w:noProof/>
          </w:rPr>
          <w:t>3.3 Variables explicativas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1FF4102" w14:textId="3D31DDD7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6008" w:history="1">
        <w:r w:rsidRPr="00336065">
          <w:rPr>
            <w:rStyle w:val="Hipervnculo"/>
            <w:noProof/>
          </w:rPr>
          <w:t>3.4 Tratamiento de datos y frecuencias mixtas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86DBC73" w14:textId="6B7F7AE9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6009" w:history="1">
        <w:r w:rsidRPr="00336065">
          <w:rPr>
            <w:rStyle w:val="Hipervnculo"/>
            <w:noProof/>
          </w:rPr>
          <w:t>3.5 Datación de las fases del ciclo del cobre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4E34FA3" w14:textId="1F60C646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6010" w:history="1">
        <w:r w:rsidRPr="00336065">
          <w:rPr>
            <w:rStyle w:val="Hipervnculo"/>
            <w:noProof/>
          </w:rPr>
          <w:t>3.6 Estrategia econométrica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F72DB1B" w14:textId="3799E5C4" w:rsidR="00803E71" w:rsidRDefault="00803E71">
      <w:pPr>
        <w:pStyle w:val="TDC3"/>
        <w:tabs>
          <w:tab w:val="right" w:leader="dot" w:pos="8832"/>
        </w:tabs>
        <w:rPr>
          <w:noProof/>
        </w:rPr>
      </w:pPr>
      <w:hyperlink w:anchor="_Toc231076011" w:history="1">
        <w:r w:rsidRPr="00336065">
          <w:rPr>
            <w:rStyle w:val="Hipervnculo"/>
            <w:noProof/>
          </w:rPr>
          <w:t>3.6.1 Estacionariedad y orden de integración (OE1)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44C922C" w14:textId="5EA15B17" w:rsidR="00803E71" w:rsidRDefault="00803E71">
      <w:pPr>
        <w:pStyle w:val="TDC3"/>
        <w:tabs>
          <w:tab w:val="right" w:leader="dot" w:pos="8832"/>
        </w:tabs>
        <w:rPr>
          <w:noProof/>
        </w:rPr>
      </w:pPr>
      <w:hyperlink w:anchor="_Toc231076012" w:history="1">
        <w:r w:rsidRPr="00336065">
          <w:rPr>
            <w:rStyle w:val="Hipervnculo"/>
            <w:noProof/>
          </w:rPr>
          <w:t>3.6.2 Modelo de impacto: panel de efectos fijos (OE2)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8906319" w14:textId="2E217396" w:rsidR="00803E71" w:rsidRDefault="00803E71">
      <w:pPr>
        <w:pStyle w:val="TDC3"/>
        <w:tabs>
          <w:tab w:val="right" w:leader="dot" w:pos="8832"/>
        </w:tabs>
        <w:rPr>
          <w:noProof/>
        </w:rPr>
      </w:pPr>
      <w:hyperlink w:anchor="_Toc231076013" w:history="1">
        <w:r w:rsidRPr="00336065">
          <w:rPr>
            <w:rStyle w:val="Hipervnculo"/>
            <w:noProof/>
          </w:rPr>
          <w:t>3.6.3 Relaciones de largo plazo: cointegración (OE3)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6368A00" w14:textId="6A863516" w:rsidR="00803E71" w:rsidRDefault="00803E71">
      <w:pPr>
        <w:pStyle w:val="TDC3"/>
        <w:tabs>
          <w:tab w:val="right" w:leader="dot" w:pos="8832"/>
        </w:tabs>
        <w:rPr>
          <w:noProof/>
        </w:rPr>
      </w:pPr>
      <w:hyperlink w:anchor="_Toc231076014" w:history="1">
        <w:r w:rsidRPr="00336065">
          <w:rPr>
            <w:rStyle w:val="Hipervnculo"/>
            <w:noProof/>
          </w:rPr>
          <w:t>3.6.4 Dinámica de shocks: VAR, impulso-respuesta y descomposición de varianza (OE4)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5590CA0" w14:textId="1C22275C" w:rsidR="00803E71" w:rsidRDefault="00803E71">
      <w:pPr>
        <w:pStyle w:val="TDC3"/>
        <w:tabs>
          <w:tab w:val="right" w:leader="dot" w:pos="8832"/>
        </w:tabs>
        <w:rPr>
          <w:noProof/>
        </w:rPr>
      </w:pPr>
      <w:hyperlink w:anchor="_Toc231076015" w:history="1">
        <w:r w:rsidRPr="00336065">
          <w:rPr>
            <w:rStyle w:val="Hipervnculo"/>
            <w:noProof/>
          </w:rPr>
          <w:t>3.6.5 Estabilidad por fases del ciclo (OE5)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4461BCF" w14:textId="4AC61DB9" w:rsidR="00803E71" w:rsidRDefault="00803E71">
      <w:pPr>
        <w:pStyle w:val="TDC3"/>
        <w:tabs>
          <w:tab w:val="right" w:leader="dot" w:pos="8832"/>
        </w:tabs>
        <w:rPr>
          <w:noProof/>
        </w:rPr>
      </w:pPr>
      <w:hyperlink w:anchor="_Toc231076016" w:history="1">
        <w:r w:rsidRPr="00336065">
          <w:rPr>
            <w:rStyle w:val="Hipervnculo"/>
            <w:noProof/>
          </w:rPr>
          <w:t>3.6.6 Comparación entre mercados: triangulación (OE6)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0A5AB32" w14:textId="1C48B660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6017" w:history="1">
        <w:r w:rsidRPr="00336065">
          <w:rPr>
            <w:rStyle w:val="Hipervnculo"/>
            <w:noProof/>
          </w:rPr>
          <w:t>3.7 Validación de supuestos y robustez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EA54C37" w14:textId="2A75C6A8" w:rsidR="00803E71" w:rsidRDefault="00803E71">
      <w:pPr>
        <w:pStyle w:val="TDC3"/>
        <w:tabs>
          <w:tab w:val="right" w:leader="dot" w:pos="8832"/>
        </w:tabs>
        <w:rPr>
          <w:noProof/>
        </w:rPr>
      </w:pPr>
      <w:hyperlink w:anchor="_Toc231076018" w:history="1">
        <w:r w:rsidRPr="00336065">
          <w:rPr>
            <w:rStyle w:val="Hipervnculo"/>
            <w:noProof/>
          </w:rPr>
          <w:t>Tabla 3.1 — Definición operativa de variables (resumen)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669DCE1" w14:textId="1EB175E5" w:rsidR="00803E71" w:rsidRDefault="00803E71">
      <w:pPr>
        <w:pStyle w:val="TDC1"/>
        <w:tabs>
          <w:tab w:val="right" w:leader="dot" w:pos="8832"/>
        </w:tabs>
        <w:rPr>
          <w:noProof/>
        </w:rPr>
      </w:pPr>
      <w:hyperlink w:anchor="_Toc231076019" w:history="1">
        <w:r w:rsidRPr="00336065">
          <w:rPr>
            <w:rStyle w:val="Hipervnculo"/>
            <w:noProof/>
          </w:rPr>
          <w:t>Capítulo 4 — Resultados y discusión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64B95B5" w14:textId="6103F1B4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6020" w:history="1">
        <w:r w:rsidRPr="00336065">
          <w:rPr>
            <w:rStyle w:val="Hipervnculo"/>
            <w:noProof/>
          </w:rPr>
          <w:t>4.1 Análisis descriptivo y propiedades de las series (OE1)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CBAFECC" w14:textId="487C8B3B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6021" w:history="1">
        <w:r w:rsidRPr="00336065">
          <w:rPr>
            <w:rStyle w:val="Hipervnculo"/>
            <w:noProof/>
          </w:rPr>
          <w:t>4.2 Determinantes de los retornos: global vs local (OE2)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CCD9ADE" w14:textId="3CA97376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6022" w:history="1">
        <w:r w:rsidRPr="00336065">
          <w:rPr>
            <w:rStyle w:val="Hipervnculo"/>
            <w:noProof/>
          </w:rPr>
          <w:t>4.3 Relaciones de largo plazo (OE3)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6BB30C7" w14:textId="07390F38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6023" w:history="1">
        <w:r w:rsidRPr="00336065">
          <w:rPr>
            <w:rStyle w:val="Hipervnculo"/>
            <w:noProof/>
          </w:rPr>
          <w:t>4.4 Dinámica de shocks (OE4)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64B457F" w14:textId="12419364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6024" w:history="1">
        <w:r w:rsidRPr="00336065">
          <w:rPr>
            <w:rStyle w:val="Hipervnculo"/>
            <w:noProof/>
          </w:rPr>
          <w:t>4.5 Estabilidad por fases del ciclo del cobre (OE5)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0B5CEB7" w14:textId="7F8A8839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6025" w:history="1">
        <w:r w:rsidRPr="00336065">
          <w:rPr>
            <w:rStyle w:val="Hipervnculo"/>
            <w:noProof/>
          </w:rPr>
          <w:t>4.6 Comparación entre mercados: triangulación (OE6)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9C7F116" w14:textId="07CB1976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6026" w:history="1">
        <w:r w:rsidRPr="00336065">
          <w:rPr>
            <w:rStyle w:val="Hipervnculo"/>
            <w:noProof/>
          </w:rPr>
          <w:t>4.7 Discusión integrada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678B214" w14:textId="3110CBD2" w:rsidR="00803E71" w:rsidRDefault="00803E71">
      <w:pPr>
        <w:pStyle w:val="TDC1"/>
        <w:tabs>
          <w:tab w:val="right" w:leader="dot" w:pos="8832"/>
        </w:tabs>
        <w:rPr>
          <w:noProof/>
        </w:rPr>
      </w:pPr>
      <w:hyperlink w:anchor="_Toc231076027" w:history="1">
        <w:r w:rsidRPr="00336065">
          <w:rPr>
            <w:rStyle w:val="Hipervnculo"/>
            <w:noProof/>
          </w:rPr>
          <w:t>Capítulo 5 — 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F54A859" w14:textId="6E816AF0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6028" w:history="1">
        <w:r w:rsidRPr="00336065">
          <w:rPr>
            <w:rStyle w:val="Hipervnculo"/>
            <w:noProof/>
          </w:rPr>
          <w:t>5.1 Síntesis de los hallazgos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DCB1435" w14:textId="259BC102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6029" w:history="1">
        <w:r w:rsidRPr="00336065">
          <w:rPr>
            <w:rStyle w:val="Hipervnculo"/>
            <w:noProof/>
          </w:rPr>
          <w:t>5.2 Implicancias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2D2FFBC" w14:textId="6330078F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6030" w:history="1">
        <w:r w:rsidRPr="00336065">
          <w:rPr>
            <w:rStyle w:val="Hipervnculo"/>
            <w:noProof/>
          </w:rPr>
          <w:t>5.3 Limitaciones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3A997E7" w14:textId="1C6B1CA9" w:rsidR="00803E71" w:rsidRDefault="00803E71">
      <w:pPr>
        <w:pStyle w:val="TDC2"/>
        <w:tabs>
          <w:tab w:val="right" w:leader="dot" w:pos="8832"/>
        </w:tabs>
        <w:rPr>
          <w:noProof/>
        </w:rPr>
      </w:pPr>
      <w:hyperlink w:anchor="_Toc231076031" w:history="1">
        <w:r w:rsidRPr="00336065">
          <w:rPr>
            <w:rStyle w:val="Hipervnculo"/>
            <w:noProof/>
          </w:rPr>
          <w:t>5.4 Líneas futuras de investigación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C355321" w14:textId="6695D070" w:rsidR="00803E71" w:rsidRDefault="00803E71">
      <w:pPr>
        <w:pStyle w:val="TDC1"/>
        <w:tabs>
          <w:tab w:val="right" w:leader="dot" w:pos="8832"/>
        </w:tabs>
        <w:rPr>
          <w:noProof/>
        </w:rPr>
      </w:pPr>
      <w:hyperlink w:anchor="_Toc231076032" w:history="1">
        <w:r w:rsidRPr="00336065">
          <w:rPr>
            <w:rStyle w:val="Hipervnculo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_Toc231076032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52076E8" w14:textId="24C30D81" w:rsidR="00064C7C" w:rsidRDefault="00803E71">
      <w:r>
        <w:lastRenderedPageBreak/>
        <w:fldChar w:fldCharType="end"/>
      </w:r>
    </w:p>
    <w:p w14:paraId="697E7B5E" w14:textId="77777777" w:rsidR="00064C7C" w:rsidRDefault="00803E71">
      <w:r>
        <w:br w:type="page"/>
      </w:r>
    </w:p>
    <w:p w14:paraId="344FC43A" w14:textId="77777777" w:rsidR="00064C7C" w:rsidRDefault="00803E71">
      <w:pPr>
        <w:pStyle w:val="Ttulo1"/>
      </w:pPr>
      <w:bookmarkStart w:id="2" w:name="_Toc231075987"/>
      <w:r>
        <w:lastRenderedPageBreak/>
        <w:t>Capítulo 1 — Introducción</w:t>
      </w:r>
      <w:bookmarkEnd w:id="2"/>
    </w:p>
    <w:p w14:paraId="7327C14E" w14:textId="77777777" w:rsidR="00064C7C" w:rsidRDefault="00803E71">
      <w:pPr>
        <w:pStyle w:val="Ttulo2"/>
      </w:pPr>
      <w:bookmarkStart w:id="3" w:name="_Toc231075988"/>
      <w:r>
        <w:t>1.1 Contextualización</w:t>
      </w:r>
      <w:bookmarkEnd w:id="3"/>
    </w:p>
    <w:p w14:paraId="572FBE2D" w14:textId="77777777" w:rsidR="00064C7C" w:rsidRDefault="00803E71">
      <w:r>
        <w:t>El cobre ocupa un lugar estructural en la economía chilena. Chile es el principal productor</w:t>
      </w:r>
    </w:p>
    <w:p w14:paraId="5D9FB377" w14:textId="77777777" w:rsidR="00064C7C" w:rsidRDefault="00803E71">
      <w:r>
        <w:t>mundial de cobre, y este metal representa una fracción central de sus exportaciones y un aporte</w:t>
      </w:r>
    </w:p>
    <w:p w14:paraId="52B4C461" w14:textId="77777777" w:rsidR="00064C7C" w:rsidRDefault="00803E71">
      <w:r>
        <w:t>significativo a los ingresos fiscales y al producto. [COMPLETAR: participación del cobre en las</w:t>
      </w:r>
    </w:p>
    <w:p w14:paraId="7BDEA982" w14:textId="77777777" w:rsidR="00064C7C" w:rsidRDefault="00803E71">
      <w:r>
        <w:t>exportaciones totales y en el PIB, con cifra y año, fuente Cochilco / Banco Central de Chile.]</w:t>
      </w:r>
    </w:p>
    <w:p w14:paraId="2819CC20" w14:textId="77777777" w:rsidR="00064C7C" w:rsidRDefault="00803E71">
      <w:r>
        <w:t>Esta dependencia convierte al precio del cobre en una variable macroeconómica de primer orden</w:t>
      </w:r>
    </w:p>
    <w:p w14:paraId="00B8B0AF" w14:textId="77777777" w:rsidR="00064C7C" w:rsidRDefault="00803E71">
      <w:r>
        <w:t>para el país, con efectos documentados sobre el tipo de cambio, las cuentas externas y el ciclo</w:t>
      </w:r>
    </w:p>
    <w:p w14:paraId="485EE0DF" w14:textId="77777777" w:rsidR="00064C7C" w:rsidRDefault="00803E71">
      <w:r>
        <w:t>económico nacional.</w:t>
      </w:r>
    </w:p>
    <w:p w14:paraId="7AE5A6CC" w14:textId="77777777" w:rsidR="00064C7C" w:rsidRDefault="00803E71">
      <w:r>
        <w:t>En el plano financiero, las empresas dedicadas a la extracción y procesamiento de cobre</w:t>
      </w:r>
    </w:p>
    <w:p w14:paraId="573CD8F8" w14:textId="77777777" w:rsidR="00064C7C" w:rsidRDefault="00803E71">
      <w:r>
        <w:t>constituyen un sector cuya valoración bursátil está, en principio, estrechamente ligada a la</w:t>
      </w:r>
    </w:p>
    <w:p w14:paraId="545C7B7B" w14:textId="77777777" w:rsidR="00064C7C" w:rsidRDefault="00803E71">
      <w:r>
        <w:t>evolución del precio del metal y a las condiciones macroeconómicas globales y locales. Sin</w:t>
      </w:r>
    </w:p>
    <w:p w14:paraId="7AFA1245" w14:textId="77777777" w:rsidR="00064C7C" w:rsidRDefault="00803E71">
      <w:r>
        <w:t xml:space="preserve">embargo, la magnitud, el signo y la estabilidad de esa relación no son </w:t>
      </w:r>
      <w:r>
        <w:t>evidentes a priori:</w:t>
      </w:r>
    </w:p>
    <w:p w14:paraId="669BD32E" w14:textId="77777777" w:rsidR="00064C7C" w:rsidRDefault="00803E71">
      <w:r>
        <w:t>dependen de la estructura de ingresos y costos de las empresas, de su exposición cambiaria, del</w:t>
      </w:r>
    </w:p>
    <w:p w14:paraId="03017E21" w14:textId="77777777" w:rsidR="00064C7C" w:rsidRDefault="00803E71">
      <w:r>
        <w:t>entorno de tasas de interés y del apetito por riesgo de los mercados internacionales. Cuantificar</w:t>
      </w:r>
    </w:p>
    <w:p w14:paraId="6B507979" w14:textId="77777777" w:rsidR="00064C7C" w:rsidRDefault="00803E71">
      <w:r>
        <w:t>empíricamente esta relación, para el caso específico de las empresas de minería de cobre con</w:t>
      </w:r>
    </w:p>
    <w:p w14:paraId="09510DB9" w14:textId="77777777" w:rsidR="00064C7C" w:rsidRDefault="00803E71">
      <w:r>
        <w:t>exposición a Chile, es el propósito de esta investigación.</w:t>
      </w:r>
    </w:p>
    <w:p w14:paraId="058838DE" w14:textId="77777777" w:rsidR="00064C7C" w:rsidRDefault="00803E71">
      <w:pPr>
        <w:pStyle w:val="Ttulo2"/>
      </w:pPr>
      <w:bookmarkStart w:id="4" w:name="_Toc231075989"/>
      <w:r>
        <w:lastRenderedPageBreak/>
        <w:t>1.2 Problema de investigación y justificación</w:t>
      </w:r>
      <w:bookmarkEnd w:id="4"/>
    </w:p>
    <w:p w14:paraId="55FA5B23" w14:textId="77777777" w:rsidR="00064C7C" w:rsidRDefault="00803E71">
      <w:r>
        <w:t>La literatura financiera ha establecido que las variables macroeconómicas constituyen factores</w:t>
      </w:r>
    </w:p>
    <w:p w14:paraId="00873A4A" w14:textId="77777777" w:rsidR="00064C7C" w:rsidRDefault="00803E71">
      <w:r>
        <w:t>de riesgo sistemático que afectan los retornos accionarios. No obstante, la mayor parte de la</w:t>
      </w:r>
    </w:p>
    <w:p w14:paraId="5ED3E3ED" w14:textId="77777777" w:rsidR="00064C7C" w:rsidRDefault="00803E71">
      <w:r>
        <w:t>evidencia se concentra en mercados desarrollados, en índices agregados y, en el ámbito de los</w:t>
      </w:r>
    </w:p>
    <w:p w14:paraId="01DBDA09" w14:textId="77777777" w:rsidR="00064C7C" w:rsidRDefault="00803E71">
      <w:r>
        <w:t>commodities, en el sector energético. Para el caso chileno, si bien existe evidencia que vincula</w:t>
      </w:r>
    </w:p>
    <w:p w14:paraId="6A484F87" w14:textId="77777777" w:rsidR="00064C7C" w:rsidRDefault="00803E71">
      <w:r>
        <w:t>el precio del cobre con variables macroeconómicas agregadas como el tipo de cambio y el</w:t>
      </w:r>
    </w:p>
    <w:p w14:paraId="731FDA17" w14:textId="77777777" w:rsidR="00064C7C" w:rsidRDefault="00803E71">
      <w:r>
        <w:t>crecimiento, son escasos los estudios que analizan su impacto sobre la **valoración bursátil de</w:t>
      </w:r>
    </w:p>
    <w:p w14:paraId="27FE925A" w14:textId="77777777" w:rsidR="00064C7C" w:rsidRDefault="00803E71">
      <w:r>
        <w:t>las propias empresas mineras**, y prácticamente inexistentes los que evalúan si dicho impacto es</w:t>
      </w:r>
    </w:p>
    <w:p w14:paraId="6C41530B" w14:textId="77777777" w:rsidR="00064C7C" w:rsidRDefault="00803E71">
      <w:r>
        <w:rPr>
          <w:b/>
        </w:rPr>
        <w:t>estable a lo largo de las distintas fases del ciclo del precio del cobre</w:t>
      </w:r>
      <w:r>
        <w:t>.</w:t>
      </w:r>
    </w:p>
    <w:p w14:paraId="211BD0B9" w14:textId="77777777" w:rsidR="00064C7C" w:rsidRDefault="00803E71">
      <w:r>
        <w:t xml:space="preserve">Este vacío es relevante por tres razones. Primero, desde la perspectiva de los </w:t>
      </w:r>
      <w:r>
        <w:rPr>
          <w:b/>
        </w:rPr>
        <w:t>inversionistas</w:t>
      </w:r>
      <w:r>
        <w:t>,</w:t>
      </w:r>
    </w:p>
    <w:p w14:paraId="43230945" w14:textId="77777777" w:rsidR="00064C7C" w:rsidRDefault="00803E71">
      <w:r>
        <w:t>comprender qué factores mueven los retornos del sector y con qué intensidad es esencial para la</w:t>
      </w:r>
    </w:p>
    <w:p w14:paraId="32278185" w14:textId="77777777" w:rsidR="00064C7C" w:rsidRDefault="00803E71">
      <w:r>
        <w:t>valoración y la gestión de riesgos. Segundo, desde la perspectiva de la **política y la gestión</w:t>
      </w:r>
    </w:p>
    <w:p w14:paraId="30A0A2E9" w14:textId="77777777" w:rsidR="00064C7C" w:rsidRDefault="00803E71">
      <w:r>
        <w:t>empresarial**, identificar la sensibilidad del valor de las empresas a shocks macroeconómicos</w:t>
      </w:r>
    </w:p>
    <w:p w14:paraId="1D968516" w14:textId="77777777" w:rsidR="00064C7C" w:rsidRDefault="00803E71">
      <w:r>
        <w:t xml:space="preserve">informa decisiones de cobertura y planificación. Tercero, desde la perspectiva </w:t>
      </w:r>
      <w:r>
        <w:rPr>
          <w:b/>
        </w:rPr>
        <w:t>académica</w:t>
      </w:r>
      <w:r>
        <w:t>, el</w:t>
      </w:r>
    </w:p>
    <w:p w14:paraId="327C5890" w14:textId="77777777" w:rsidR="00064C7C" w:rsidRDefault="00803E71">
      <w:r>
        <w:t>caso chileno ofrece un laboratorio natural para estudiar la transmisión de un precio de commodity</w:t>
      </w:r>
    </w:p>
    <w:p w14:paraId="675E4F4C" w14:textId="77777777" w:rsidR="00064C7C" w:rsidRDefault="00803E71">
      <w:r>
        <w:t>a la valoración de empresas en una economía pequeña, abierta y exportadora.</w:t>
      </w:r>
    </w:p>
    <w:p w14:paraId="2814FF49" w14:textId="77777777" w:rsidR="00064C7C" w:rsidRDefault="00803E71">
      <w:pPr>
        <w:pStyle w:val="Ttulo2"/>
      </w:pPr>
      <w:bookmarkStart w:id="5" w:name="_Toc231075990"/>
      <w:r>
        <w:lastRenderedPageBreak/>
        <w:t>1.3 Pregunta y objetivos de investigación</w:t>
      </w:r>
      <w:bookmarkEnd w:id="5"/>
    </w:p>
    <w:p w14:paraId="489263D8" w14:textId="77777777" w:rsidR="00064C7C" w:rsidRDefault="00803E71">
      <w:r>
        <w:rPr>
          <w:b/>
        </w:rPr>
        <w:t>Pregunta general.</w:t>
      </w:r>
      <w:r>
        <w:t xml:space="preserve"> ¿Cuál es el impacto de las variables macroeconómicas globales y nacionales</w:t>
      </w:r>
    </w:p>
    <w:p w14:paraId="330D2485" w14:textId="77777777" w:rsidR="00064C7C" w:rsidRDefault="00803E71">
      <w:r>
        <w:t>sobre los retornos accionarios de las empresas de cobre con exposición a Chile; es dicho impacto</w:t>
      </w:r>
    </w:p>
    <w:p w14:paraId="1A3ECDFF" w14:textId="77777777" w:rsidR="00064C7C" w:rsidRDefault="00803E71">
      <w:r>
        <w:t>estable a lo largo de las fases del ciclo del precio del cobre; y se transmite de manera</w:t>
      </w:r>
    </w:p>
    <w:p w14:paraId="767174A5" w14:textId="77777777" w:rsidR="00064C7C" w:rsidRDefault="00803E71">
      <w:r>
        <w:t xml:space="preserve">diferenciada en el </w:t>
      </w:r>
      <w:r>
        <w:rPr>
          <w:b/>
        </w:rPr>
        <w:t>mercado bursátil internacional</w:t>
      </w:r>
      <w:r>
        <w:t xml:space="preserve"> frente al </w:t>
      </w:r>
      <w:r>
        <w:rPr>
          <w:b/>
        </w:rPr>
        <w:t>chileno</w:t>
      </w:r>
      <w:r>
        <w:t>?</w:t>
      </w:r>
    </w:p>
    <w:p w14:paraId="7994C2F1" w14:textId="77777777" w:rsidR="00064C7C" w:rsidRDefault="00803E71">
      <w:r>
        <w:rPr>
          <w:b/>
        </w:rPr>
        <w:t>Objetivo general.</w:t>
      </w:r>
      <w:r>
        <w:t xml:space="preserve"> Cuantificar y comparar el impacto de las variables macroeconómicas globales</w:t>
      </w:r>
    </w:p>
    <w:p w14:paraId="5B07920F" w14:textId="77777777" w:rsidR="00064C7C" w:rsidRDefault="00803E71">
      <w:r>
        <w:t>y nacionales sobre los retornos accionarios de las empresas de cobre con exposición a Chile</w:t>
      </w:r>
    </w:p>
    <w:p w14:paraId="4C7B22B0" w14:textId="77777777" w:rsidR="00064C7C" w:rsidRDefault="00803E71">
      <w:r>
        <w:t xml:space="preserve">durante el período 2004–2024, contrastando su </w:t>
      </w:r>
      <w:r>
        <w:t>transmisión entre el mercado bursátil internacional</w:t>
      </w:r>
    </w:p>
    <w:p w14:paraId="2AEEA097" w14:textId="77777777" w:rsidR="00064C7C" w:rsidRDefault="00803E71">
      <w:r>
        <w:t>y el chileno, mediante modelos econométricos de series de tiempo y datos de panel.</w:t>
      </w:r>
    </w:p>
    <w:p w14:paraId="1F9394DA" w14:textId="77777777" w:rsidR="00064C7C" w:rsidRDefault="00803E71">
      <w:r>
        <w:t>*(La estabilidad de las relaciones a lo largo de las fases del ciclo del cobre y la comparación</w:t>
      </w:r>
    </w:p>
    <w:p w14:paraId="7BC23A6C" w14:textId="77777777" w:rsidR="00064C7C" w:rsidRDefault="00803E71">
      <w:r>
        <w:t>entre mercados se desarrollan como objetivos específicos OE5 y OE6.)*</w:t>
      </w:r>
    </w:p>
    <w:p w14:paraId="65482928" w14:textId="77777777" w:rsidR="00064C7C" w:rsidRDefault="00803E71">
      <w:r>
        <w:rPr>
          <w:b/>
        </w:rPr>
        <w:t>Objetivos específicos.</w:t>
      </w:r>
    </w:p>
    <w:p w14:paraId="1C5FE157" w14:textId="77777777" w:rsidR="00064C7C" w:rsidRDefault="00803E71">
      <w:pPr>
        <w:pStyle w:val="Listaconnmeros"/>
      </w:pPr>
      <w:r>
        <w:t>Caracterizar las propiedades estadísticas de las series de retornos y de las variables</w:t>
      </w:r>
    </w:p>
    <w:p w14:paraId="2554791C" w14:textId="77777777" w:rsidR="00064C7C" w:rsidRDefault="00803E71">
      <w:r>
        <w:t xml:space="preserve">   explicativas (estacionariedad, volatilidad y quiebres estructurales).</w:t>
      </w:r>
    </w:p>
    <w:p w14:paraId="34B6EAFC" w14:textId="77777777" w:rsidR="00064C7C" w:rsidRDefault="00803E71">
      <w:pPr>
        <w:pStyle w:val="Listaconnmeros"/>
      </w:pPr>
      <w:r>
        <w:t>Estimar la sensibilidad de los retornos a las variables macro-financieras, distinguiendo</w:t>
      </w:r>
    </w:p>
    <w:p w14:paraId="686187C8" w14:textId="77777777" w:rsidR="00064C7C" w:rsidRDefault="00803E71">
      <w:r>
        <w:t xml:space="preserve">   factores globales de locales.</w:t>
      </w:r>
    </w:p>
    <w:p w14:paraId="00A2F361" w14:textId="77777777" w:rsidR="00064C7C" w:rsidRDefault="00803E71">
      <w:pPr>
        <w:pStyle w:val="Listaconnmeros"/>
      </w:pPr>
      <w:r>
        <w:t>Determinar la existencia de relaciones de equilibrio de largo plazo y dinámicas de corto plazo</w:t>
      </w:r>
    </w:p>
    <w:p w14:paraId="065F7D0D" w14:textId="77777777" w:rsidR="00064C7C" w:rsidRDefault="00803E71">
      <w:r>
        <w:t xml:space="preserve">   entre el valor bursátil del sector y sus determinantes macroeconómicos.</w:t>
      </w:r>
    </w:p>
    <w:p w14:paraId="184D00AB" w14:textId="77777777" w:rsidR="00064C7C" w:rsidRDefault="00803E71">
      <w:pPr>
        <w:pStyle w:val="Listaconnmeros"/>
      </w:pPr>
      <w:r>
        <w:t>Cuantificar la respuesta dinámica de los retornos ante shocks en las variables macro clave.</w:t>
      </w:r>
    </w:p>
    <w:p w14:paraId="5D1F4DC9" w14:textId="77777777" w:rsidR="00064C7C" w:rsidRDefault="00803E71">
      <w:pPr>
        <w:pStyle w:val="Listaconnmeros"/>
      </w:pPr>
      <w:r>
        <w:lastRenderedPageBreak/>
        <w:t>Evaluar la estabilidad de estas relaciones a lo largo de las fases del ciclo del precio del</w:t>
      </w:r>
    </w:p>
    <w:p w14:paraId="14F7F24B" w14:textId="77777777" w:rsidR="00064C7C" w:rsidRDefault="00803E71">
      <w:r>
        <w:t xml:space="preserve">   cobre.</w:t>
      </w:r>
    </w:p>
    <w:p w14:paraId="0716DDDF" w14:textId="77777777" w:rsidR="00064C7C" w:rsidRDefault="00803E71">
      <w:pPr>
        <w:pStyle w:val="Listaconnmeros"/>
      </w:pPr>
      <w:r>
        <w:t>Comparar la transmisión del impacto macroeconómico entre el mercado bursátil global y el</w:t>
      </w:r>
    </w:p>
    <w:p w14:paraId="134A7773" w14:textId="77777777" w:rsidR="00064C7C" w:rsidRDefault="00803E71">
      <w:r>
        <w:t xml:space="preserve">   mercado bursátil chileno.</w:t>
      </w:r>
    </w:p>
    <w:p w14:paraId="2AD53C8A" w14:textId="77777777" w:rsidR="00064C7C" w:rsidRDefault="00803E71">
      <w:r>
        <w:t>*(Las preguntas específicas PI1–PI6 y las hipótesis H1–H7 se presentan en el Capítulo 2 y se</w:t>
      </w:r>
    </w:p>
    <w:p w14:paraId="518031BB" w14:textId="77777777" w:rsidR="00064C7C" w:rsidRDefault="00803E71">
      <w:r>
        <w:t>sintetizan en la matriz de consistencia.)*</w:t>
      </w:r>
    </w:p>
    <w:p w14:paraId="3E00A43B" w14:textId="77777777" w:rsidR="00064C7C" w:rsidRDefault="00803E71">
      <w:pPr>
        <w:pStyle w:val="Ttulo2"/>
      </w:pPr>
      <w:bookmarkStart w:id="6" w:name="_Toc231075991"/>
      <w:r>
        <w:t>1.4 Hipótesis general</w:t>
      </w:r>
      <w:bookmarkEnd w:id="6"/>
    </w:p>
    <w:p w14:paraId="39A94858" w14:textId="77777777" w:rsidR="00064C7C" w:rsidRDefault="00803E71">
      <w:r>
        <w:t>Se postula que el precio del cobre constituye el principal determinante de los retornos del</w:t>
      </w:r>
    </w:p>
    <w:p w14:paraId="2E493ACD" w14:textId="77777777" w:rsidR="00064C7C" w:rsidRDefault="00803E71">
      <w:r>
        <w:t>sector, con un efecto positivo y significativo; que los factores globales predominan sobre los</w:t>
      </w:r>
    </w:p>
    <w:p w14:paraId="4A61945A" w14:textId="77777777" w:rsidR="00064C7C" w:rsidRDefault="00803E71">
      <w:r>
        <w:t>locales en la explicación de la varianza de los retornos; que la sensibilidad de los retornos a</w:t>
      </w:r>
    </w:p>
    <w:p w14:paraId="1C851E49" w14:textId="77777777" w:rsidR="00064C7C" w:rsidRDefault="00803E71">
      <w:r>
        <w:t>los factores macroeconómicos varía según la fase del ciclo del cobre; y que el mercado bursátil</w:t>
      </w:r>
    </w:p>
    <w:p w14:paraId="39E784FA" w14:textId="77777777" w:rsidR="00064C7C" w:rsidRDefault="00803E71">
      <w:r>
        <w:t>global incorpora los shocks del cobre de forma más rápida y completa que el mercado chileno. El</w:t>
      </w:r>
    </w:p>
    <w:p w14:paraId="01E535FA" w14:textId="77777777" w:rsidR="00064C7C" w:rsidRDefault="00803E71">
      <w:r>
        <w:t>detalle y el sustento teórico de cada hipótesis se desarrollan en el Capítulo 2.</w:t>
      </w:r>
    </w:p>
    <w:p w14:paraId="5154726A" w14:textId="77777777" w:rsidR="00064C7C" w:rsidRDefault="00803E71">
      <w:pPr>
        <w:pStyle w:val="Ttulo2"/>
      </w:pPr>
      <w:bookmarkStart w:id="7" w:name="_Toc231075992"/>
      <w:r>
        <w:t>1.5 Aspectos metodológicos y alcance</w:t>
      </w:r>
      <w:bookmarkEnd w:id="7"/>
    </w:p>
    <w:p w14:paraId="2FB62800" w14:textId="77777777" w:rsidR="00064C7C" w:rsidRDefault="00803E71">
      <w:r>
        <w:t xml:space="preserve">La investigación adopta un enfoque </w:t>
      </w:r>
      <w:r>
        <w:rPr>
          <w:b/>
        </w:rPr>
        <w:t>explicativo y de medición de impacto</w:t>
      </w:r>
      <w:r>
        <w:t>, no predictivo,</w:t>
      </w:r>
    </w:p>
    <w:p w14:paraId="7A294A29" w14:textId="77777777" w:rsidR="00064C7C" w:rsidRDefault="00803E71">
      <w:r>
        <w:t>empleando herramientas de econometría de series de tiempo y datos de panel. El universo de</w:t>
      </w:r>
    </w:p>
    <w:p w14:paraId="1D0EEFA6" w14:textId="77777777" w:rsidR="00064C7C" w:rsidRDefault="00803E71">
      <w:r>
        <w:t xml:space="preserve">estudio se organiza bajo un </w:t>
      </w:r>
      <w:r>
        <w:rPr>
          <w:b/>
        </w:rPr>
        <w:t>diseño de triangulación por tres muestras</w:t>
      </w:r>
      <w:r>
        <w:t>: empresas de cobre que</w:t>
      </w:r>
    </w:p>
    <w:p w14:paraId="610C6462" w14:textId="77777777" w:rsidR="00064C7C" w:rsidRDefault="00803E71">
      <w:r>
        <w:t>cotizan en el mercado global con operación en Chile (muestra B), empresas de extracción de cobre</w:t>
      </w:r>
    </w:p>
    <w:p w14:paraId="3373DC78" w14:textId="77777777" w:rsidR="00064C7C" w:rsidRDefault="00803E71">
      <w:r>
        <w:lastRenderedPageBreak/>
        <w:t xml:space="preserve">que cotizan en el mercado chileno (muestra A) y el sector </w:t>
      </w:r>
      <w:r>
        <w:t>minero cotizado en el mercado chileno</w:t>
      </w:r>
    </w:p>
    <w:p w14:paraId="7EDDAB66" w14:textId="77777777" w:rsidR="00064C7C" w:rsidRDefault="00803E71">
      <w:r>
        <w:t>(muestra C). La comparación de los resultados entre las tres muestras permite contrastar si el</w:t>
      </w:r>
    </w:p>
    <w:p w14:paraId="19057705" w14:textId="77777777" w:rsidR="00064C7C" w:rsidRDefault="00803E71">
      <w:r>
        <w:t>mercado global y el chileno precian de manera diferenciada los shocks macroeconómicos. El período</w:t>
      </w:r>
    </w:p>
    <w:p w14:paraId="01B3C42D" w14:textId="77777777" w:rsidR="00064C7C" w:rsidRDefault="00803E71">
      <w:r>
        <w:t>de estudio abarca 2004–2024 con frecuencia mensual, cubriendo al menos un ciclo completo del</w:t>
      </w:r>
    </w:p>
    <w:p w14:paraId="68799F27" w14:textId="77777777" w:rsidR="00064C7C" w:rsidRDefault="00803E71">
      <w:r>
        <w:t>precio del cobre. El análisis se implementa en Python.</w:t>
      </w:r>
    </w:p>
    <w:p w14:paraId="1CDB8CD7" w14:textId="77777777" w:rsidR="00064C7C" w:rsidRDefault="00803E71">
      <w:r>
        <w:t xml:space="preserve">Entre las </w:t>
      </w:r>
      <w:r>
        <w:rPr>
          <w:b/>
        </w:rPr>
        <w:t>limitaciones</w:t>
      </w:r>
      <w:r>
        <w:t xml:space="preserve"> del estudio cabe anticipar el reducido número de empresas de cobre</w:t>
      </w:r>
    </w:p>
    <w:p w14:paraId="2DB6CD47" w14:textId="77777777" w:rsidR="00064C7C" w:rsidRDefault="00803E71">
      <w:r>
        <w:t>puro cotizadas con exposición a Chile, la heterogeneidad de los mercados en que transan y la</w:t>
      </w:r>
    </w:p>
    <w:p w14:paraId="58EDE6F9" w14:textId="77777777" w:rsidR="00064C7C" w:rsidRDefault="00803E71">
      <w:r>
        <w:t>disponibilidad de algunas series macroeconómicas locales, aspectos que se abordan explícitamente</w:t>
      </w:r>
    </w:p>
    <w:p w14:paraId="39C2B18E" w14:textId="77777777" w:rsidR="00064C7C" w:rsidRDefault="00803E71">
      <w:r>
        <w:t>en el diseño metodológico (Capítulo 3).</w:t>
      </w:r>
    </w:p>
    <w:p w14:paraId="7D2258EB" w14:textId="77777777" w:rsidR="00064C7C" w:rsidRDefault="00803E71">
      <w:pPr>
        <w:pStyle w:val="Ttulo2"/>
      </w:pPr>
      <w:bookmarkStart w:id="8" w:name="_Toc231075993"/>
      <w:r>
        <w:t>1.6 Aportes esperados</w:t>
      </w:r>
      <w:bookmarkEnd w:id="8"/>
    </w:p>
    <w:p w14:paraId="29BA2263" w14:textId="77777777" w:rsidR="00064C7C" w:rsidRDefault="00803E71">
      <w:r>
        <w:t>El principal aporte de esta tesis es proporcionar evidencia empírica cuantitativa sobre los</w:t>
      </w:r>
    </w:p>
    <w:p w14:paraId="64C602E9" w14:textId="77777777" w:rsidR="00064C7C" w:rsidRDefault="00803E71">
      <w:r>
        <w:t>determinantes macroeconómicos de la valoración bursátil del sector de minería de cobre en Chile,</w:t>
      </w:r>
    </w:p>
    <w:p w14:paraId="1B6A8169" w14:textId="77777777" w:rsidR="00064C7C" w:rsidRDefault="00803E71">
      <w:r>
        <w:t>integrando en un mismo marco la medición de sensibilidad, el análisis de largo plazo, la dinámica</w:t>
      </w:r>
    </w:p>
    <w:p w14:paraId="5FF347AC" w14:textId="77777777" w:rsidR="00064C7C" w:rsidRDefault="00803E71">
      <w:r>
        <w:t>de shocks y la evaluación de la estabilidad de estas relaciones según la fase del ciclo del cobre.</w:t>
      </w:r>
    </w:p>
    <w:p w14:paraId="131189F9" w14:textId="77777777" w:rsidR="00064C7C" w:rsidRDefault="00803E71">
      <w:r>
        <w:t>De manera distintiva, el diseño de triangulación por tres muestras permite **comparar cómo el</w:t>
      </w:r>
    </w:p>
    <w:p w14:paraId="22E6CBEF" w14:textId="77777777" w:rsidR="00064C7C" w:rsidRDefault="00803E71">
      <w:r>
        <w:t>mercado bursátil global y el mercado bursátil chileno incorporan los shocks macroeconómicos**</w:t>
      </w:r>
    </w:p>
    <w:p w14:paraId="0B2A4554" w14:textId="77777777" w:rsidR="00064C7C" w:rsidRDefault="00803E71">
      <w:r>
        <w:lastRenderedPageBreak/>
        <w:t>sobre las mismas materias primas, conectando la evidencia con la literatura sobre eficiencia</w:t>
      </w:r>
    </w:p>
    <w:p w14:paraId="6FB24F26" w14:textId="77777777" w:rsidR="00064C7C" w:rsidRDefault="00803E71">
      <w:r>
        <w:t>informacional y segmentación de mercados —un ángulo escasamente explorado para el caso chileno.</w:t>
      </w:r>
    </w:p>
    <w:p w14:paraId="26936861" w14:textId="77777777" w:rsidR="00064C7C" w:rsidRDefault="00803E71">
      <w:pPr>
        <w:pStyle w:val="Ttulo2"/>
      </w:pPr>
      <w:bookmarkStart w:id="9" w:name="_Toc231075994"/>
      <w:r>
        <w:t>1.7 Estructura de la tesis</w:t>
      </w:r>
      <w:bookmarkEnd w:id="9"/>
    </w:p>
    <w:p w14:paraId="00182995" w14:textId="77777777" w:rsidR="00064C7C" w:rsidRDefault="00803E71">
      <w:r>
        <w:t>El resto del documento se organiza como sigue. El Capítulo 2 presenta el marco teórico y la</w:t>
      </w:r>
    </w:p>
    <w:p w14:paraId="39FFF286" w14:textId="77777777" w:rsidR="00064C7C" w:rsidRDefault="00803E71">
      <w:r>
        <w:t>revisión de literatura, junto con las hipótesis. El Capítulo 3 describe los datos, su tratamiento</w:t>
      </w:r>
    </w:p>
    <w:p w14:paraId="2B07DDC4" w14:textId="77777777" w:rsidR="00064C7C" w:rsidRDefault="00803E71">
      <w:r>
        <w:t>y la estrategia econométrica. El Capítulo 4 expone y discute los resultados, organizados por</w:t>
      </w:r>
    </w:p>
    <w:p w14:paraId="67D37C92" w14:textId="77777777" w:rsidR="00064C7C" w:rsidRDefault="00803E71">
      <w:r>
        <w:t>objetivo específico. El Capítulo 5 concluye, sintetizando los hallazgos, sus implicancias, las</w:t>
      </w:r>
    </w:p>
    <w:p w14:paraId="375EDB1C" w14:textId="77777777" w:rsidR="00064C7C" w:rsidRDefault="00803E71">
      <w:r>
        <w:t>limitaciones del estudio y las líneas futuras de investigación.</w:t>
      </w:r>
    </w:p>
    <w:p w14:paraId="4D08947E" w14:textId="77777777" w:rsidR="00064C7C" w:rsidRDefault="00803E71">
      <w:r>
        <w:br w:type="page"/>
      </w:r>
    </w:p>
    <w:p w14:paraId="5D357F03" w14:textId="77777777" w:rsidR="00064C7C" w:rsidRDefault="00803E71">
      <w:pPr>
        <w:pStyle w:val="Ttulo1"/>
      </w:pPr>
      <w:bookmarkStart w:id="10" w:name="_Toc231075995"/>
      <w:r>
        <w:lastRenderedPageBreak/>
        <w:t>Capítulo 2 — Marco teórico y revisión de literatura</w:t>
      </w:r>
      <w:bookmarkEnd w:id="10"/>
    </w:p>
    <w:p w14:paraId="68567CBD" w14:textId="77777777" w:rsidR="00064C7C" w:rsidRDefault="00803E71">
      <w:pPr>
        <w:pStyle w:val="Ttulo2"/>
      </w:pPr>
      <w:bookmarkStart w:id="11" w:name="_Toc231075996"/>
      <w:r>
        <w:t>2.1 Determinantes macroeconómicos de los retornos accionarios</w:t>
      </w:r>
      <w:bookmarkEnd w:id="11"/>
    </w:p>
    <w:p w14:paraId="58FC5904" w14:textId="77777777" w:rsidR="00064C7C" w:rsidRDefault="00803E71">
      <w:r>
        <w:t>La relación entre las condiciones macroeconómicas y la valoración de los activos financieros</w:t>
      </w:r>
    </w:p>
    <w:p w14:paraId="63EFE00B" w14:textId="77777777" w:rsidR="00064C7C" w:rsidRDefault="00803E71">
      <w:r>
        <w:t>constituye un eje central de la economía financiera. El marco de referencia es la **Teoría de</w:t>
      </w:r>
    </w:p>
    <w:p w14:paraId="0472EDED" w14:textId="77777777" w:rsidR="00064C7C" w:rsidRDefault="00803E71">
      <w:r>
        <w:t xml:space="preserve">Valoración por Arbitraje** (Arbitrage </w:t>
      </w:r>
      <w:r>
        <w:t>Pricing Theory, APT) de Ross (1976), que postula que el</w:t>
      </w:r>
    </w:p>
    <w:p w14:paraId="481E4E1A" w14:textId="77777777" w:rsidR="00064C7C" w:rsidRDefault="00803E71">
      <w:r>
        <w:t>retorno esperado de un activo se explica por su exposición a un conjunto de factores de riesgo</w:t>
      </w:r>
    </w:p>
    <w:p w14:paraId="4DA70D57" w14:textId="77777777" w:rsidR="00064C7C" w:rsidRDefault="00803E71">
      <w:r>
        <w:t>sistemáticos, sin restringirse a un único factor de mercado como en el CAPM. Bajo este marco,</w:t>
      </w:r>
    </w:p>
    <w:p w14:paraId="1CB7B0E7" w14:textId="77777777" w:rsidR="00064C7C" w:rsidRDefault="00803E71">
      <w:r>
        <w:t>las variables macroeconómicas son candidatas naturales a factores de riesgo, en la medida en</w:t>
      </w:r>
    </w:p>
    <w:p w14:paraId="4E0A4FC8" w14:textId="77777777" w:rsidR="00064C7C" w:rsidRDefault="00803E71">
      <w:r>
        <w:t>que afectan de manera no diversificable los flujos de caja futuros de las empresas y la tasa a</w:t>
      </w:r>
    </w:p>
    <w:p w14:paraId="7CA37888" w14:textId="77777777" w:rsidR="00064C7C" w:rsidRDefault="00803E71">
      <w:r>
        <w:t>la que estos se descuentan.</w:t>
      </w:r>
    </w:p>
    <w:p w14:paraId="2653E12F" w14:textId="77777777" w:rsidR="00064C7C" w:rsidRDefault="00803E71">
      <w:r>
        <w:t>La operacionalización empírica más influyente de esta idea es la de Chen, Roll y Ross (1986),</w:t>
      </w:r>
    </w:p>
    <w:p w14:paraId="7AF29193" w14:textId="77777777" w:rsidR="00064C7C" w:rsidRDefault="00803E71">
      <w:r>
        <w:t>quienes muestran que un conjunto de fuerzas económicas —la producción industrial, los cambios</w:t>
      </w:r>
    </w:p>
    <w:p w14:paraId="46C7BBDF" w14:textId="77777777" w:rsidR="00064C7C" w:rsidRDefault="00803E71">
      <w:r>
        <w:t>en la prima de riesgo, la estructura temporal de tasas y la inflación no anticipada— se</w:t>
      </w:r>
    </w:p>
    <w:p w14:paraId="777F436F" w14:textId="77777777" w:rsidR="00064C7C" w:rsidRDefault="00803E71">
      <w:r>
        <w:t>encuentran sistemáticamente asociadas a los retornos accionarios. En la misma línea, Fama</w:t>
      </w:r>
    </w:p>
    <w:p w14:paraId="684AE8F7" w14:textId="77777777" w:rsidR="00064C7C" w:rsidRDefault="00803E71">
      <w:r>
        <w:t>(1981) documenta el vínculo entre la actividad real y los retornos, y Fama y French (1989)</w:t>
      </w:r>
    </w:p>
    <w:p w14:paraId="1CD83E73" w14:textId="77777777" w:rsidR="00064C7C" w:rsidRDefault="00803E71">
      <w:r>
        <w:t>identifican variables de estado macro-financieras con capacidad de explicar la variación de</w:t>
      </w:r>
    </w:p>
    <w:p w14:paraId="2EE078C7" w14:textId="77777777" w:rsidR="00064C7C" w:rsidRDefault="00803E71">
      <w:r>
        <w:t>los retornos a lo largo del ciclo económico. Esta literatura fundamenta el enfoque</w:t>
      </w:r>
    </w:p>
    <w:p w14:paraId="74862A34" w14:textId="77777777" w:rsidR="00064C7C" w:rsidRDefault="00803E71">
      <w:r>
        <w:t>multifactorial que adopta la presente investigación: modelar el retorno del sector como</w:t>
      </w:r>
    </w:p>
    <w:p w14:paraId="5A0E0AC5" w14:textId="77777777" w:rsidR="00064C7C" w:rsidRDefault="00803E71">
      <w:r>
        <w:lastRenderedPageBreak/>
        <w:t>función de un vector de factores macroeconómicos y financieros [ver Capítulo 3].</w:t>
      </w:r>
    </w:p>
    <w:p w14:paraId="67C00766" w14:textId="77777777" w:rsidR="00064C7C" w:rsidRDefault="00803E71">
      <w:r>
        <w:rPr>
          <w:color w:val="8A5A18"/>
          <w:highlight w:val="yellow"/>
        </w:rPr>
        <w:t>[COMPLETAR: revisión de literatura reciente (post-2010) sobre factores macro y retornos en</w:t>
      </w:r>
    </w:p>
    <w:p w14:paraId="4CE8BA1B" w14:textId="77777777" w:rsidR="00064C7C" w:rsidRDefault="00803E71">
      <w:r>
        <w:rPr>
          <w:b/>
        </w:rPr>
        <w:t>mercados emergentes</w:t>
      </w:r>
      <w:r>
        <w:t>, que es el contexto más cercano al caso chileno.]</w:t>
      </w:r>
    </w:p>
    <w:p w14:paraId="173886C9" w14:textId="77777777" w:rsidR="00064C7C" w:rsidRDefault="00803E71">
      <w:pPr>
        <w:pStyle w:val="Ttulo2"/>
      </w:pPr>
      <w:bookmarkStart w:id="12" w:name="_Toc231075997"/>
      <w:r>
        <w:t>2.2 Precios de commodities y valoración de empresas mineras</w:t>
      </w:r>
      <w:bookmarkEnd w:id="12"/>
    </w:p>
    <w:p w14:paraId="6E9792DA" w14:textId="77777777" w:rsidR="00064C7C" w:rsidRDefault="00803E71">
      <w:r>
        <w:t xml:space="preserve">Para una empresa cuyo ingreso depende </w:t>
      </w:r>
      <w:r>
        <w:t>crucialmente del precio de un commodity, dicho precio</w:t>
      </w:r>
    </w:p>
    <w:p w14:paraId="47E99A20" w14:textId="77777777" w:rsidR="00064C7C" w:rsidRDefault="00803E71">
      <w:r>
        <w:t>opera como un factor de riesgo de primer orden. La transmisión ocurre por el **canal de los</w:t>
      </w:r>
    </w:p>
    <w:p w14:paraId="67CA8AE0" w14:textId="77777777" w:rsidR="00064C7C" w:rsidRDefault="00803E71">
      <w:r>
        <w:t>flujos de caja**: variaciones en el precio del metal alteran directamente los ingresos y, dado</w:t>
      </w:r>
    </w:p>
    <w:p w14:paraId="603E97A1" w14:textId="77777777" w:rsidR="00064C7C" w:rsidRDefault="00803E71">
      <w:r>
        <w:t>un apalancamiento operativo típicamente elevado en la minería, amplifican el efecto sobre los</w:t>
      </w:r>
    </w:p>
    <w:p w14:paraId="5C4BD6AD" w14:textId="77777777" w:rsidR="00064C7C" w:rsidRDefault="00803E71">
      <w:r>
        <w:t>márgenes y el valor de la firma. La literatura sobre empresas de recursos naturales ha</w:t>
      </w:r>
    </w:p>
    <w:p w14:paraId="647786DC" w14:textId="77777777" w:rsidR="00064C7C" w:rsidRDefault="00803E71">
      <w:r>
        <w:t>formalizado esta relación principalmente en el sector energético: Sadorsky (2001) analiza la</w:t>
      </w:r>
    </w:p>
    <w:p w14:paraId="587D81DC" w14:textId="77777777" w:rsidR="00064C7C" w:rsidRDefault="00803E71">
      <w:r>
        <w:t>sensibilidad de los retornos de empresas de energía al precio del petróleo, y Boyer y Filion</w:t>
      </w:r>
    </w:p>
    <w:p w14:paraId="61EBA9E4" w14:textId="77777777" w:rsidR="00064C7C" w:rsidRDefault="00803E71">
      <w:r>
        <w:t>(2007) examinan los determinantes de los retornos de productoras canadienses de petróleo y gas,</w:t>
      </w:r>
    </w:p>
    <w:p w14:paraId="28E168EB" w14:textId="77777777" w:rsidR="00064C7C" w:rsidRDefault="00803E71">
      <w:r>
        <w:t>incorporando conjuntamente el precio del commodity, el tipo de cambio y las tasas de interés.</w:t>
      </w:r>
    </w:p>
    <w:p w14:paraId="6A82D815" w14:textId="77777777" w:rsidR="00064C7C" w:rsidRDefault="00803E71">
      <w:r>
        <w:t>La estructura metodológica de estos trabajos es directamente trasladable al caso del cobre.</w:t>
      </w:r>
    </w:p>
    <w:p w14:paraId="38A8A03B" w14:textId="77777777" w:rsidR="00064C7C" w:rsidRDefault="00803E71">
      <w:r>
        <w:t xml:space="preserve">La evidencia específica sobre </w:t>
      </w:r>
      <w:r>
        <w:rPr>
          <w:b/>
        </w:rPr>
        <w:t>acciones mineras y precios de metales</w:t>
      </w:r>
      <w:r>
        <w:t xml:space="preserve"> es comparativamente más</w:t>
      </w:r>
    </w:p>
    <w:p w14:paraId="3817C1EA" w14:textId="77777777" w:rsidR="00064C7C" w:rsidRDefault="00803E71">
      <w:r>
        <w:t xml:space="preserve">escasa que la del sector </w:t>
      </w:r>
      <w:r>
        <w:t>energético, lo que constituye parte del vacío que esta tesis aborda.</w:t>
      </w:r>
    </w:p>
    <w:p w14:paraId="0276F69E" w14:textId="77777777" w:rsidR="00064C7C" w:rsidRDefault="00803E71">
      <w:r>
        <w:rPr>
          <w:color w:val="8A5A18"/>
          <w:highlight w:val="yellow"/>
        </w:rPr>
        <w:t>[COMPLETAR: estudios sobre exposición de acciones mineras al precio del cobre u otros metales;</w:t>
      </w:r>
    </w:p>
    <w:p w14:paraId="28DFBF40" w14:textId="77777777" w:rsidR="00064C7C" w:rsidRDefault="00803E71">
      <w:r>
        <w:lastRenderedPageBreak/>
        <w:t>distinguir exposición a precio spot vs. futuros.]</w:t>
      </w:r>
    </w:p>
    <w:p w14:paraId="2AB8C867" w14:textId="77777777" w:rsidR="00064C7C" w:rsidRDefault="00803E71">
      <w:pPr>
        <w:pStyle w:val="Ttulo2"/>
      </w:pPr>
      <w:bookmarkStart w:id="13" w:name="_Toc231075998"/>
      <w:r>
        <w:t>2.3 Tipo de cambio y exposición de empresas exportadoras</w:t>
      </w:r>
      <w:bookmarkEnd w:id="13"/>
    </w:p>
    <w:p w14:paraId="0DECF335" w14:textId="77777777" w:rsidR="00064C7C" w:rsidRDefault="00803E71">
      <w:r>
        <w:t>La exposición cambiaria —definida por Adler y Dumas (1984) como la elasticidad del valor de la</w:t>
      </w:r>
    </w:p>
    <w:p w14:paraId="563AFF49" w14:textId="77777777" w:rsidR="00064C7C" w:rsidRDefault="00803E71">
      <w:r>
        <w:t>firma frente a variaciones del tipo de cambio— es especialmente relevante para una productora</w:t>
      </w:r>
    </w:p>
    <w:p w14:paraId="306074DA" w14:textId="77777777" w:rsidR="00064C7C" w:rsidRDefault="00803E71">
      <w:r>
        <w:t>de cobre con exposición a Chile, cuyos ingresos se denominan mayoritariamente en dólares y cuya</w:t>
      </w:r>
    </w:p>
    <w:p w14:paraId="7F6FA728" w14:textId="77777777" w:rsidR="00064C7C" w:rsidRDefault="00803E71">
      <w:r>
        <w:t>estructura de costos es parcialmente en moneda local. Jorion (1990) propone la metodología</w:t>
      </w:r>
    </w:p>
    <w:p w14:paraId="796CB32C" w14:textId="77777777" w:rsidR="00064C7C" w:rsidRDefault="00803E71">
      <w:r>
        <w:t>estándar para medir esta exposición, regresando los retornos accionarios sobre la variación del</w:t>
      </w:r>
    </w:p>
    <w:p w14:paraId="5A2292BF" w14:textId="77777777" w:rsidR="00064C7C" w:rsidRDefault="00803E71">
      <w:r>
        <w:t>tipo de cambio; esta especificación es la que adopta la presente investigación para contrastar</w:t>
      </w:r>
    </w:p>
    <w:p w14:paraId="7B649BA6" w14:textId="77777777" w:rsidR="00064C7C" w:rsidRDefault="00803E71">
      <w:r>
        <w:t>su hipótesis sobre el efecto cambiario.</w:t>
      </w:r>
    </w:p>
    <w:p w14:paraId="5DB42F95" w14:textId="77777777" w:rsidR="00064C7C" w:rsidRDefault="00803E71">
      <w:r>
        <w:t>El signo del efecto no es teóricamente unívoco: una depreciación de la moneda local puede</w:t>
      </w:r>
    </w:p>
    <w:p w14:paraId="64923FC4" w14:textId="77777777" w:rsidR="00064C7C" w:rsidRDefault="00803E71">
      <w:r>
        <w:t>beneficiar los márgenes de una exportadora con costos en moneda local, pero el resultado neto</w:t>
      </w:r>
    </w:p>
    <w:p w14:paraId="59A53DD5" w14:textId="77777777" w:rsidR="00064C7C" w:rsidRDefault="00803E71">
      <w:r>
        <w:t>depende de la estructura de costos, del grado de cobertura y de la moneda en que cotiza la</w:t>
      </w:r>
    </w:p>
    <w:p w14:paraId="33420958" w14:textId="77777777" w:rsidR="00064C7C" w:rsidRDefault="00803E71">
      <w:r>
        <w:t>acción. Esta ambigüedad, lejos de ser una debilidad, constituye una pregunta empírica de</w:t>
      </w:r>
    </w:p>
    <w:p w14:paraId="076D3D34" w14:textId="77777777" w:rsidR="00064C7C" w:rsidRDefault="00803E71">
      <w:r>
        <w:t>interés. [COMPLETAR: evidencia sobre exposición cambiaria en economías exportadoras de</w:t>
      </w:r>
    </w:p>
    <w:p w14:paraId="04D1AB44" w14:textId="77777777" w:rsidR="00064C7C" w:rsidRDefault="00803E71">
      <w:r>
        <w:t>commodities y, en particular, en empresas chilenas.]</w:t>
      </w:r>
    </w:p>
    <w:p w14:paraId="7AA40C18" w14:textId="77777777" w:rsidR="00064C7C" w:rsidRDefault="00803E71">
      <w:pPr>
        <w:pStyle w:val="Ttulo2"/>
      </w:pPr>
      <w:bookmarkStart w:id="14" w:name="_Toc231075999"/>
      <w:r>
        <w:t>2.4 Cobre, tipo de cambio y la economía chilena</w:t>
      </w:r>
      <w:bookmarkEnd w:id="14"/>
    </w:p>
    <w:p w14:paraId="0270DDFF" w14:textId="77777777" w:rsidR="00064C7C" w:rsidRDefault="00803E71">
      <w:r>
        <w:t xml:space="preserve">El caso chileno se inserta en la literatura sobre </w:t>
      </w:r>
      <w:r>
        <w:rPr>
          <w:b/>
        </w:rPr>
        <w:t>monedas-commodity</w:t>
      </w:r>
      <w:r>
        <w:t>, que documenta la</w:t>
      </w:r>
    </w:p>
    <w:p w14:paraId="3F013B0E" w14:textId="77777777" w:rsidR="00064C7C" w:rsidRDefault="00803E71">
      <w:r>
        <w:t>estrecha relación entre los términos de intercambio de los países exportadores de materias</w:t>
      </w:r>
    </w:p>
    <w:p w14:paraId="2D436381" w14:textId="77777777" w:rsidR="00064C7C" w:rsidRDefault="00803E71">
      <w:r>
        <w:lastRenderedPageBreak/>
        <w:t>primas y sus tipos de cambio. Chen, Rogoff y Rossi (2010) examinan la relación entre los tipos</w:t>
      </w:r>
    </w:p>
    <w:p w14:paraId="0D4D070F" w14:textId="77777777" w:rsidR="00064C7C" w:rsidRDefault="00803E71">
      <w:r>
        <w:t>de cambio de exportadores de commodities y los precios de estos, y Cashin, Céspedes y Sahay</w:t>
      </w:r>
    </w:p>
    <w:p w14:paraId="5F1490F5" w14:textId="77777777" w:rsidR="00064C7C" w:rsidRDefault="00803E71">
      <w:r>
        <w:t>(2004) caracterizan un conjunto de monedas —entre ellas el peso chileno— cuya dinámica está</w:t>
      </w:r>
    </w:p>
    <w:p w14:paraId="3309DDEC" w14:textId="77777777" w:rsidR="00064C7C" w:rsidRDefault="00803E71">
      <w:r>
        <w:t>ligada a los precios de las materias primas que exportan. Esta literatura sustenta la inclusión</w:t>
      </w:r>
    </w:p>
    <w:p w14:paraId="1C937530" w14:textId="77777777" w:rsidR="00064C7C" w:rsidRDefault="00803E71">
      <w:r>
        <w:t>conjunta del precio del cobre y del tipo de cambio entre los determinantes del valor del sector,</w:t>
      </w:r>
    </w:p>
    <w:p w14:paraId="60036CBB" w14:textId="77777777" w:rsidR="00064C7C" w:rsidRDefault="00803E71">
      <w:r>
        <w:t>y motiva la pregunta sobre la **dominancia relativa de los factores globales frente a los</w:t>
      </w:r>
    </w:p>
    <w:p w14:paraId="7E6F27E8" w14:textId="77777777" w:rsidR="00064C7C" w:rsidRDefault="00803E71">
      <w:r>
        <w:t>locales**.</w:t>
      </w:r>
    </w:p>
    <w:p w14:paraId="095AF7A8" w14:textId="77777777" w:rsidR="00064C7C" w:rsidRDefault="00803E71">
      <w:r>
        <w:rPr>
          <w:color w:val="8A5A18"/>
          <w:highlight w:val="yellow"/>
        </w:rPr>
        <w:t>[COMPLETAR — NÚCLEO DEL APORTE: evidencia empírica chilena sobre la relación cobre–peso–mercado</w:t>
      </w:r>
    </w:p>
    <w:p w14:paraId="01DB8BA0" w14:textId="77777777" w:rsidR="00064C7C" w:rsidRDefault="00803E71">
      <w:r>
        <w:t xml:space="preserve">accionario. Buscar en </w:t>
      </w:r>
      <w:r>
        <w:t>Documentos de Trabajo del Banco Central de Chile, publicaciones de</w:t>
      </w:r>
    </w:p>
    <w:p w14:paraId="5E883750" w14:textId="77777777" w:rsidR="00064C7C" w:rsidRDefault="00803E71">
      <w:r>
        <w:t>Cochilco, revistas locales (Estudios de Economía, Revista de Análisis Económico) y bases</w:t>
      </w:r>
    </w:p>
    <w:p w14:paraId="2ABEEF21" w14:textId="77777777" w:rsidR="00064C7C" w:rsidRDefault="00803E71">
      <w:r>
        <w:t>internacionales. Este es el bloque donde se debe demostrar el vacío específico que la tesis</w:t>
      </w:r>
    </w:p>
    <w:p w14:paraId="79E88127" w14:textId="77777777" w:rsidR="00064C7C" w:rsidRDefault="00803E71">
      <w:r>
        <w:t>llena: la escasez de estudios que vinculen el cobre con la valoración bursátil de las propias</w:t>
      </w:r>
    </w:p>
    <w:p w14:paraId="67AFAFE6" w14:textId="77777777" w:rsidR="00064C7C" w:rsidRDefault="00803E71">
      <w:r>
        <w:t>mineras con exposición a Chile.]</w:t>
      </w:r>
    </w:p>
    <w:p w14:paraId="59FBF8C6" w14:textId="77777777" w:rsidR="00064C7C" w:rsidRDefault="00803E71">
      <w:pPr>
        <w:pStyle w:val="Ttulo2"/>
      </w:pPr>
      <w:bookmarkStart w:id="15" w:name="_Toc231076000"/>
      <w:r>
        <w:t>2.5 Eficiencia informacional y segmentación de mercados</w:t>
      </w:r>
      <w:bookmarkEnd w:id="15"/>
    </w:p>
    <w:p w14:paraId="3283A530" w14:textId="77777777" w:rsidR="00064C7C" w:rsidRDefault="00803E71">
      <w:r>
        <w:t xml:space="preserve">Un mismo activo subyacente —en este caso, la exposición al precio del </w:t>
      </w:r>
      <w:r>
        <w:t>cobre— puede ser valorado</w:t>
      </w:r>
    </w:p>
    <w:p w14:paraId="7F64F36E" w14:textId="77777777" w:rsidR="00064C7C" w:rsidRDefault="00803E71">
      <w:r>
        <w:t>de manera distinta según el mercado bursátil en que se transe. La **hipótesis de eficiencia de</w:t>
      </w:r>
    </w:p>
    <w:p w14:paraId="5EDBD0B9" w14:textId="77777777" w:rsidR="00064C7C" w:rsidRDefault="00803E71">
      <w:r>
        <w:t>mercado** (Fama, 1970) sostiene que los precios incorporan la información disponible; sin embargo,</w:t>
      </w:r>
    </w:p>
    <w:p w14:paraId="31E33C86" w14:textId="77777777" w:rsidR="00064C7C" w:rsidRDefault="00803E71">
      <w:r>
        <w:lastRenderedPageBreak/>
        <w:t>el grado y la velocidad con que un mercado refleja un shock dependen de su **profundidad,</w:t>
      </w:r>
    </w:p>
    <w:p w14:paraId="7595A90F" w14:textId="77777777" w:rsidR="00064C7C" w:rsidRDefault="00803E71">
      <w:r>
        <w:t>liquidez y grado de integración** con los mercados internacionales. La literatura sobre</w:t>
      </w:r>
    </w:p>
    <w:p w14:paraId="09839020" w14:textId="77777777" w:rsidR="00064C7C" w:rsidRDefault="00803E71">
      <w:r>
        <w:rPr>
          <w:b/>
        </w:rPr>
        <w:t>segmentación de mercados</w:t>
      </w:r>
      <w:r>
        <w:t xml:space="preserve"> (Errunza y Losq, 1985; Bekaert y Harvey, 1995) muestra que los</w:t>
      </w:r>
    </w:p>
    <w:p w14:paraId="173CCFDA" w14:textId="77777777" w:rsidR="00064C7C" w:rsidRDefault="00803E71">
      <w:r>
        <w:t>mercados emergentes, parcialmente segmentados, pueden incorporar la información global de forma</w:t>
      </w:r>
    </w:p>
    <w:p w14:paraId="12FEA8D4" w14:textId="77777777" w:rsidR="00064C7C" w:rsidRDefault="00803E71">
      <w:r>
        <w:t>más lenta o incompleta que los mercados desarrollados.</w:t>
      </w:r>
    </w:p>
    <w:p w14:paraId="4E9F7D32" w14:textId="77777777" w:rsidR="00064C7C" w:rsidRDefault="00803E71">
      <w:r>
        <w:t>Este marco fundamenta la dimensión comparativa de la presente investigación: dado que las mismas</w:t>
      </w:r>
    </w:p>
    <w:p w14:paraId="5792B922" w14:textId="77777777" w:rsidR="00064C7C" w:rsidRDefault="00803E71">
      <w:r>
        <w:t>materias primas se transan a través de empresas que cotizan en mercados de distinta profundidad</w:t>
      </w:r>
    </w:p>
    <w:p w14:paraId="32D5429E" w14:textId="77777777" w:rsidR="00064C7C" w:rsidRDefault="00803E71">
      <w:r>
        <w:t>—el mercado bursátil global frente al chileno—, es teóricamente plausible que la transmisión del</w:t>
      </w:r>
    </w:p>
    <w:p w14:paraId="3A696524" w14:textId="77777777" w:rsidR="00064C7C" w:rsidRDefault="00803E71">
      <w:r>
        <w:t>shock del cobre difiera entre ellos. Contrastar esta diferencia constituye el aporte distintivo</w:t>
      </w:r>
    </w:p>
    <w:p w14:paraId="7859E353" w14:textId="77777777" w:rsidR="00064C7C" w:rsidRDefault="00803E71">
      <w:r>
        <w:t>del diseño de triangulación por muestras. [COMPLETAR: evidencia sobre integración/segmentación y</w:t>
      </w:r>
    </w:p>
    <w:p w14:paraId="2B72F1C5" w14:textId="77777777" w:rsidR="00064C7C" w:rsidRDefault="00803E71">
      <w:r>
        <w:t>eficiencia informacional del mercado bursátil chileno respecto de los mercados internacionales.]</w:t>
      </w:r>
    </w:p>
    <w:p w14:paraId="73B1EDE7" w14:textId="77777777" w:rsidR="00064C7C" w:rsidRDefault="00803E71">
      <w:pPr>
        <w:pStyle w:val="Ttulo2"/>
      </w:pPr>
      <w:bookmarkStart w:id="16" w:name="_Toc231076001"/>
      <w:r>
        <w:t>2.6 Enfoques econométricos para la medición de impacto</w:t>
      </w:r>
      <w:bookmarkEnd w:id="16"/>
    </w:p>
    <w:p w14:paraId="0C00A0DF" w14:textId="77777777" w:rsidR="00064C7C" w:rsidRDefault="00803E71">
      <w:r>
        <w:t>La estrategia empírica de esta investigación se apoya en un conjunto de técnicas econométricas</w:t>
      </w:r>
    </w:p>
    <w:p w14:paraId="0F28387F" w14:textId="77777777" w:rsidR="00064C7C" w:rsidRDefault="00803E71">
      <w:r>
        <w:t>consolidadas, cuyo fundamento metodológico se reseña a continuación. El análisis del orden de</w:t>
      </w:r>
    </w:p>
    <w:p w14:paraId="150C1D6E" w14:textId="77777777" w:rsidR="00064C7C" w:rsidRDefault="00803E71">
      <w:r>
        <w:t>integración de las series recurre a las pruebas de raíz unitaria de Dickey y Fuller (1979),</w:t>
      </w:r>
    </w:p>
    <w:p w14:paraId="0CD1CEC5" w14:textId="77777777" w:rsidR="00064C7C" w:rsidRDefault="00803E71">
      <w:r>
        <w:t>Phillips y Perron (1988) y Kwiatkowski et al. (1992, KPSS), complementadas con el test de</w:t>
      </w:r>
    </w:p>
    <w:p w14:paraId="67F60BD1" w14:textId="77777777" w:rsidR="00064C7C" w:rsidRDefault="00803E71">
      <w:r>
        <w:lastRenderedPageBreak/>
        <w:t>Zivot y Andrews (1992) para quiebres estructurales. El análisis de relaciones de largo plazo se</w:t>
      </w:r>
    </w:p>
    <w:p w14:paraId="6530503A" w14:textId="77777777" w:rsidR="00064C7C" w:rsidRDefault="00803E71">
      <w:r>
        <w:t>funda en la teoría de la cointegración de Engle y Granger (1987) y Johansen (1988), y en el</w:t>
      </w:r>
    </w:p>
    <w:p w14:paraId="0982B237" w14:textId="77777777" w:rsidR="00064C7C" w:rsidRDefault="00803E71">
      <w:r>
        <w:t xml:space="preserve">enfoque de </w:t>
      </w:r>
      <w:r>
        <w:rPr>
          <w:b/>
        </w:rPr>
        <w:t>bordes ARDL</w:t>
      </w:r>
      <w:r>
        <w:t xml:space="preserve"> de Pesaran, Shin y Smith (2001), particularmente apropiado cuando</w:t>
      </w:r>
    </w:p>
    <w:p w14:paraId="75FBA618" w14:textId="77777777" w:rsidR="00064C7C" w:rsidRDefault="00803E71">
      <w:r>
        <w:t>las variables presentan órdenes de integración mixtos. La dinámica de los shocks se modela</w:t>
      </w:r>
    </w:p>
    <w:p w14:paraId="521FD6D0" w14:textId="77777777" w:rsidR="00064C7C" w:rsidRDefault="00803E71">
      <w:r>
        <w:t xml:space="preserve">mediante vectores </w:t>
      </w:r>
      <w:r>
        <w:t>autorregresivos siguiendo a Sims (1980), con funciones impulso-respuesta</w:t>
      </w:r>
    </w:p>
    <w:p w14:paraId="2A80B937" w14:textId="77777777" w:rsidR="00064C7C" w:rsidRDefault="00803E71">
      <w:r>
        <w:t>—incluyendo la variante generalizada de Pesaran y Shin (1998)— y descomposición de varianza.</w:t>
      </w:r>
    </w:p>
    <w:p w14:paraId="274E29AE" w14:textId="77777777" w:rsidR="00064C7C" w:rsidRDefault="00803E71">
      <w:r>
        <w:t>Para el tratamiento de la dimensión de panel se emplean las pruebas de raíz unitaria de Im,</w:t>
      </w:r>
    </w:p>
    <w:p w14:paraId="7CA1C29D" w14:textId="77777777" w:rsidR="00064C7C" w:rsidRDefault="00803E71">
      <w:r>
        <w:t>Pesaran y Shin (2003) y Pesaran (2007), la cointegración en panel de Westerlund (2007) y los</w:t>
      </w:r>
    </w:p>
    <w:p w14:paraId="64B3E909" w14:textId="77777777" w:rsidR="00064C7C" w:rsidRDefault="00803E71">
      <w:r>
        <w:t>errores estándar de Driscoll y Kraay (1998), robustos a la dependencia de sección cruzada. La</w:t>
      </w:r>
    </w:p>
    <w:p w14:paraId="64FFDC9A" w14:textId="77777777" w:rsidR="00064C7C" w:rsidRDefault="00803E71">
      <w:r>
        <w:t>datación de las fases del ciclo se basa en el algoritmo de Bry y Boschan (1971), formalizado</w:t>
      </w:r>
    </w:p>
    <w:p w14:paraId="46BEF416" w14:textId="77777777" w:rsidR="00064C7C" w:rsidRDefault="00803E71">
      <w:r>
        <w:t>para datos de frecuencia trimestral y mensual por Harding y Pagan (2002), y se contempla como</w:t>
      </w:r>
    </w:p>
    <w:p w14:paraId="26A6B84D" w14:textId="77777777" w:rsidR="00064C7C" w:rsidRDefault="00803E71">
      <w:r>
        <w:t>robustez el modelo de cambio de régimen de Hamilton (1989). La modelación de la volatilidad,</w:t>
      </w:r>
    </w:p>
    <w:p w14:paraId="64F92050" w14:textId="77777777" w:rsidR="00064C7C" w:rsidRDefault="00803E71">
      <w:r>
        <w:t>cuando resulta pertinente, se apoya en los modelos ARCH/GARCH de Engle (1982) y Bollerslev</w:t>
      </w:r>
    </w:p>
    <w:p w14:paraId="44597BB2" w14:textId="77777777" w:rsidR="00064C7C" w:rsidRDefault="00803E71">
      <w:r>
        <w:t>(1986).</w:t>
      </w:r>
    </w:p>
    <w:p w14:paraId="37EB4550" w14:textId="77777777" w:rsidR="00064C7C" w:rsidRDefault="00803E71">
      <w:r>
        <w:rPr>
          <w:color w:val="8A5A18"/>
          <w:highlight w:val="yellow"/>
        </w:rPr>
        <w:t>[COMPLETAR: aplicaciones recientes que combinen VAR/VECM con análisis por regímenes en mercados</w:t>
      </w:r>
    </w:p>
    <w:p w14:paraId="57CEEC3F" w14:textId="77777777" w:rsidR="00064C7C" w:rsidRDefault="00803E71">
      <w:r>
        <w:t>de commodities, para reforzar la justificación del objetivo específico 5.]</w:t>
      </w:r>
    </w:p>
    <w:p w14:paraId="384A1317" w14:textId="77777777" w:rsidR="00064C7C" w:rsidRDefault="00803E71">
      <w:pPr>
        <w:pStyle w:val="Ttulo2"/>
      </w:pPr>
      <w:bookmarkStart w:id="17" w:name="_Toc231076002"/>
      <w:r>
        <w:lastRenderedPageBreak/>
        <w:t>2.7 Síntesis e identificación del vacío de investigación</w:t>
      </w:r>
      <w:bookmarkEnd w:id="17"/>
    </w:p>
    <w:p w14:paraId="0CCB29E8" w14:textId="77777777" w:rsidR="00064C7C" w:rsidRDefault="00803E71">
      <w:r>
        <w:t>La revisión precedente permite delimitar el aporte de esta investigación a partir de tres</w:t>
      </w:r>
    </w:p>
    <w:p w14:paraId="691366DF" w14:textId="77777777" w:rsidR="00064C7C" w:rsidRDefault="00803E71">
      <w:r>
        <w:t>constataciones. Primero, la literatura sobre la relación entre variables macroeconómicas y</w:t>
      </w:r>
    </w:p>
    <w:p w14:paraId="285E5EB1" w14:textId="77777777" w:rsidR="00064C7C" w:rsidRDefault="00803E71">
      <w:r>
        <w:t>retornos accionarios es abundante, pero se concentra en mercados desarrollados y, con</w:t>
      </w:r>
    </w:p>
    <w:p w14:paraId="4763726F" w14:textId="77777777" w:rsidR="00064C7C" w:rsidRDefault="00803E71">
      <w:r>
        <w:t>frecuencia, en índices agregados antes que en sectores específicos. Segundo, la evidencia sobre</w:t>
      </w:r>
    </w:p>
    <w:p w14:paraId="4D29E6C3" w14:textId="77777777" w:rsidR="00064C7C" w:rsidRDefault="00803E71">
      <w:r>
        <w:t>la transmisión del precio de los commodities a la valoración de empresas se ha desarrollado</w:t>
      </w:r>
    </w:p>
    <w:p w14:paraId="5B86A9E5" w14:textId="77777777" w:rsidR="00064C7C" w:rsidRDefault="00803E71">
      <w:r>
        <w:t xml:space="preserve">predominantemente para el </w:t>
      </w:r>
      <w:r>
        <w:rPr>
          <w:b/>
        </w:rPr>
        <w:t>sector energético</w:t>
      </w:r>
      <w:r>
        <w:t>, quedando el cobre y la minería metálica</w:t>
      </w:r>
    </w:p>
    <w:p w14:paraId="583094F9" w14:textId="77777777" w:rsidR="00064C7C" w:rsidRDefault="00803E71">
      <w:r>
        <w:t>comparativamente menos estudiados a nivel de acciones. Tercero, la evidencia chilena vincula el</w:t>
      </w:r>
    </w:p>
    <w:p w14:paraId="5AD00C0B" w14:textId="77777777" w:rsidR="00064C7C" w:rsidRDefault="00803E71">
      <w:r>
        <w:t>cobre con variables macroeconómicas agregadas —tipo de cambio, crecimiento—, pero rara vez con</w:t>
      </w:r>
    </w:p>
    <w:p w14:paraId="7A6AD7F0" w14:textId="77777777" w:rsidR="00064C7C" w:rsidRDefault="00803E71">
      <w:r>
        <w:t xml:space="preserve">la </w:t>
      </w:r>
      <w:r>
        <w:rPr>
          <w:b/>
        </w:rPr>
        <w:t>valoración bursátil de las propias empresas mineras</w:t>
      </w:r>
      <w:r>
        <w:t>, y prácticamente no aborda la</w:t>
      </w:r>
    </w:p>
    <w:p w14:paraId="6FEAF923" w14:textId="77777777" w:rsidR="00064C7C" w:rsidRDefault="00803E71">
      <w:r>
        <w:rPr>
          <w:b/>
        </w:rPr>
        <w:t>estabilidad de estas relaciones a lo largo de las fases del ciclo del cobre</w:t>
      </w:r>
      <w:r>
        <w:t>. Cuarto, no se ha</w:t>
      </w:r>
    </w:p>
    <w:p w14:paraId="2464A3BC" w14:textId="77777777" w:rsidR="00064C7C" w:rsidRDefault="00803E71">
      <w:r>
        <w:t>explorado de manera sistemática si la transmisión del shock macroeconómico **difiere entre el</w:t>
      </w:r>
    </w:p>
    <w:p w14:paraId="43EA2C0D" w14:textId="77777777" w:rsidR="00064C7C" w:rsidRDefault="00803E71">
      <w:r>
        <w:t>mercado bursátil global y el chileno** para empresas expuestas a las mismas materias primas.</w:t>
      </w:r>
    </w:p>
    <w:p w14:paraId="09A8D6E0" w14:textId="77777777" w:rsidR="00064C7C" w:rsidRDefault="00803E71">
      <w:r>
        <w:t>En consecuencia, esta tesis contribuye a la literatura al cuantificar el impacto de los factores</w:t>
      </w:r>
    </w:p>
    <w:p w14:paraId="2D481549" w14:textId="77777777" w:rsidR="00064C7C" w:rsidRDefault="00803E71">
      <w:r>
        <w:t>macroeconómicos globales y locales sobre los retornos del sector de minería de cobre con</w:t>
      </w:r>
    </w:p>
    <w:p w14:paraId="4165570E" w14:textId="77777777" w:rsidR="00064C7C" w:rsidRDefault="00803E71">
      <w:r>
        <w:t>exposición a Chile, integrando la medición de sensibilidad (panel), el análisis de equilibrio de</w:t>
      </w:r>
    </w:p>
    <w:p w14:paraId="67C97D24" w14:textId="77777777" w:rsidR="00064C7C" w:rsidRDefault="00803E71">
      <w:r>
        <w:t>largo plazo (cointegración), la dinámica de shocks (impulso-respuesta y descomposición de</w:t>
      </w:r>
    </w:p>
    <w:p w14:paraId="37D2ABBD" w14:textId="77777777" w:rsidR="00064C7C" w:rsidRDefault="00803E71">
      <w:r>
        <w:t xml:space="preserve">varianza) y, de manera </w:t>
      </w:r>
      <w:r>
        <w:t>distintiva, la evaluación de la estabilidad de dichas relaciones según la</w:t>
      </w:r>
    </w:p>
    <w:p w14:paraId="28134D73" w14:textId="77777777" w:rsidR="00064C7C" w:rsidRDefault="00803E71">
      <w:r>
        <w:lastRenderedPageBreak/>
        <w:t>fase del ciclo del precio del cobre.</w:t>
      </w:r>
    </w:p>
    <w:p w14:paraId="078EFBD0" w14:textId="77777777" w:rsidR="00064C7C" w:rsidRDefault="00803E71">
      <w:pPr>
        <w:pStyle w:val="Ttulo3"/>
      </w:pPr>
      <w:bookmarkStart w:id="18" w:name="_Toc231076003"/>
      <w:r>
        <w:t>Nota sobre la tabla de literatura</w:t>
      </w:r>
      <w:bookmarkEnd w:id="18"/>
    </w:p>
    <w:p w14:paraId="135F1589" w14:textId="77777777" w:rsidR="00064C7C" w:rsidRDefault="00803E71">
      <w:r>
        <w:t>Mantén en paralelo la matriz `autor | año | datos | método | hallazgo | relación con mi tesis`</w:t>
      </w:r>
    </w:p>
    <w:p w14:paraId="41C9DA5F" w14:textId="77777777" w:rsidR="00064C7C" w:rsidRDefault="00803E71">
      <w:r>
        <w:t>(ver `docs/revision_literatura.md`, sección final). Sintetizarla en prosa es lo que da solidez a</w:t>
      </w:r>
    </w:p>
    <w:p w14:paraId="77CB51CA" w14:textId="77777777" w:rsidR="00064C7C" w:rsidRDefault="00803E71">
      <w:r>
        <w:t>las secciones 2.2–2.4 y, sobre todo, al argumento del vacío en 2.6.</w:t>
      </w:r>
    </w:p>
    <w:p w14:paraId="4E0DA612" w14:textId="77777777" w:rsidR="00064C7C" w:rsidRDefault="00803E71">
      <w:r>
        <w:br w:type="page"/>
      </w:r>
    </w:p>
    <w:p w14:paraId="7CA8EBC2" w14:textId="77777777" w:rsidR="00064C7C" w:rsidRDefault="00803E71">
      <w:pPr>
        <w:pStyle w:val="Ttulo1"/>
      </w:pPr>
      <w:bookmarkStart w:id="19" w:name="_Toc231076004"/>
      <w:r>
        <w:lastRenderedPageBreak/>
        <w:t>Capítulo 3 — Datos y metodología</w:t>
      </w:r>
      <w:bookmarkEnd w:id="19"/>
    </w:p>
    <w:p w14:paraId="77696EE7" w14:textId="77777777" w:rsidR="00064C7C" w:rsidRDefault="00803E71">
      <w:pPr>
        <w:pStyle w:val="Ttulo2"/>
      </w:pPr>
      <w:bookmarkStart w:id="20" w:name="_Toc231076005"/>
      <w:r>
        <w:t>3.1 Definición del universo de empresas y período</w:t>
      </w:r>
      <w:bookmarkEnd w:id="20"/>
    </w:p>
    <w:p w14:paraId="22D096D2" w14:textId="77777777" w:rsidR="00064C7C" w:rsidRDefault="00803E71">
      <w:r>
        <w:t xml:space="preserve">El estudio abarca el período </w:t>
      </w:r>
      <w:r>
        <w:rPr>
          <w:b/>
        </w:rPr>
        <w:t>2004–2024</w:t>
      </w:r>
      <w:r>
        <w:t xml:space="preserve"> con frecuencia </w:t>
      </w:r>
      <w:r>
        <w:rPr>
          <w:b/>
        </w:rPr>
        <w:t>mensual</w:t>
      </w:r>
      <w:r>
        <w:t>. Dado que las grandes</w:t>
      </w:r>
    </w:p>
    <w:p w14:paraId="3736B65B" w14:textId="77777777" w:rsidR="00064C7C" w:rsidRDefault="00803E71">
      <w:r>
        <w:t>productoras de cobre con operación en Chile no cotizan en el mercado bursátil local —por ser</w:t>
      </w:r>
    </w:p>
    <w:p w14:paraId="48FE8026" w14:textId="77777777" w:rsidR="00064C7C" w:rsidRDefault="00803E71">
      <w:r>
        <w:t>estatales (Codelco) o subsidiarias de empresas extranjeras (Escondida, Los Bronces)—, el diseño</w:t>
      </w:r>
    </w:p>
    <w:p w14:paraId="66870965" w14:textId="77777777" w:rsidR="00064C7C" w:rsidRDefault="00803E71">
      <w:r>
        <w:t xml:space="preserve">adopta una </w:t>
      </w:r>
      <w:r>
        <w:rPr>
          <w:b/>
        </w:rPr>
        <w:t>estrategia de triangulación por tres muestras complementarias</w:t>
      </w:r>
      <w:r>
        <w:t>, que permite</w:t>
      </w:r>
    </w:p>
    <w:p w14:paraId="65804E7E" w14:textId="77777777" w:rsidR="00064C7C" w:rsidRDefault="00803E71">
      <w:r>
        <w:t>comparar la transmisión del impacto macroeconómico entre el mercado bursátil global y el chileno:</w:t>
      </w:r>
    </w:p>
    <w:p w14:paraId="065019B5" w14:textId="77777777" w:rsidR="00064C7C" w:rsidRDefault="00803E71">
      <w:pPr>
        <w:pStyle w:val="Listaconvietas"/>
      </w:pPr>
      <w:r>
        <w:rPr>
          <w:b/>
        </w:rPr>
        <w:t>Muestra B (cobre, mercado global):</w:t>
      </w:r>
      <w:r>
        <w:t xml:space="preserve"> empresas de cobre con operación en Chile que cotizan en</w:t>
      </w:r>
    </w:p>
    <w:p w14:paraId="49F6F7BD" w14:textId="77777777" w:rsidR="00064C7C" w:rsidRDefault="00803E71">
      <w:r>
        <w:t xml:space="preserve">  mercados internacionales (Antofagasta plc, BHP, Anglo American, Lundin Mining, Teck). Constituye</w:t>
      </w:r>
    </w:p>
    <w:p w14:paraId="228AF656" w14:textId="77777777" w:rsidR="00064C7C" w:rsidRDefault="00803E71">
      <w:r>
        <w:t xml:space="preserve">  la referencia de "cobre puro" y, por su tamaño de sección cruzada, el panel principal.</w:t>
      </w:r>
    </w:p>
    <w:p w14:paraId="48191191" w14:textId="77777777" w:rsidR="00064C7C" w:rsidRDefault="00803E71">
      <w:pPr>
        <w:pStyle w:val="Listaconvietas"/>
      </w:pPr>
      <w:r>
        <w:rPr>
          <w:b/>
        </w:rPr>
        <w:t>Muestra A (cobre, mercado chileno):</w:t>
      </w:r>
      <w:r>
        <w:t xml:space="preserve"> empresas de extracción de cobre que cotizan en la Bolsa</w:t>
      </w:r>
    </w:p>
    <w:p w14:paraId="04C3B6BB" w14:textId="77777777" w:rsidR="00064C7C" w:rsidRDefault="00803E71">
      <w:r>
        <w:t xml:space="preserve">  de Santiago (Sociedad Punta del Cobre). De cardinalidad reducida, se analiza mediante técnicas</w:t>
      </w:r>
    </w:p>
    <w:p w14:paraId="6345C93F" w14:textId="77777777" w:rsidR="00064C7C" w:rsidRDefault="00803E71">
      <w:r>
        <w:t xml:space="preserve">  de serie de tiempo.</w:t>
      </w:r>
    </w:p>
    <w:p w14:paraId="07466143" w14:textId="77777777" w:rsidR="00064C7C" w:rsidRDefault="00803E71">
      <w:pPr>
        <w:pStyle w:val="Listaconvietas"/>
      </w:pPr>
      <w:r>
        <w:rPr>
          <w:b/>
        </w:rPr>
        <w:t>Muestra C (sector minero, mercado chileno):</w:t>
      </w:r>
      <w:r>
        <w:t xml:space="preserve"> empresas mineras cotizadas en la Bolsa de</w:t>
      </w:r>
    </w:p>
    <w:p w14:paraId="320E05FB" w14:textId="77777777" w:rsidR="00064C7C" w:rsidRDefault="00803E71">
      <w:r>
        <w:t xml:space="preserve">  Santiago (Punta del Cobre, CAP, SQM-B, Molibdenos y Metales). Esta muestra **no es objeto de</w:t>
      </w:r>
    </w:p>
    <w:p w14:paraId="5F084254" w14:textId="77777777" w:rsidR="00064C7C" w:rsidRDefault="00803E71">
      <w:r>
        <w:t xml:space="preserve">  estudio en sí**, sino el *vehículo* que permite estimar con tamaño de sección cruzada cómo el</w:t>
      </w:r>
    </w:p>
    <w:p w14:paraId="5AE569AE" w14:textId="77777777" w:rsidR="00064C7C" w:rsidRDefault="00803E71">
      <w:r>
        <w:lastRenderedPageBreak/>
        <w:t xml:space="preserve">  mercado bursátil chileno incorpora los shocks macroeconómicos; al combinar distintos commodities,</w:t>
      </w:r>
    </w:p>
    <w:p w14:paraId="2E1417E5" w14:textId="77777777" w:rsidR="00064C7C" w:rsidRDefault="00803E71">
      <w:r>
        <w:t xml:space="preserve">  se </w:t>
      </w:r>
      <w:r>
        <w:rPr>
          <w:b/>
        </w:rPr>
        <w:t>controla por el precio propio de cada uno</w:t>
      </w:r>
      <w:r>
        <w:t xml:space="preserve"> para aislar el efecto del cobre. El objeto de</w:t>
      </w:r>
    </w:p>
    <w:p w14:paraId="53E5844E" w14:textId="77777777" w:rsidR="00064C7C" w:rsidRDefault="00803E71">
      <w:r>
        <w:t xml:space="preserve">  estudio sigue siendo el cobre.</w:t>
      </w:r>
    </w:p>
    <w:p w14:paraId="2711958E" w14:textId="77777777" w:rsidR="00064C7C" w:rsidRDefault="00803E71">
      <w:r>
        <w:t>La comparación de los resultados entre las tres muestras permite evaluar si el mercado global y</w:t>
      </w:r>
    </w:p>
    <w:p w14:paraId="68A32DAB" w14:textId="77777777" w:rsidR="00064C7C" w:rsidRDefault="00803E71">
      <w:r>
        <w:t>el mercado chileno incorporan los shocks macroeconómicos de manera diferenciada.</w:t>
      </w:r>
    </w:p>
    <w:p w14:paraId="571BE517" w14:textId="77777777" w:rsidR="00064C7C" w:rsidRDefault="00803E71">
      <w:r>
        <w:t>La elección de la frecuencia mensual responde a tres consideraciones: (i) el período provee</w:t>
      </w:r>
    </w:p>
    <w:p w14:paraId="643099BE" w14:textId="77777777" w:rsidR="00064C7C" w:rsidRDefault="00803E71">
      <w:r>
        <w:t xml:space="preserve">del orden de 250 observaciones temporales, suficientes para la estimación de modelos </w:t>
      </w:r>
      <w:r>
        <w:t>VAR/VECM</w:t>
      </w:r>
    </w:p>
    <w:p w14:paraId="3786E790" w14:textId="77777777" w:rsidR="00064C7C" w:rsidRDefault="00803E71">
      <w:r>
        <w:t>y ARDL; (ii) el principal indicador de actividad doméstica (IMACEC) es de periodicidad</w:t>
      </w:r>
    </w:p>
    <w:p w14:paraId="4D6E5B79" w14:textId="77777777" w:rsidR="00064C7C" w:rsidRDefault="00803E71">
      <w:r>
        <w:t>mensual; y (iii) se atenúa el ruido de microestructura propio de los datos diarios.</w:t>
      </w:r>
    </w:p>
    <w:p w14:paraId="1DB81AD5" w14:textId="77777777" w:rsidR="00064C7C" w:rsidRDefault="00803E71">
      <w:pPr>
        <w:pStyle w:val="Ttulo2"/>
      </w:pPr>
      <w:bookmarkStart w:id="21" w:name="_Toc231076006"/>
      <w:r>
        <w:t>3.2 Variable dependiente</w:t>
      </w:r>
      <w:bookmarkEnd w:id="21"/>
    </w:p>
    <w:p w14:paraId="3AEA2A1B" w14:textId="77777777" w:rsidR="00064C7C" w:rsidRDefault="00803E71">
      <w:r>
        <w:t xml:space="preserve">La variable dependiente es el </w:t>
      </w:r>
      <w:r>
        <w:rPr>
          <w:b/>
        </w:rPr>
        <w:t>retorno logarítmico mensual</w:t>
      </w:r>
      <w:r>
        <w:t xml:space="preserve"> de cada empresa,</w:t>
      </w:r>
    </w:p>
    <w:p w14:paraId="445E27A6" w14:textId="77777777" w:rsidR="00064C7C" w:rsidRDefault="00803E71">
      <w:r>
        <w:t xml:space="preserve">$r_{i,t} = \ln(P_{i,t}) - \ln(P_{i,t-1})$, calculado sobre precios de cierre </w:t>
      </w:r>
      <w:r>
        <w:rPr>
          <w:b/>
        </w:rPr>
        <w:t>ajustados</w:t>
      </w:r>
      <w:r>
        <w:t xml:space="preserve"> por</w:t>
      </w:r>
    </w:p>
    <w:p w14:paraId="6B23DCF9" w14:textId="77777777" w:rsidR="00064C7C" w:rsidRDefault="00803E71">
      <w:r>
        <w:t>dividendos y splits. Para el análisis agregado de series de tiempo se construye además una</w:t>
      </w:r>
    </w:p>
    <w:p w14:paraId="59E13C35" w14:textId="77777777" w:rsidR="00064C7C" w:rsidRDefault="00803E71">
      <w:r>
        <w:rPr>
          <w:b/>
        </w:rPr>
        <w:t>cartera del sector</w:t>
      </w:r>
      <w:r>
        <w:t xml:space="preserve">, en sus versiones </w:t>
      </w:r>
      <w:r>
        <w:t>equiponderada y ponderada por capitalización</w:t>
      </w:r>
    </w:p>
    <w:p w14:paraId="30CFB1EB" w14:textId="77777777" w:rsidR="00064C7C" w:rsidRDefault="00803E71">
      <w:r>
        <w:t>bursátil (con pesos rezagados un período para evitar sesgo de anticipación).</w:t>
      </w:r>
    </w:p>
    <w:p w14:paraId="2AE95718" w14:textId="77777777" w:rsidR="00064C7C" w:rsidRDefault="00803E71">
      <w:pPr>
        <w:pStyle w:val="Ttulo2"/>
      </w:pPr>
      <w:bookmarkStart w:id="22" w:name="_Toc231076007"/>
      <w:r>
        <w:t>3.3 Variables explicativas</w:t>
      </w:r>
      <w:bookmarkEnd w:id="22"/>
    </w:p>
    <w:p w14:paraId="54BEFB93" w14:textId="77777777" w:rsidR="00064C7C" w:rsidRDefault="00803E71">
      <w:r>
        <w:t xml:space="preserve">Las variables explicativas se agrupan en tres bloques: (a) </w:t>
      </w:r>
      <w:r>
        <w:rPr>
          <w:b/>
        </w:rPr>
        <w:t>macroeconómicas globales</w:t>
      </w:r>
    </w:p>
    <w:p w14:paraId="3DC617A9" w14:textId="77777777" w:rsidR="00064C7C" w:rsidRDefault="00803E71">
      <w:r>
        <w:t>—precio del cobre, índice de volatilidad VIX, tasa de fondos federales, rendimiento del bono</w:t>
      </w:r>
    </w:p>
    <w:p w14:paraId="73867F64" w14:textId="77777777" w:rsidR="00064C7C" w:rsidRDefault="00803E71">
      <w:r>
        <w:t xml:space="preserve">del Tesoro a 10 años y precio del petróleo WTI como control—; (b) </w:t>
      </w:r>
      <w:r>
        <w:rPr>
          <w:b/>
        </w:rPr>
        <w:t>macroeconómicas locales</w:t>
      </w:r>
    </w:p>
    <w:p w14:paraId="09D206BC" w14:textId="77777777" w:rsidR="00064C7C" w:rsidRDefault="00803E71">
      <w:r>
        <w:lastRenderedPageBreak/>
        <w:t>—tipo de cambio USD/CLP, Tasa de Política Monetaria, IMACEC, EMBI Chile e IPC—; y</w:t>
      </w:r>
    </w:p>
    <w:p w14:paraId="595900E2" w14:textId="77777777" w:rsidR="00064C7C" w:rsidRDefault="00803E71">
      <w:r>
        <w:t xml:space="preserve">(c) </w:t>
      </w:r>
      <w:r>
        <w:rPr>
          <w:b/>
        </w:rPr>
        <w:t>financieras de empresa</w:t>
      </w:r>
      <w:r>
        <w:t xml:space="preserve"> —tamaño, volatilidad y apalancamiento como controles</w:t>
      </w:r>
    </w:p>
    <w:p w14:paraId="4683CCD8" w14:textId="77777777" w:rsidR="00064C7C" w:rsidRDefault="00803E71">
      <w:r>
        <w:t>prioritarios—. La definición operativa, fuente y frecuencia de cada serie se detallan en la</w:t>
      </w:r>
    </w:p>
    <w:p w14:paraId="49566624" w14:textId="77777777" w:rsidR="00064C7C" w:rsidRDefault="00803E71">
      <w:r>
        <w:t>Tabla 3.1 (ver `src/config.py`).</w:t>
      </w:r>
    </w:p>
    <w:p w14:paraId="12994D98" w14:textId="77777777" w:rsidR="00064C7C" w:rsidRDefault="00803E71">
      <w:pPr>
        <w:pStyle w:val="Ttulo2"/>
      </w:pPr>
      <w:bookmarkStart w:id="23" w:name="_Toc231076008"/>
      <w:r>
        <w:t>3.4 Tratamiento de datos y frecuencias mixtas</w:t>
      </w:r>
      <w:bookmarkEnd w:id="23"/>
    </w:p>
    <w:p w14:paraId="1E4283E2" w14:textId="77777777" w:rsidR="00064C7C" w:rsidRDefault="00803E71">
      <w:r>
        <w:t>Todas las series se llevan a frecuencia mensual (último dato del mes para precios, índices y</w:t>
      </w:r>
    </w:p>
    <w:p w14:paraId="78CA2966" w14:textId="77777777" w:rsidR="00064C7C" w:rsidRDefault="00803E71">
      <w:r>
        <w:t>tasas de nivel). Las variables contables, de periodicidad trimestral, se incorporan mediante</w:t>
      </w:r>
    </w:p>
    <w:p w14:paraId="7EA32603" w14:textId="77777777" w:rsidR="00064C7C" w:rsidRDefault="00803E71">
      <w:r>
        <w:t>arrastre del último valor conocido (*forward fill*) con un rezago de publicación que evita el</w:t>
      </w:r>
    </w:p>
    <w:p w14:paraId="53F639F3" w14:textId="77777777" w:rsidR="00064C7C" w:rsidRDefault="00803E71">
      <w:r>
        <w:t>sesgo de anticipación. Las variables identificadas como integradas de orden uno se incorporan</w:t>
      </w:r>
    </w:p>
    <w:p w14:paraId="2819F8AB" w14:textId="77777777" w:rsidR="00064C7C" w:rsidRDefault="00803E71">
      <w:r>
        <w:t xml:space="preserve">en </w:t>
      </w:r>
      <w:r>
        <w:rPr>
          <w:b/>
        </w:rPr>
        <w:t>primera diferencia</w:t>
      </w:r>
      <w:r>
        <w:t xml:space="preserve"> (logarítmica para precios y tipo de cambio), mientras que las</w:t>
      </w:r>
    </w:p>
    <w:p w14:paraId="0765865A" w14:textId="77777777" w:rsidR="00064C7C" w:rsidRDefault="00803E71">
      <w:r>
        <w:t>estacionarias entran en nivel. Los retornos se winsorizan opcionalmente al 1% para acotar el</w:t>
      </w:r>
    </w:p>
    <w:p w14:paraId="5CDFD015" w14:textId="77777777" w:rsidR="00064C7C" w:rsidRDefault="00803E71">
      <w:r>
        <w:t>efecto de colas pesadas, reportándose la sensibilidad de los resultados a este tratamiento.</w:t>
      </w:r>
    </w:p>
    <w:p w14:paraId="113EA7F9" w14:textId="77777777" w:rsidR="00064C7C" w:rsidRDefault="00803E71">
      <w:pPr>
        <w:pStyle w:val="Ttulo2"/>
      </w:pPr>
      <w:bookmarkStart w:id="24" w:name="_Toc231076009"/>
      <w:r>
        <w:t>3.5 Datación de las fases del ciclo del cobre</w:t>
      </w:r>
      <w:bookmarkEnd w:id="24"/>
    </w:p>
    <w:p w14:paraId="2BBEB5FA" w14:textId="77777777" w:rsidR="00064C7C" w:rsidRDefault="00803E71">
      <w:r>
        <w:t>Las fases del ciclo se determinan aplicando un algoritmo de puntos de giro tipo</w:t>
      </w:r>
    </w:p>
    <w:p w14:paraId="4E580C57" w14:textId="77777777" w:rsidR="00064C7C" w:rsidRDefault="00803E71">
      <w:r>
        <w:rPr>
          <w:b/>
        </w:rPr>
        <w:t>Bry-Boschan / Harding-Pagan</w:t>
      </w:r>
      <w:r>
        <w:t xml:space="preserve"> sobre el logaritmo del precio del cobre, que identifica</w:t>
      </w:r>
    </w:p>
    <w:p w14:paraId="22DE3B40" w14:textId="77777777" w:rsidR="00064C7C" w:rsidRDefault="00803E71">
      <w:r>
        <w:t>máximos y mínimos locales en una ventana simétrica, impone alternancia pico-valle y censura</w:t>
      </w:r>
    </w:p>
    <w:p w14:paraId="4293D154" w14:textId="77777777" w:rsidR="00064C7C" w:rsidRDefault="00803E71">
      <w:r>
        <w:t>fases y ciclos de duración inferior a los umbrales mínimos. El procedimiento entrega una</w:t>
      </w:r>
    </w:p>
    <w:p w14:paraId="3BD25D81" w14:textId="77777777" w:rsidR="00064C7C" w:rsidRDefault="00803E71">
      <w:r>
        <w:t xml:space="preserve">clasificación objetiva y replicable en fases de </w:t>
      </w:r>
      <w:r>
        <w:rPr>
          <w:b/>
        </w:rPr>
        <w:t>expansión</w:t>
      </w:r>
      <w:r>
        <w:t xml:space="preserve"> (valle→pico) y </w:t>
      </w:r>
      <w:r>
        <w:rPr>
          <w:b/>
        </w:rPr>
        <w:t>contracción</w:t>
      </w:r>
    </w:p>
    <w:p w14:paraId="1059FD7A" w14:textId="77777777" w:rsidR="00064C7C" w:rsidRDefault="00803E71">
      <w:r>
        <w:t>(pico→valle). La datación se realiza sobre el precio del cobre —no sobre las acciones— para</w:t>
      </w:r>
    </w:p>
    <w:p w14:paraId="675DDC1A" w14:textId="77777777" w:rsidR="00064C7C" w:rsidRDefault="00803E71">
      <w:r>
        <w:lastRenderedPageBreak/>
        <w:t>evitar circularidad (implementación en `src/cycle_dating.py`).</w:t>
      </w:r>
    </w:p>
    <w:p w14:paraId="16D1C6C9" w14:textId="77777777" w:rsidR="00064C7C" w:rsidRDefault="00803E71">
      <w:pPr>
        <w:pStyle w:val="Ttulo2"/>
      </w:pPr>
      <w:bookmarkStart w:id="25" w:name="_Toc231076010"/>
      <w:r>
        <w:t>3.6 Estrategia econométrica</w:t>
      </w:r>
      <w:bookmarkEnd w:id="25"/>
    </w:p>
    <w:p w14:paraId="08C3D1BC" w14:textId="77777777" w:rsidR="00064C7C" w:rsidRDefault="00803E71">
      <w:pPr>
        <w:pStyle w:val="Ttulo3"/>
      </w:pPr>
      <w:bookmarkStart w:id="26" w:name="_Toc231076011"/>
      <w:r>
        <w:t>3.6.1 Estacionariedad y orden de integración (OE1)</w:t>
      </w:r>
      <w:bookmarkEnd w:id="26"/>
    </w:p>
    <w:p w14:paraId="5B51BC10" w14:textId="77777777" w:rsidR="00064C7C" w:rsidRDefault="00803E71">
      <w:r>
        <w:t>Se aplica una batería de pruebas de raíz unitaria —Dickey-Fuller aumentada (ADF),</w:t>
      </w:r>
    </w:p>
    <w:p w14:paraId="69A89670" w14:textId="77777777" w:rsidR="00064C7C" w:rsidRDefault="00803E71">
      <w:r>
        <w:t>Phillips-Perron y KPSS— complementadas con el test de Zivot-Andrews para quiebres</w:t>
      </w:r>
    </w:p>
    <w:p w14:paraId="03A044B9" w14:textId="77777777" w:rsidR="00064C7C" w:rsidRDefault="00803E71">
      <w:r>
        <w:t>estructurales endógenos, y sus análogos de panel (Im-Pesaran-Shin, CIPS de Pesaran). La</w:t>
      </w:r>
    </w:p>
    <w:p w14:paraId="36790E40" w14:textId="77777777" w:rsidR="00064C7C" w:rsidRDefault="00803E71">
      <w:r>
        <w:t>conclusión sobre el orden de integración de cada serie determina la especificación posterior:</w:t>
      </w:r>
    </w:p>
    <w:p w14:paraId="5D248B0F" w14:textId="77777777" w:rsidR="00064C7C" w:rsidRDefault="00803E71">
      <w:r>
        <w:t>las variables I(0) ingresan en nivel a los modelos de impacto; las I(1) se diferencian para</w:t>
      </w:r>
    </w:p>
    <w:p w14:paraId="5DF7A82C" w14:textId="77777777" w:rsidR="00064C7C" w:rsidRDefault="00803E71">
      <w:r>
        <w:t>dichos modelos y se conservan en nivel para el análisis de cointegración.</w:t>
      </w:r>
    </w:p>
    <w:p w14:paraId="00FB8524" w14:textId="77777777" w:rsidR="00064C7C" w:rsidRDefault="00803E71">
      <w:pPr>
        <w:pStyle w:val="Ttulo3"/>
      </w:pPr>
      <w:bookmarkStart w:id="27" w:name="_Toc231076012"/>
      <w:r>
        <w:t>3.6.2 Modelo de impacto: panel de efectos fijos (OE2)</w:t>
      </w:r>
      <w:bookmarkEnd w:id="27"/>
    </w:p>
    <w:p w14:paraId="4C2F71CC" w14:textId="77777777" w:rsidR="00064C7C" w:rsidRDefault="00803E71">
      <w:r>
        <w:t>La sensibilidad de los retornos a los factores macro-financieros se estima mediante un</w:t>
      </w:r>
    </w:p>
    <w:p w14:paraId="532D7008" w14:textId="77777777" w:rsidR="00064C7C" w:rsidRDefault="00803E71">
      <w:r>
        <w:t xml:space="preserve">modelo de </w:t>
      </w:r>
      <w:r>
        <w:rPr>
          <w:b/>
        </w:rPr>
        <w:t>datos de panel con efectos fijos por empresa</w:t>
      </w:r>
      <w:r>
        <w:t>:</w:t>
      </w:r>
    </w:p>
    <w:p w14:paraId="112FCECE" w14:textId="77777777" w:rsidR="00064C7C" w:rsidRDefault="00803E71">
      <w:r>
        <w:t>$$r_{i,t} = \alpha_i + \beta_1 \Delta cobre_t + \beta_2 \Delta TC_t + \beta_3 \Delta tasa_t + \beta_4 \Delta VIX_t + \gamma' X_{i,t} + \varepsilon_{i,t}$$</w:t>
      </w:r>
    </w:p>
    <w:p w14:paraId="721D7DE3" w14:textId="77777777" w:rsidR="00064C7C" w:rsidRDefault="00803E71">
      <w:r>
        <w:t xml:space="preserve">La inferencia emplea errores estándar de </w:t>
      </w:r>
      <w:r>
        <w:rPr>
          <w:b/>
        </w:rPr>
        <w:t>Driscoll-Kraay</w:t>
      </w:r>
      <w:r>
        <w:t xml:space="preserve">, robustos a </w:t>
      </w:r>
      <w:r>
        <w:t>heterocedasticidad,</w:t>
      </w:r>
    </w:p>
    <w:p w14:paraId="7073717C" w14:textId="77777777" w:rsidR="00064C7C" w:rsidRDefault="00803E71">
      <w:r>
        <w:t xml:space="preserve">autocorrelación y </w:t>
      </w:r>
      <w:r>
        <w:rPr>
          <w:b/>
        </w:rPr>
        <w:t>dependencia de sección cruzada</w:t>
      </w:r>
      <w:r>
        <w:t xml:space="preserve"> —esta última esperable dado el factor</w:t>
      </w:r>
    </w:p>
    <w:p w14:paraId="17D5A45A" w14:textId="77777777" w:rsidR="00064C7C" w:rsidRDefault="00803E71">
      <w:r>
        <w:t>común que representa el precio del cobre—. Como especificación de referencia se estima en</w:t>
      </w:r>
    </w:p>
    <w:p w14:paraId="7A0EBF5F" w14:textId="77777777" w:rsidR="00064C7C" w:rsidRDefault="00803E71">
      <w:r>
        <w:t>paralelo un modelo de serie de tiempo sobre la cartera del sector con errores HAC</w:t>
      </w:r>
    </w:p>
    <w:p w14:paraId="22D0A5EF" w14:textId="77777777" w:rsidR="00064C7C" w:rsidRDefault="00803E71">
      <w:r>
        <w:t xml:space="preserve">(Newey-West). El contraste de dominancia </w:t>
      </w:r>
      <w:r>
        <w:rPr>
          <w:b/>
        </w:rPr>
        <w:t>global versus local</w:t>
      </w:r>
      <w:r>
        <w:t xml:space="preserve"> (H6) se realiza mediante</w:t>
      </w:r>
    </w:p>
    <w:p w14:paraId="397A9692" w14:textId="77777777" w:rsidR="00064C7C" w:rsidRDefault="00803E71">
      <w:r>
        <w:t>tests de Wald de significancia conjunta por bloque de regresores.</w:t>
      </w:r>
    </w:p>
    <w:p w14:paraId="2EEF233A" w14:textId="77777777" w:rsidR="00064C7C" w:rsidRDefault="00803E71">
      <w:pPr>
        <w:pStyle w:val="Ttulo3"/>
      </w:pPr>
      <w:bookmarkStart w:id="28" w:name="_Toc231076013"/>
      <w:r>
        <w:t>3.6.3 Relaciones de largo plazo: cointegración (OE3)</w:t>
      </w:r>
      <w:bookmarkEnd w:id="28"/>
    </w:p>
    <w:p w14:paraId="272726CA" w14:textId="77777777" w:rsidR="00064C7C" w:rsidRDefault="00803E71">
      <w:r>
        <w:t>Sobre las variables en nivel I(1) se evalúa la existencia de relaciones de equilibrio de</w:t>
      </w:r>
    </w:p>
    <w:p w14:paraId="2407C822" w14:textId="77777777" w:rsidR="00064C7C" w:rsidRDefault="00803E71">
      <w:r>
        <w:t xml:space="preserve">largo plazo. El procedimiento principal es el </w:t>
      </w:r>
      <w:r>
        <w:rPr>
          <w:b/>
        </w:rPr>
        <w:t>test de bordes ARDL</w:t>
      </w:r>
      <w:r>
        <w:t xml:space="preserve"> (Pesaran, Shin y Smith,</w:t>
      </w:r>
    </w:p>
    <w:p w14:paraId="59959565" w14:textId="77777777" w:rsidR="00064C7C" w:rsidRDefault="00803E71">
      <w:r>
        <w:lastRenderedPageBreak/>
        <w:t>2001), por su flexibilidad ante regresores de distinto orden de integración, contrastado con</w:t>
      </w:r>
    </w:p>
    <w:p w14:paraId="5A9123C0" w14:textId="77777777" w:rsidR="00064C7C" w:rsidRDefault="00803E71">
      <w:r>
        <w:t xml:space="preserve">el test de </w:t>
      </w:r>
      <w:r>
        <w:rPr>
          <w:b/>
        </w:rPr>
        <w:t>Johansen</w:t>
      </w:r>
      <w:r>
        <w:t xml:space="preserve"> sobre el subconjunto claramente I(1) y, a nivel de panel, con el test</w:t>
      </w:r>
    </w:p>
    <w:p w14:paraId="0D155159" w14:textId="77777777" w:rsidR="00064C7C" w:rsidRDefault="00803E71">
      <w:r>
        <w:t xml:space="preserve">de </w:t>
      </w:r>
      <w:r>
        <w:rPr>
          <w:b/>
        </w:rPr>
        <w:t>Westerlund</w:t>
      </w:r>
      <w:r>
        <w:t>. De verificarse cointegración, se estima un **modelo vectorial de corrección</w:t>
      </w:r>
    </w:p>
    <w:p w14:paraId="05DE7996" w14:textId="77777777" w:rsidR="00064C7C" w:rsidRDefault="00803E71">
      <w:r>
        <w:t xml:space="preserve">de error (VECM)**, del que se reportan el vector de largo plazo ($\beta$) y la </w:t>
      </w:r>
      <w:r>
        <w:t>velocidad de</w:t>
      </w:r>
    </w:p>
    <w:p w14:paraId="42EB1016" w14:textId="77777777" w:rsidR="00064C7C" w:rsidRDefault="00803E71">
      <w:r>
        <w:t>ajuste ($\alpha$).</w:t>
      </w:r>
    </w:p>
    <w:p w14:paraId="4ED4F65B" w14:textId="77777777" w:rsidR="00064C7C" w:rsidRDefault="00803E71">
      <w:pPr>
        <w:pStyle w:val="Ttulo3"/>
      </w:pPr>
      <w:bookmarkStart w:id="29" w:name="_Toc231076014"/>
      <w:r>
        <w:t>3.6.4 Dinámica de shocks: VAR, impulso-respuesta y descomposición de varianza (OE4)</w:t>
      </w:r>
      <w:bookmarkEnd w:id="29"/>
    </w:p>
    <w:p w14:paraId="5AFBDD25" w14:textId="77777777" w:rsidR="00064C7C" w:rsidRDefault="00803E71">
      <w:r>
        <w:t>La respuesta dinámica de los retornos a perturbaciones macroeconómicas se analiza mediante un</w:t>
      </w:r>
    </w:p>
    <w:p w14:paraId="0B5FB75A" w14:textId="77777777" w:rsidR="00064C7C" w:rsidRDefault="00803E71">
      <w:r>
        <w:t xml:space="preserve">modelo </w:t>
      </w:r>
      <w:r>
        <w:rPr>
          <w:b/>
        </w:rPr>
        <w:t>VAR</w:t>
      </w:r>
      <w:r>
        <w:t xml:space="preserve"> (o VECM, si las series cointegran). La identificación de los shocks</w:t>
      </w:r>
    </w:p>
    <w:p w14:paraId="7209A22D" w14:textId="77777777" w:rsidR="00064C7C" w:rsidRDefault="00803E71">
      <w:r>
        <w:t xml:space="preserve">estructurales se realiza por </w:t>
      </w:r>
      <w:r>
        <w:rPr>
          <w:b/>
        </w:rPr>
        <w:t>descomposición de Cholesky</w:t>
      </w:r>
      <w:r>
        <w:t>, con un ordenamiento de las</w:t>
      </w:r>
    </w:p>
    <w:p w14:paraId="769F982C" w14:textId="77777777" w:rsidR="00064C7C" w:rsidRDefault="00803E71">
      <w:r>
        <w:t>variables según su grado de exogeneidad —el precio del cobre, determinado en el mercado</w:t>
      </w:r>
    </w:p>
    <w:p w14:paraId="639DCBB0" w14:textId="77777777" w:rsidR="00064C7C" w:rsidRDefault="00803E71">
      <w:r>
        <w:t>global, se ordena primero, y la acción, como variable más endógena, al final—. Se reportan las</w:t>
      </w:r>
    </w:p>
    <w:p w14:paraId="379C1AF2" w14:textId="77777777" w:rsidR="00064C7C" w:rsidRDefault="00803E71">
      <w:r>
        <w:rPr>
          <w:b/>
        </w:rPr>
        <w:t>funciones impulso-respuesta</w:t>
      </w:r>
      <w:r>
        <w:t xml:space="preserve"> y la </w:t>
      </w:r>
      <w:r>
        <w:rPr>
          <w:b/>
        </w:rPr>
        <w:t>descomposición de la varianza del error de pronóstico</w:t>
      </w:r>
      <w:r>
        <w:t>,</w:t>
      </w:r>
    </w:p>
    <w:p w14:paraId="7AC280FD" w14:textId="77777777" w:rsidR="00064C7C" w:rsidRDefault="00803E71">
      <w:r>
        <w:t>esta última como evidencia directa para la hipótesis de dominancia global (H6). La robustez de</w:t>
      </w:r>
    </w:p>
    <w:p w14:paraId="12DB6A44" w14:textId="77777777" w:rsidR="00064C7C" w:rsidRDefault="00803E71">
      <w:r>
        <w:t>las conclusiones a la identificación se verifica mediante reordenamientos e impulso-respuestas</w:t>
      </w:r>
    </w:p>
    <w:p w14:paraId="06886C07" w14:textId="77777777" w:rsidR="00064C7C" w:rsidRDefault="00803E71">
      <w:r>
        <w:t>generalizadas (Pesaran y Shin, 1998), así como con tests de causalidad de Granger.</w:t>
      </w:r>
    </w:p>
    <w:p w14:paraId="3AA4FA4C" w14:textId="77777777" w:rsidR="00064C7C" w:rsidRDefault="00803E71">
      <w:pPr>
        <w:pStyle w:val="Ttulo3"/>
      </w:pPr>
      <w:bookmarkStart w:id="30" w:name="_Toc231076015"/>
      <w:r>
        <w:t>3.6.5 Estabilidad por fases del ciclo (OE5)</w:t>
      </w:r>
      <w:bookmarkEnd w:id="30"/>
    </w:p>
    <w:p w14:paraId="66230076" w14:textId="77777777" w:rsidR="00064C7C" w:rsidRDefault="00803E71">
      <w:r>
        <w:t>La estabilidad de las relaciones se evalúa incorporando la fase del ciclo del cobre mediante</w:t>
      </w:r>
    </w:p>
    <w:p w14:paraId="67D59A50" w14:textId="77777777" w:rsidR="00064C7C" w:rsidRDefault="00803E71">
      <w:r>
        <w:rPr>
          <w:b/>
        </w:rPr>
        <w:t>términos de interacción</w:t>
      </w:r>
      <w:r>
        <w:t xml:space="preserve"> entre los factores y una variable indicadora de régimen, y</w:t>
      </w:r>
    </w:p>
    <w:p w14:paraId="088DDB0A" w14:textId="77777777" w:rsidR="00064C7C" w:rsidRDefault="00803E71">
      <w:r>
        <w:lastRenderedPageBreak/>
        <w:t>re-estimando los modelos por subperíodo. El término de interacción mide si la sensibilidad de</w:t>
      </w:r>
    </w:p>
    <w:p w14:paraId="4518B84B" w14:textId="77777777" w:rsidR="00064C7C" w:rsidRDefault="00803E71">
      <w:r>
        <w:t>los retornos a cada factor —en particular al precio del cobre— difiere entre expansión y</w:t>
      </w:r>
    </w:p>
    <w:p w14:paraId="6062EEC9" w14:textId="77777777" w:rsidR="00064C7C" w:rsidRDefault="00803E71">
      <w:r>
        <w:t>contracción. Como análisis de robustez se considera un modelo de **cambio de régimen de</w:t>
      </w:r>
    </w:p>
    <w:p w14:paraId="4E6F712E" w14:textId="77777777" w:rsidR="00064C7C" w:rsidRDefault="00803E71">
      <w:r>
        <w:t>Markov** que detecta los estados de forma endógena.</w:t>
      </w:r>
    </w:p>
    <w:p w14:paraId="2455DB96" w14:textId="77777777" w:rsidR="00064C7C" w:rsidRDefault="00803E71">
      <w:pPr>
        <w:pStyle w:val="Ttulo3"/>
      </w:pPr>
      <w:bookmarkStart w:id="31" w:name="_Toc231076016"/>
      <w:r>
        <w:t>3.6.6 Comparación entre mercados: triangulación (OE6)</w:t>
      </w:r>
      <w:bookmarkEnd w:id="31"/>
    </w:p>
    <w:p w14:paraId="0CD5D639" w14:textId="77777777" w:rsidR="00064C7C" w:rsidRDefault="00803E71">
      <w:r>
        <w:t>La totalidad del análisis precedente (3.6.1 a 3.6.5) se ejecuta de forma paralela sobre las tres</w:t>
      </w:r>
    </w:p>
    <w:p w14:paraId="0287FC30" w14:textId="77777777" w:rsidR="00064C7C" w:rsidRDefault="00803E71">
      <w:r>
        <w:t>muestras —cobre en el mercado global (B), cobre en el mercado chileno (A) y sector minero chileno</w:t>
      </w:r>
    </w:p>
    <w:p w14:paraId="35E268BF" w14:textId="77777777" w:rsidR="00064C7C" w:rsidRDefault="00803E71">
      <w:r>
        <w:t>(C)—. La comparación sistemática de los coeficientes de sensibilidad, de la velocidad de ajuste</w:t>
      </w:r>
    </w:p>
    <w:p w14:paraId="49D940C7" w14:textId="77777777" w:rsidR="00064C7C" w:rsidRDefault="00803E71">
      <w:r>
        <w:t>del mecanismo de corrección de error y de la descomposición de varianza entre muestras permite</w:t>
      </w:r>
    </w:p>
    <w:p w14:paraId="2E96F786" w14:textId="77777777" w:rsidR="00064C7C" w:rsidRDefault="00803E71">
      <w:r>
        <w:t>contrastar si el mercado bursátil global incorpora los shocks macroeconómicos de manera más</w:t>
      </w:r>
    </w:p>
    <w:p w14:paraId="70A2925D" w14:textId="77777777" w:rsidR="00064C7C" w:rsidRDefault="00803E71">
      <w:r>
        <w:t>rápida y completa que el mercado chileno (hipótesis H7). Esta comparación se sustenta en la</w:t>
      </w:r>
    </w:p>
    <w:p w14:paraId="27D5ECF4" w14:textId="77777777" w:rsidR="00064C7C" w:rsidRDefault="00803E71">
      <w:r>
        <w:t>literatura sobre eficiencia informacional y segmentación de mercados, y constituye un aporte</w:t>
      </w:r>
    </w:p>
    <w:p w14:paraId="54F00729" w14:textId="77777777" w:rsidR="00064C7C" w:rsidRDefault="00803E71">
      <w:r>
        <w:t>distintivo del estudio. Los resultados se consolidan en una tabla comparativa única por muestra.</w:t>
      </w:r>
    </w:p>
    <w:p w14:paraId="174F846B" w14:textId="77777777" w:rsidR="00064C7C" w:rsidRDefault="00803E71">
      <w:pPr>
        <w:pStyle w:val="Ttulo2"/>
      </w:pPr>
      <w:bookmarkStart w:id="32" w:name="_Toc231076017"/>
      <w:r>
        <w:t xml:space="preserve">3.7 Validación de </w:t>
      </w:r>
      <w:r>
        <w:t>supuestos y robustez</w:t>
      </w:r>
      <w:bookmarkEnd w:id="32"/>
    </w:p>
    <w:p w14:paraId="6097AC26" w14:textId="77777777" w:rsidR="00064C7C" w:rsidRDefault="00803E71">
      <w:r>
        <w:t>Para cada familia de modelos se verifican los supuestos pertinentes: ausencia de</w:t>
      </w:r>
    </w:p>
    <w:p w14:paraId="35B41F3F" w14:textId="77777777" w:rsidR="00064C7C" w:rsidRDefault="00803E71">
      <w:r>
        <w:t>autocorrelación (Breusch-Godfrey, Ljung-Box) y de heterocedasticidad (con atención a efectos</w:t>
      </w:r>
    </w:p>
    <w:p w14:paraId="5A1F8DE0" w14:textId="77777777" w:rsidR="00064C7C" w:rsidRDefault="00803E71">
      <w:r>
        <w:lastRenderedPageBreak/>
        <w:t xml:space="preserve">ARCH, dada la naturaleza financiera de los </w:t>
      </w:r>
      <w:r>
        <w:t>retornos), dependencia de sección cruzada en el</w:t>
      </w:r>
    </w:p>
    <w:p w14:paraId="0792A9FD" w14:textId="77777777" w:rsidR="00064C7C" w:rsidRDefault="00803E71">
      <w:r>
        <w:t>panel (test CD de Pesaran), estabilidad del VAR (raíces dentro del círculo unitario) y</w:t>
      </w:r>
    </w:p>
    <w:p w14:paraId="208FF9B2" w14:textId="77777777" w:rsidR="00064C7C" w:rsidRDefault="00803E71">
      <w:r>
        <w:t>selección de rezagos por criterios de información. La robustez de los resultados se examina</w:t>
      </w:r>
    </w:p>
    <w:p w14:paraId="4E6AF0A3" w14:textId="77777777" w:rsidR="00064C7C" w:rsidRDefault="00803E71">
      <w:r>
        <w:t>mediante submuestras, definiciones alternativas de las variables (cobre spot frente a futuros;</w:t>
      </w:r>
    </w:p>
    <w:p w14:paraId="779E8849" w14:textId="77777777" w:rsidR="00064C7C" w:rsidRDefault="00803E71">
      <w:r>
        <w:t>cartera equiponderada frente a ponderada por capitalización) y la inclusión o exclusión de</w:t>
      </w:r>
    </w:p>
    <w:p w14:paraId="17DF4804" w14:textId="77777777" w:rsidR="00064C7C" w:rsidRDefault="00803E71">
      <w:r>
        <w:t>períodos atípicos como la crisis de 2008 y la pandemia de 2020.</w:t>
      </w:r>
    </w:p>
    <w:p w14:paraId="6BDA7FB7" w14:textId="77777777" w:rsidR="00064C7C" w:rsidRDefault="00803E71">
      <w:pPr>
        <w:pStyle w:val="Ttulo3"/>
      </w:pPr>
      <w:bookmarkStart w:id="33" w:name="_Toc231076018"/>
      <w:r>
        <w:t>Tabla 3.1 — Definición operativa de variables (resumen)</w:t>
      </w:r>
      <w:bookmarkEnd w:id="33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291"/>
        <w:gridCol w:w="1527"/>
        <w:gridCol w:w="1683"/>
        <w:gridCol w:w="1036"/>
        <w:gridCol w:w="1916"/>
        <w:gridCol w:w="1605"/>
      </w:tblGrid>
      <w:tr w:rsidR="00064C7C" w14:paraId="69D56B8F" w14:textId="77777777" w:rsidTr="00064C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38628D83" w14:textId="77777777" w:rsidR="00064C7C" w:rsidRDefault="00803E71">
            <w:r>
              <w:rPr>
                <w:sz w:val="20"/>
              </w:rPr>
              <w:t>Bloque</w:t>
            </w:r>
          </w:p>
        </w:tc>
        <w:tc>
          <w:tcPr>
            <w:tcW w:w="1474" w:type="dxa"/>
          </w:tcPr>
          <w:p w14:paraId="37DBA226" w14:textId="77777777" w:rsidR="00064C7C" w:rsidRDefault="00803E7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Variable</w:t>
            </w:r>
          </w:p>
        </w:tc>
        <w:tc>
          <w:tcPr>
            <w:tcW w:w="1474" w:type="dxa"/>
          </w:tcPr>
          <w:p w14:paraId="7FE8512F" w14:textId="77777777" w:rsidR="00064C7C" w:rsidRDefault="00803E7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Proxy</w:t>
            </w:r>
          </w:p>
        </w:tc>
        <w:tc>
          <w:tcPr>
            <w:tcW w:w="1474" w:type="dxa"/>
          </w:tcPr>
          <w:p w14:paraId="0E7F7FEC" w14:textId="77777777" w:rsidR="00064C7C" w:rsidRDefault="00803E7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Fuente</w:t>
            </w:r>
          </w:p>
        </w:tc>
        <w:tc>
          <w:tcPr>
            <w:tcW w:w="1474" w:type="dxa"/>
          </w:tcPr>
          <w:p w14:paraId="4C5B4059" w14:textId="77777777" w:rsidR="00064C7C" w:rsidRDefault="00803E7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Frecuencia</w:t>
            </w:r>
          </w:p>
        </w:tc>
        <w:tc>
          <w:tcPr>
            <w:tcW w:w="1474" w:type="dxa"/>
          </w:tcPr>
          <w:p w14:paraId="63C07856" w14:textId="77777777" w:rsidR="00064C7C" w:rsidRDefault="00803E7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Transformación</w:t>
            </w:r>
          </w:p>
        </w:tc>
      </w:tr>
      <w:tr w:rsidR="00064C7C" w14:paraId="3B90480F" w14:textId="77777777" w:rsidTr="00064C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3B8C3181" w14:textId="77777777" w:rsidR="00064C7C" w:rsidRDefault="00803E71">
            <w:r>
              <w:rPr>
                <w:sz w:val="20"/>
              </w:rPr>
              <w:t>Dependiente</w:t>
            </w:r>
          </w:p>
        </w:tc>
        <w:tc>
          <w:tcPr>
            <w:tcW w:w="1474" w:type="dxa"/>
          </w:tcPr>
          <w:p w14:paraId="0C53F291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Retorno</w:t>
            </w:r>
          </w:p>
        </w:tc>
        <w:tc>
          <w:tcPr>
            <w:tcW w:w="1474" w:type="dxa"/>
          </w:tcPr>
          <w:p w14:paraId="0B8D49D8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Δlog precio ajustado</w:t>
            </w:r>
          </w:p>
        </w:tc>
        <w:tc>
          <w:tcPr>
            <w:tcW w:w="1474" w:type="dxa"/>
          </w:tcPr>
          <w:p w14:paraId="46569A8A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Yahoo Finance</w:t>
            </w:r>
          </w:p>
        </w:tc>
        <w:tc>
          <w:tcPr>
            <w:tcW w:w="1474" w:type="dxa"/>
          </w:tcPr>
          <w:p w14:paraId="03738D62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Mensual</w:t>
            </w:r>
          </w:p>
        </w:tc>
        <w:tc>
          <w:tcPr>
            <w:tcW w:w="1474" w:type="dxa"/>
          </w:tcPr>
          <w:p w14:paraId="030395A3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</w:tr>
      <w:tr w:rsidR="00064C7C" w14:paraId="3161D6AB" w14:textId="77777777" w:rsidTr="00064C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292949FC" w14:textId="77777777" w:rsidR="00064C7C" w:rsidRDefault="00803E71">
            <w:r>
              <w:rPr>
                <w:sz w:val="20"/>
              </w:rPr>
              <w:t>Global</w:t>
            </w:r>
          </w:p>
        </w:tc>
        <w:tc>
          <w:tcPr>
            <w:tcW w:w="1474" w:type="dxa"/>
          </w:tcPr>
          <w:p w14:paraId="30080D8F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Cobre</w:t>
            </w:r>
          </w:p>
        </w:tc>
        <w:tc>
          <w:tcPr>
            <w:tcW w:w="1474" w:type="dxa"/>
          </w:tcPr>
          <w:p w14:paraId="3FFCE597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Precio LME/global</w:t>
            </w:r>
          </w:p>
        </w:tc>
        <w:tc>
          <w:tcPr>
            <w:tcW w:w="1474" w:type="dxa"/>
          </w:tcPr>
          <w:p w14:paraId="6400A600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Cochilco / FRED</w:t>
            </w:r>
          </w:p>
        </w:tc>
        <w:tc>
          <w:tcPr>
            <w:tcW w:w="1474" w:type="dxa"/>
          </w:tcPr>
          <w:p w14:paraId="07ED272B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Mensual</w:t>
            </w:r>
          </w:p>
        </w:tc>
        <w:tc>
          <w:tcPr>
            <w:tcW w:w="1474" w:type="dxa"/>
          </w:tcPr>
          <w:p w14:paraId="300455F1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Δlog</w:t>
            </w:r>
          </w:p>
        </w:tc>
      </w:tr>
      <w:tr w:rsidR="00064C7C" w14:paraId="10554061" w14:textId="77777777" w:rsidTr="00064C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117528FA" w14:textId="77777777" w:rsidR="00064C7C" w:rsidRDefault="00803E71">
            <w:r>
              <w:rPr>
                <w:sz w:val="20"/>
              </w:rPr>
              <w:t>Global</w:t>
            </w:r>
          </w:p>
        </w:tc>
        <w:tc>
          <w:tcPr>
            <w:tcW w:w="1474" w:type="dxa"/>
          </w:tcPr>
          <w:p w14:paraId="56B1C3E7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Riesgo</w:t>
            </w:r>
          </w:p>
        </w:tc>
        <w:tc>
          <w:tcPr>
            <w:tcW w:w="1474" w:type="dxa"/>
          </w:tcPr>
          <w:p w14:paraId="7CB560E3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VIX</w:t>
            </w:r>
          </w:p>
        </w:tc>
        <w:tc>
          <w:tcPr>
            <w:tcW w:w="1474" w:type="dxa"/>
          </w:tcPr>
          <w:p w14:paraId="5552DADA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FRED</w:t>
            </w:r>
          </w:p>
        </w:tc>
        <w:tc>
          <w:tcPr>
            <w:tcW w:w="1474" w:type="dxa"/>
          </w:tcPr>
          <w:p w14:paraId="66A2B6BC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Diaria→mensual</w:t>
            </w:r>
          </w:p>
        </w:tc>
        <w:tc>
          <w:tcPr>
            <w:tcW w:w="1474" w:type="dxa"/>
          </w:tcPr>
          <w:p w14:paraId="0B492676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Δ</w:t>
            </w:r>
          </w:p>
        </w:tc>
      </w:tr>
      <w:tr w:rsidR="00064C7C" w14:paraId="6C39440F" w14:textId="77777777" w:rsidTr="00064C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319395F7" w14:textId="77777777" w:rsidR="00064C7C" w:rsidRDefault="00803E71">
            <w:r>
              <w:rPr>
                <w:sz w:val="20"/>
              </w:rPr>
              <w:t>Global</w:t>
            </w:r>
          </w:p>
        </w:tc>
        <w:tc>
          <w:tcPr>
            <w:tcW w:w="1474" w:type="dxa"/>
          </w:tcPr>
          <w:p w14:paraId="05ECFE93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Tasa externa</w:t>
            </w:r>
          </w:p>
        </w:tc>
        <w:tc>
          <w:tcPr>
            <w:tcW w:w="1474" w:type="dxa"/>
          </w:tcPr>
          <w:p w14:paraId="6FEEF8B5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Fed Funds / 10Y</w:t>
            </w:r>
          </w:p>
        </w:tc>
        <w:tc>
          <w:tcPr>
            <w:tcW w:w="1474" w:type="dxa"/>
          </w:tcPr>
          <w:p w14:paraId="3DC83782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FRED</w:t>
            </w:r>
          </w:p>
        </w:tc>
        <w:tc>
          <w:tcPr>
            <w:tcW w:w="1474" w:type="dxa"/>
          </w:tcPr>
          <w:p w14:paraId="45064487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Mensual</w:t>
            </w:r>
          </w:p>
        </w:tc>
        <w:tc>
          <w:tcPr>
            <w:tcW w:w="1474" w:type="dxa"/>
          </w:tcPr>
          <w:p w14:paraId="1C7FC1C4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Δ</w:t>
            </w:r>
          </w:p>
        </w:tc>
      </w:tr>
      <w:tr w:rsidR="00064C7C" w14:paraId="6D6CEC71" w14:textId="77777777" w:rsidTr="00064C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6BF4D4B4" w14:textId="77777777" w:rsidR="00064C7C" w:rsidRDefault="00803E71">
            <w:r>
              <w:rPr>
                <w:sz w:val="20"/>
              </w:rPr>
              <w:t>Global</w:t>
            </w:r>
          </w:p>
        </w:tc>
        <w:tc>
          <w:tcPr>
            <w:tcW w:w="1474" w:type="dxa"/>
          </w:tcPr>
          <w:p w14:paraId="2A90F4E7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Control</w:t>
            </w:r>
          </w:p>
        </w:tc>
        <w:tc>
          <w:tcPr>
            <w:tcW w:w="1474" w:type="dxa"/>
          </w:tcPr>
          <w:p w14:paraId="161010F8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WTI</w:t>
            </w:r>
          </w:p>
        </w:tc>
        <w:tc>
          <w:tcPr>
            <w:tcW w:w="1474" w:type="dxa"/>
          </w:tcPr>
          <w:p w14:paraId="0167C5C7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FRED</w:t>
            </w:r>
          </w:p>
        </w:tc>
        <w:tc>
          <w:tcPr>
            <w:tcW w:w="1474" w:type="dxa"/>
          </w:tcPr>
          <w:p w14:paraId="051B01F1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Diaria→mensual</w:t>
            </w:r>
          </w:p>
        </w:tc>
        <w:tc>
          <w:tcPr>
            <w:tcW w:w="1474" w:type="dxa"/>
          </w:tcPr>
          <w:p w14:paraId="78263930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Δlog</w:t>
            </w:r>
          </w:p>
        </w:tc>
      </w:tr>
      <w:tr w:rsidR="00064C7C" w14:paraId="4B8B12B3" w14:textId="77777777" w:rsidTr="00064C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06B78B56" w14:textId="77777777" w:rsidR="00064C7C" w:rsidRDefault="00803E71">
            <w:r>
              <w:rPr>
                <w:sz w:val="20"/>
              </w:rPr>
              <w:t>Local</w:t>
            </w:r>
          </w:p>
        </w:tc>
        <w:tc>
          <w:tcPr>
            <w:tcW w:w="1474" w:type="dxa"/>
          </w:tcPr>
          <w:p w14:paraId="4A692574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Tipo de cambio</w:t>
            </w:r>
          </w:p>
        </w:tc>
        <w:tc>
          <w:tcPr>
            <w:tcW w:w="1474" w:type="dxa"/>
          </w:tcPr>
          <w:p w14:paraId="3ECEAA5C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USD/CLP</w:t>
            </w:r>
          </w:p>
        </w:tc>
        <w:tc>
          <w:tcPr>
            <w:tcW w:w="1474" w:type="dxa"/>
          </w:tcPr>
          <w:p w14:paraId="196A4F62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BCCh / FRED</w:t>
            </w:r>
          </w:p>
        </w:tc>
        <w:tc>
          <w:tcPr>
            <w:tcW w:w="1474" w:type="dxa"/>
          </w:tcPr>
          <w:p w14:paraId="1E7432C7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Diaria→mensual</w:t>
            </w:r>
          </w:p>
        </w:tc>
        <w:tc>
          <w:tcPr>
            <w:tcW w:w="1474" w:type="dxa"/>
          </w:tcPr>
          <w:p w14:paraId="6ACCBD67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Δlog</w:t>
            </w:r>
          </w:p>
        </w:tc>
      </w:tr>
      <w:tr w:rsidR="00064C7C" w14:paraId="159BE687" w14:textId="77777777" w:rsidTr="00064C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315947A7" w14:textId="77777777" w:rsidR="00064C7C" w:rsidRDefault="00803E71">
            <w:r>
              <w:rPr>
                <w:sz w:val="20"/>
              </w:rPr>
              <w:t>Local</w:t>
            </w:r>
          </w:p>
        </w:tc>
        <w:tc>
          <w:tcPr>
            <w:tcW w:w="1474" w:type="dxa"/>
          </w:tcPr>
          <w:p w14:paraId="491E975A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Tasa local</w:t>
            </w:r>
          </w:p>
        </w:tc>
        <w:tc>
          <w:tcPr>
            <w:tcW w:w="1474" w:type="dxa"/>
          </w:tcPr>
          <w:p w14:paraId="35A12EB0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TPM</w:t>
            </w:r>
          </w:p>
        </w:tc>
        <w:tc>
          <w:tcPr>
            <w:tcW w:w="1474" w:type="dxa"/>
          </w:tcPr>
          <w:p w14:paraId="0388EB5C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BCCh</w:t>
            </w:r>
          </w:p>
        </w:tc>
        <w:tc>
          <w:tcPr>
            <w:tcW w:w="1474" w:type="dxa"/>
          </w:tcPr>
          <w:p w14:paraId="36B9DE99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Mensual</w:t>
            </w:r>
          </w:p>
        </w:tc>
        <w:tc>
          <w:tcPr>
            <w:tcW w:w="1474" w:type="dxa"/>
          </w:tcPr>
          <w:p w14:paraId="139D5393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Δ</w:t>
            </w:r>
          </w:p>
        </w:tc>
      </w:tr>
      <w:tr w:rsidR="00064C7C" w14:paraId="61BA0518" w14:textId="77777777" w:rsidTr="00064C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18E77E65" w14:textId="77777777" w:rsidR="00064C7C" w:rsidRDefault="00803E71">
            <w:r>
              <w:rPr>
                <w:sz w:val="20"/>
              </w:rPr>
              <w:t>Local</w:t>
            </w:r>
          </w:p>
        </w:tc>
        <w:tc>
          <w:tcPr>
            <w:tcW w:w="1474" w:type="dxa"/>
          </w:tcPr>
          <w:p w14:paraId="03E8A8C2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Actividad</w:t>
            </w:r>
          </w:p>
        </w:tc>
        <w:tc>
          <w:tcPr>
            <w:tcW w:w="1474" w:type="dxa"/>
          </w:tcPr>
          <w:p w14:paraId="0F9ED992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IMACEC</w:t>
            </w:r>
          </w:p>
        </w:tc>
        <w:tc>
          <w:tcPr>
            <w:tcW w:w="1474" w:type="dxa"/>
          </w:tcPr>
          <w:p w14:paraId="5C0D6744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BCCh</w:t>
            </w:r>
          </w:p>
        </w:tc>
        <w:tc>
          <w:tcPr>
            <w:tcW w:w="1474" w:type="dxa"/>
          </w:tcPr>
          <w:p w14:paraId="093F8282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Mensual</w:t>
            </w:r>
          </w:p>
        </w:tc>
        <w:tc>
          <w:tcPr>
            <w:tcW w:w="1474" w:type="dxa"/>
          </w:tcPr>
          <w:p w14:paraId="647E70CB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nivel/Δ</w:t>
            </w:r>
          </w:p>
        </w:tc>
      </w:tr>
      <w:tr w:rsidR="00064C7C" w14:paraId="43A76FCB" w14:textId="77777777" w:rsidTr="00064C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38625265" w14:textId="77777777" w:rsidR="00064C7C" w:rsidRDefault="00803E71">
            <w:r>
              <w:rPr>
                <w:sz w:val="20"/>
              </w:rPr>
              <w:t>Local</w:t>
            </w:r>
          </w:p>
        </w:tc>
        <w:tc>
          <w:tcPr>
            <w:tcW w:w="1474" w:type="dxa"/>
          </w:tcPr>
          <w:p w14:paraId="2EFFBD04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Riesgo país</w:t>
            </w:r>
          </w:p>
        </w:tc>
        <w:tc>
          <w:tcPr>
            <w:tcW w:w="1474" w:type="dxa"/>
          </w:tcPr>
          <w:p w14:paraId="24031181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EMBI Chile</w:t>
            </w:r>
          </w:p>
        </w:tc>
        <w:tc>
          <w:tcPr>
            <w:tcW w:w="1474" w:type="dxa"/>
          </w:tcPr>
          <w:p w14:paraId="24C34D8B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BCCh</w:t>
            </w:r>
          </w:p>
        </w:tc>
        <w:tc>
          <w:tcPr>
            <w:tcW w:w="1474" w:type="dxa"/>
          </w:tcPr>
          <w:p w14:paraId="73829281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Mensual</w:t>
            </w:r>
          </w:p>
        </w:tc>
        <w:tc>
          <w:tcPr>
            <w:tcW w:w="1474" w:type="dxa"/>
          </w:tcPr>
          <w:p w14:paraId="733B43DD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Δ</w:t>
            </w:r>
          </w:p>
        </w:tc>
      </w:tr>
      <w:tr w:rsidR="00064C7C" w14:paraId="0D281DDD" w14:textId="77777777" w:rsidTr="00064C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097897FD" w14:textId="77777777" w:rsidR="00064C7C" w:rsidRDefault="00803E71">
            <w:r>
              <w:rPr>
                <w:sz w:val="20"/>
              </w:rPr>
              <w:t>Empresa</w:t>
            </w:r>
          </w:p>
        </w:tc>
        <w:tc>
          <w:tcPr>
            <w:tcW w:w="1474" w:type="dxa"/>
          </w:tcPr>
          <w:p w14:paraId="726B8532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Tamaño</w:t>
            </w:r>
          </w:p>
        </w:tc>
        <w:tc>
          <w:tcPr>
            <w:tcW w:w="1474" w:type="dxa"/>
          </w:tcPr>
          <w:p w14:paraId="21E1C986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log(cap. bursátil)</w:t>
            </w:r>
          </w:p>
        </w:tc>
        <w:tc>
          <w:tcPr>
            <w:tcW w:w="1474" w:type="dxa"/>
          </w:tcPr>
          <w:p w14:paraId="6DFCE4FB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Mercado</w:t>
            </w:r>
          </w:p>
        </w:tc>
        <w:tc>
          <w:tcPr>
            <w:tcW w:w="1474" w:type="dxa"/>
          </w:tcPr>
          <w:p w14:paraId="19E96015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Mensual</w:t>
            </w:r>
          </w:p>
        </w:tc>
        <w:tc>
          <w:tcPr>
            <w:tcW w:w="1474" w:type="dxa"/>
          </w:tcPr>
          <w:p w14:paraId="2917B283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nivel</w:t>
            </w:r>
          </w:p>
        </w:tc>
      </w:tr>
      <w:tr w:rsidR="00064C7C" w14:paraId="0998F833" w14:textId="77777777" w:rsidTr="00064C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570E6BB2" w14:textId="77777777" w:rsidR="00064C7C" w:rsidRDefault="00803E71">
            <w:r>
              <w:rPr>
                <w:sz w:val="20"/>
              </w:rPr>
              <w:t>Empresa</w:t>
            </w:r>
          </w:p>
        </w:tc>
        <w:tc>
          <w:tcPr>
            <w:tcW w:w="1474" w:type="dxa"/>
          </w:tcPr>
          <w:p w14:paraId="5F465F48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Volatilidad</w:t>
            </w:r>
          </w:p>
        </w:tc>
        <w:tc>
          <w:tcPr>
            <w:tcW w:w="1474" w:type="dxa"/>
          </w:tcPr>
          <w:p w14:paraId="29C24245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desv. móvil retornos</w:t>
            </w:r>
          </w:p>
        </w:tc>
        <w:tc>
          <w:tcPr>
            <w:tcW w:w="1474" w:type="dxa"/>
          </w:tcPr>
          <w:p w14:paraId="1C75273D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Calculada</w:t>
            </w:r>
          </w:p>
        </w:tc>
        <w:tc>
          <w:tcPr>
            <w:tcW w:w="1474" w:type="dxa"/>
          </w:tcPr>
          <w:p w14:paraId="556EFE4A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Mensual</w:t>
            </w:r>
          </w:p>
        </w:tc>
        <w:tc>
          <w:tcPr>
            <w:tcW w:w="1474" w:type="dxa"/>
          </w:tcPr>
          <w:p w14:paraId="1E1E4064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nivel</w:t>
            </w:r>
          </w:p>
        </w:tc>
      </w:tr>
      <w:tr w:rsidR="00064C7C" w14:paraId="115812B2" w14:textId="77777777" w:rsidTr="00064C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4C767506" w14:textId="77777777" w:rsidR="00064C7C" w:rsidRDefault="00803E71">
            <w:r>
              <w:rPr>
                <w:sz w:val="20"/>
              </w:rPr>
              <w:t>Empresa</w:t>
            </w:r>
          </w:p>
        </w:tc>
        <w:tc>
          <w:tcPr>
            <w:tcW w:w="1474" w:type="dxa"/>
          </w:tcPr>
          <w:p w14:paraId="77743F5E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Apalancamiento</w:t>
            </w:r>
          </w:p>
        </w:tc>
        <w:tc>
          <w:tcPr>
            <w:tcW w:w="1474" w:type="dxa"/>
          </w:tcPr>
          <w:p w14:paraId="41AFF155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Deuda/Patrimonio</w:t>
            </w:r>
          </w:p>
        </w:tc>
        <w:tc>
          <w:tcPr>
            <w:tcW w:w="1474" w:type="dxa"/>
          </w:tcPr>
          <w:p w14:paraId="15CA3135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CMF</w:t>
            </w:r>
          </w:p>
        </w:tc>
        <w:tc>
          <w:tcPr>
            <w:tcW w:w="1474" w:type="dxa"/>
          </w:tcPr>
          <w:p w14:paraId="08CE843E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Trimestral→mensual</w:t>
            </w:r>
          </w:p>
        </w:tc>
        <w:tc>
          <w:tcPr>
            <w:tcW w:w="1474" w:type="dxa"/>
          </w:tcPr>
          <w:p w14:paraId="75B3E4A9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ffill+rezago</w:t>
            </w:r>
          </w:p>
        </w:tc>
      </w:tr>
    </w:tbl>
    <w:p w14:paraId="7AD1EE55" w14:textId="77777777" w:rsidR="00064C7C" w:rsidRDefault="00064C7C"/>
    <w:p w14:paraId="62B13182" w14:textId="77777777" w:rsidR="00064C7C" w:rsidRDefault="00803E71">
      <w:r>
        <w:t>*Referencias metodológicas completas en `docs/revision_literatura.md`, bloque 2.5.*</w:t>
      </w:r>
    </w:p>
    <w:p w14:paraId="42C5212B" w14:textId="77777777" w:rsidR="00064C7C" w:rsidRDefault="00803E71">
      <w:r>
        <w:lastRenderedPageBreak/>
        <w:br w:type="page"/>
      </w:r>
    </w:p>
    <w:p w14:paraId="1F963967" w14:textId="77777777" w:rsidR="00064C7C" w:rsidRDefault="00803E71">
      <w:pPr>
        <w:pStyle w:val="Ttulo1"/>
      </w:pPr>
      <w:bookmarkStart w:id="34" w:name="_Toc231076019"/>
      <w:r>
        <w:lastRenderedPageBreak/>
        <w:t>Capítulo 4 — Resultados y discusión</w:t>
      </w:r>
      <w:bookmarkEnd w:id="34"/>
    </w:p>
    <w:p w14:paraId="6124E288" w14:textId="77777777" w:rsidR="00064C7C" w:rsidRDefault="00803E71">
      <w:pPr>
        <w:pStyle w:val="Ttulo2"/>
      </w:pPr>
      <w:bookmarkStart w:id="35" w:name="_Toc231076020"/>
      <w:r>
        <w:t>4.1 Análisis descriptivo y propiedades de las series (OE1)</w:t>
      </w:r>
      <w:bookmarkEnd w:id="35"/>
    </w:p>
    <w:p w14:paraId="5F136B7F" w14:textId="77777777" w:rsidR="00064C7C" w:rsidRDefault="00803E71">
      <w:r>
        <w:t>Las pruebas de raíz unitaria confirman el patrón esperado y validan la estrategia de doble vía.</w:t>
      </w:r>
    </w:p>
    <w:p w14:paraId="070FDD27" w14:textId="77777777" w:rsidR="00064C7C" w:rsidRDefault="00803E71">
      <w:r>
        <w:t xml:space="preserve">El </w:t>
      </w:r>
      <w:r>
        <w:rPr>
          <w:b/>
        </w:rPr>
        <w:t>logaritmo del precio del cobre</w:t>
      </w:r>
      <w:r>
        <w:t xml:space="preserve"> resulta no estacionario en nivel —integrado de orden uno,</w:t>
      </w:r>
    </w:p>
    <w:p w14:paraId="06A3D7DF" w14:textId="77777777" w:rsidR="00064C7C" w:rsidRDefault="00803E71">
      <w:r>
        <w:t xml:space="preserve">I(1) (ADF p = 0,013; KPSS rechaza la estacionariedad, p = 0,014)— mientras que su </w:t>
      </w:r>
      <w:r>
        <w:rPr>
          <w:b/>
        </w:rPr>
        <w:t>retorno</w:t>
      </w:r>
    </w:p>
    <w:p w14:paraId="569D2A0D" w14:textId="77777777" w:rsidR="00064C7C" w:rsidRDefault="00803E71">
      <w:r>
        <w:t>(primera diferencia logarítmica) es estacionario, I(0) (ADF p = 0,0001; KPSS no rechaza, p = 0,10).</w:t>
      </w:r>
    </w:p>
    <w:p w14:paraId="66631CB9" w14:textId="77777777" w:rsidR="00064C7C" w:rsidRDefault="00803E71">
      <w:r>
        <w:t xml:space="preserve">Esta dicotomía sustenta el diseño: los </w:t>
      </w:r>
      <w:r>
        <w:rPr>
          <w:b/>
        </w:rPr>
        <w:t>retornos</w:t>
      </w:r>
      <w:r>
        <w:t xml:space="preserve"> alimentan los modelos de impacto de corto</w:t>
      </w:r>
    </w:p>
    <w:p w14:paraId="0351C38C" w14:textId="77777777" w:rsidR="00064C7C" w:rsidRDefault="00803E71">
      <w:r>
        <w:t xml:space="preserve">plazo (OE2, OE4) y los </w:t>
      </w:r>
      <w:r>
        <w:rPr>
          <w:b/>
        </w:rPr>
        <w:t>niveles I(1)</w:t>
      </w:r>
      <w:r>
        <w:t xml:space="preserve"> ingresan al análisis de cointegración (OE3).</w:t>
      </w:r>
    </w:p>
    <w:p w14:paraId="72C77945" w14:textId="77777777" w:rsidR="00064C7C" w:rsidRDefault="00803E71">
      <w:r>
        <w:t xml:space="preserve">El </w:t>
      </w:r>
      <w:r>
        <w:rPr>
          <w:b/>
        </w:rPr>
        <w:t>tipo de cambio USD/CLP</w:t>
      </w:r>
      <w:r>
        <w:t xml:space="preserve"> en logaritmo arroja un resultado ambiguo (ADF p = 0,150; KPSS</w:t>
      </w:r>
    </w:p>
    <w:p w14:paraId="69843ABC" w14:textId="77777777" w:rsidR="00064C7C" w:rsidRDefault="00803E71">
      <w:r>
        <w:t>rechaza), que el algoritmo clasifica como caso a revisar. La explicación más plausible es la</w:t>
      </w:r>
    </w:p>
    <w:p w14:paraId="10CE3A02" w14:textId="77777777" w:rsidR="00064C7C" w:rsidRDefault="00803E71">
      <w:r>
        <w:t xml:space="preserve">presencia de </w:t>
      </w:r>
      <w:r>
        <w:rPr>
          <w:b/>
        </w:rPr>
        <w:t>quiebres estructurales</w:t>
      </w:r>
      <w:r>
        <w:t xml:space="preserve"> (súper-ciclo del cobre, crisis de 2008, pandemia de 2020),</w:t>
      </w:r>
    </w:p>
    <w:p w14:paraId="52940DEE" w14:textId="77777777" w:rsidR="00064C7C" w:rsidRDefault="00803E71">
      <w:r>
        <w:t>ante los cuales las pruebas estándar pierden potencia. Se recomienda re-evaluar su orden de</w:t>
      </w:r>
    </w:p>
    <w:p w14:paraId="14E74DF0" w14:textId="77777777" w:rsidR="00064C7C" w:rsidRDefault="00803E71">
      <w:r>
        <w:t>integración con pruebas que admitan quiebres (Zivot-Andrews) antes de su uso definitivo.</w:t>
      </w:r>
    </w:p>
    <w:p w14:paraId="08A5A7F0" w14:textId="77777777" w:rsidR="00064C7C" w:rsidRDefault="00803E71">
      <w:pPr>
        <w:pStyle w:val="Ttulo2"/>
      </w:pPr>
      <w:bookmarkStart w:id="36" w:name="_Toc231076021"/>
      <w:r>
        <w:t>4.2 Determinantes de los retornos: global vs local (OE2)</w:t>
      </w:r>
      <w:bookmarkEnd w:id="36"/>
    </w:p>
    <w:p w14:paraId="56285B0F" w14:textId="77777777" w:rsidR="00064C7C" w:rsidRDefault="00803E71">
      <w:r>
        <w:t>El modelo de panel de efectos fijos con errores Driscoll-Kraay (muestra B, cinco productoras de</w:t>
      </w:r>
    </w:p>
    <w:p w14:paraId="653A231E" w14:textId="77777777" w:rsidR="00064C7C" w:rsidRDefault="00803E71">
      <w:r>
        <w:t>cobre con cotización internacional; R² within = 0,245) entrega los siguientes coeficientes: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947"/>
        <w:gridCol w:w="2947"/>
        <w:gridCol w:w="2947"/>
      </w:tblGrid>
      <w:tr w:rsidR="00064C7C" w14:paraId="7FEB03A4" w14:textId="77777777" w:rsidTr="00064C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</w:tcPr>
          <w:p w14:paraId="0262197B" w14:textId="77777777" w:rsidR="00064C7C" w:rsidRDefault="00803E71">
            <w:r>
              <w:rPr>
                <w:sz w:val="20"/>
              </w:rPr>
              <w:t>Factor</w:t>
            </w:r>
          </w:p>
        </w:tc>
        <w:tc>
          <w:tcPr>
            <w:tcW w:w="2947" w:type="dxa"/>
          </w:tcPr>
          <w:p w14:paraId="08784686" w14:textId="77777777" w:rsidR="00064C7C" w:rsidRDefault="00803E7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Coeficiente</w:t>
            </w:r>
          </w:p>
        </w:tc>
        <w:tc>
          <w:tcPr>
            <w:tcW w:w="2947" w:type="dxa"/>
          </w:tcPr>
          <w:p w14:paraId="09363710" w14:textId="77777777" w:rsidR="00064C7C" w:rsidRDefault="00803E7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Significancia</w:t>
            </w:r>
          </w:p>
        </w:tc>
      </w:tr>
      <w:tr w:rsidR="00064C7C" w14:paraId="1E6CDD46" w14:textId="77777777" w:rsidTr="00064C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</w:tcPr>
          <w:p w14:paraId="75F7AD47" w14:textId="77777777" w:rsidR="00064C7C" w:rsidRDefault="00803E71">
            <w:r>
              <w:rPr>
                <w:sz w:val="20"/>
              </w:rPr>
              <w:t>Precio del cobre (Δ)</w:t>
            </w:r>
          </w:p>
        </w:tc>
        <w:tc>
          <w:tcPr>
            <w:tcW w:w="2947" w:type="dxa"/>
          </w:tcPr>
          <w:p w14:paraId="39BF7C19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+0,571</w:t>
            </w:r>
          </w:p>
        </w:tc>
        <w:tc>
          <w:tcPr>
            <w:tcW w:w="2947" w:type="dxa"/>
          </w:tcPr>
          <w:p w14:paraId="020895F1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*** (sig. al 1%)</w:t>
            </w:r>
          </w:p>
        </w:tc>
      </w:tr>
      <w:tr w:rsidR="00064C7C" w14:paraId="4B6EAAA2" w14:textId="77777777" w:rsidTr="00064C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</w:tcPr>
          <w:p w14:paraId="51718C0A" w14:textId="77777777" w:rsidR="00064C7C" w:rsidRDefault="00803E71">
            <w:r>
              <w:rPr>
                <w:sz w:val="20"/>
              </w:rPr>
              <w:lastRenderedPageBreak/>
              <w:t>VIX (Δ)</w:t>
            </w:r>
          </w:p>
        </w:tc>
        <w:tc>
          <w:tcPr>
            <w:tcW w:w="2947" w:type="dxa"/>
          </w:tcPr>
          <w:p w14:paraId="0C1642AA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−</w:t>
            </w:r>
            <w:r>
              <w:rPr>
                <w:sz w:val="20"/>
              </w:rPr>
              <w:t>0,008</w:t>
            </w:r>
          </w:p>
        </w:tc>
        <w:tc>
          <w:tcPr>
            <w:tcW w:w="2947" w:type="dxa"/>
          </w:tcPr>
          <w:p w14:paraId="4D081DDE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* (sig.)</w:t>
            </w:r>
          </w:p>
        </w:tc>
      </w:tr>
      <w:tr w:rsidR="00064C7C" w14:paraId="37948C1E" w14:textId="77777777" w:rsidTr="00064C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</w:tcPr>
          <w:p w14:paraId="6F94F2A6" w14:textId="77777777" w:rsidR="00064C7C" w:rsidRDefault="00803E71">
            <w:r>
              <w:rPr>
                <w:sz w:val="20"/>
              </w:rPr>
              <w:t>Fed Funds (Δ)</w:t>
            </w:r>
          </w:p>
        </w:tc>
        <w:tc>
          <w:tcPr>
            <w:tcW w:w="2947" w:type="dxa"/>
          </w:tcPr>
          <w:p w14:paraId="402DB66D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+0,020</w:t>
            </w:r>
          </w:p>
        </w:tc>
        <w:tc>
          <w:tcPr>
            <w:tcW w:w="2947" w:type="dxa"/>
          </w:tcPr>
          <w:p w14:paraId="34BC51A2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n.s.</w:t>
            </w:r>
          </w:p>
        </w:tc>
      </w:tr>
      <w:tr w:rsidR="00064C7C" w14:paraId="610C8873" w14:textId="77777777" w:rsidTr="00064C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</w:tcPr>
          <w:p w14:paraId="58D033B0" w14:textId="77777777" w:rsidR="00064C7C" w:rsidRDefault="00803E71">
            <w:r>
              <w:rPr>
                <w:sz w:val="20"/>
              </w:rPr>
              <w:t>Treasury 10Y (Δ)</w:t>
            </w:r>
          </w:p>
        </w:tc>
        <w:tc>
          <w:tcPr>
            <w:tcW w:w="2947" w:type="dxa"/>
          </w:tcPr>
          <w:p w14:paraId="465BCA24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+0,023</w:t>
            </w:r>
          </w:p>
        </w:tc>
        <w:tc>
          <w:tcPr>
            <w:tcW w:w="2947" w:type="dxa"/>
          </w:tcPr>
          <w:p w14:paraId="4A66B3CC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n.s.</w:t>
            </w:r>
          </w:p>
        </w:tc>
      </w:tr>
      <w:tr w:rsidR="00064C7C" w14:paraId="6BEF5EFC" w14:textId="77777777" w:rsidTr="00064C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</w:tcPr>
          <w:p w14:paraId="38DBA0D5" w14:textId="77777777" w:rsidR="00064C7C" w:rsidRDefault="00803E71">
            <w:r>
              <w:rPr>
                <w:sz w:val="20"/>
              </w:rPr>
              <w:t>Tipo de cambio CLP (Δ)</w:t>
            </w:r>
          </w:p>
        </w:tc>
        <w:tc>
          <w:tcPr>
            <w:tcW w:w="2947" w:type="dxa"/>
          </w:tcPr>
          <w:p w14:paraId="5CB5EB49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−</w:t>
            </w:r>
            <w:r>
              <w:rPr>
                <w:b/>
                <w:sz w:val="20"/>
              </w:rPr>
              <w:t>1,574</w:t>
            </w:r>
          </w:p>
        </w:tc>
        <w:tc>
          <w:tcPr>
            <w:tcW w:w="2947" w:type="dxa"/>
          </w:tcPr>
          <w:p w14:paraId="4A103C8A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*** (sig.)</w:t>
            </w:r>
          </w:p>
        </w:tc>
      </w:tr>
      <w:tr w:rsidR="00064C7C" w14:paraId="19C3211E" w14:textId="77777777" w:rsidTr="00064C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</w:tcPr>
          <w:p w14:paraId="591BD61E" w14:textId="77777777" w:rsidR="00064C7C" w:rsidRDefault="00803E71">
            <w:r>
              <w:rPr>
                <w:sz w:val="20"/>
              </w:rPr>
              <w:t>Tasa local (Δ)</w:t>
            </w:r>
          </w:p>
        </w:tc>
        <w:tc>
          <w:tcPr>
            <w:tcW w:w="2947" w:type="dxa"/>
          </w:tcPr>
          <w:p w14:paraId="1BF21E62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−</w:t>
            </w:r>
            <w:r>
              <w:rPr>
                <w:sz w:val="20"/>
              </w:rPr>
              <w:t>0,007</w:t>
            </w:r>
          </w:p>
        </w:tc>
        <w:tc>
          <w:tcPr>
            <w:tcW w:w="2947" w:type="dxa"/>
          </w:tcPr>
          <w:p w14:paraId="32845524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n.s.</w:t>
            </w:r>
          </w:p>
        </w:tc>
      </w:tr>
      <w:tr w:rsidR="00064C7C" w14:paraId="0F694055" w14:textId="77777777" w:rsidTr="00064C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</w:tcPr>
          <w:p w14:paraId="6DDA49F9" w14:textId="77777777" w:rsidR="00064C7C" w:rsidRDefault="00803E71">
            <w:r>
              <w:rPr>
                <w:sz w:val="20"/>
              </w:rPr>
              <w:t>Actividad local (Δ)</w:t>
            </w:r>
          </w:p>
        </w:tc>
        <w:tc>
          <w:tcPr>
            <w:tcW w:w="2947" w:type="dxa"/>
          </w:tcPr>
          <w:p w14:paraId="6A54B9A2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−</w:t>
            </w:r>
            <w:r>
              <w:rPr>
                <w:sz w:val="20"/>
              </w:rPr>
              <w:t>0,523</w:t>
            </w:r>
          </w:p>
        </w:tc>
        <w:tc>
          <w:tcPr>
            <w:tcW w:w="2947" w:type="dxa"/>
          </w:tcPr>
          <w:p w14:paraId="4F627682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n.s.</w:t>
            </w:r>
          </w:p>
        </w:tc>
      </w:tr>
    </w:tbl>
    <w:p w14:paraId="53D5ADF5" w14:textId="77777777" w:rsidR="00064C7C" w:rsidRDefault="00064C7C"/>
    <w:p w14:paraId="477F68DE" w14:textId="77777777" w:rsidR="00064C7C" w:rsidRDefault="00803E71">
      <w:r>
        <w:t>Tres lecturas se desprenden:</w:t>
      </w:r>
    </w:p>
    <w:p w14:paraId="7DE6F6D2" w14:textId="77777777" w:rsidR="00064C7C" w:rsidRDefault="00803E71">
      <w:pPr>
        <w:pStyle w:val="Listaconnmeros"/>
      </w:pPr>
      <w:r>
        <w:rPr>
          <w:b/>
        </w:rPr>
        <w:t>El cobre domina (H1 respaldada).</w:t>
      </w:r>
      <w:r>
        <w:t xml:space="preserve"> El coeficiente del cobre es positivo, de magnitud</w:t>
      </w:r>
    </w:p>
    <w:p w14:paraId="2097BEE4" w14:textId="77777777" w:rsidR="00064C7C" w:rsidRDefault="00803E71">
      <w:r>
        <w:t xml:space="preserve">   económica relevante y altamente significativo: un aumento del precio del cobre se traduce en</w:t>
      </w:r>
    </w:p>
    <w:p w14:paraId="7882FA2E" w14:textId="77777777" w:rsidR="00064C7C" w:rsidRDefault="00803E71">
      <w:r>
        <w:t xml:space="preserve">   mayores retornos, consistente con el canal de ingresos. Es el determinante central del valor</w:t>
      </w:r>
    </w:p>
    <w:p w14:paraId="53C4B03E" w14:textId="77777777" w:rsidR="00064C7C" w:rsidRDefault="00803E71">
      <w:r>
        <w:t xml:space="preserve">   del sector.</w:t>
      </w:r>
    </w:p>
    <w:p w14:paraId="3BAA2C57" w14:textId="77777777" w:rsidR="00064C7C" w:rsidRDefault="00803E71">
      <w:pPr>
        <w:pStyle w:val="Listaconnmeros"/>
      </w:pPr>
      <w:r>
        <w:rPr>
          <w:b/>
        </w:rPr>
        <w:t>El tipo de cambio tiene efecto negativo y fuerte.</w:t>
      </w:r>
      <w:r>
        <w:t xml:space="preserve"> Una depreciación del peso (↑ USD/CLP) se</w:t>
      </w:r>
    </w:p>
    <w:p w14:paraId="0A73DC14" w14:textId="77777777" w:rsidR="00064C7C" w:rsidRDefault="00803E71">
      <w:r>
        <w:t xml:space="preserve">   asocia a retornos negativos. Para empresas que cotizan y valoran en dólares, la depreciación</w:t>
      </w:r>
    </w:p>
    <w:p w14:paraId="19CE8FE9" w14:textId="77777777" w:rsidR="00064C7C" w:rsidRDefault="00803E71">
      <w:r>
        <w:t xml:space="preserve">   del peso suele coincidir con episodios de aversión al riesgo y caída del cobre, de modo que el</w:t>
      </w:r>
    </w:p>
    <w:p w14:paraId="24738A4E" w14:textId="77777777" w:rsidR="00064C7C" w:rsidRDefault="00803E71">
      <w:r>
        <w:t xml:space="preserve">   signo capta tanto el canal de competitividad como el de riesgo. Este resultado confirma la</w:t>
      </w:r>
    </w:p>
    <w:p w14:paraId="7F8D8FB3" w14:textId="77777777" w:rsidR="00064C7C" w:rsidRDefault="00803E71">
      <w:r>
        <w:t xml:space="preserve">   ambigüedad teórica anticipada (H2) y merece un análisis fino por empresa.</w:t>
      </w:r>
    </w:p>
    <w:p w14:paraId="74CEBD29" w14:textId="77777777" w:rsidR="00064C7C" w:rsidRDefault="00803E71">
      <w:pPr>
        <w:pStyle w:val="Listaconnmeros"/>
      </w:pPr>
      <w:r>
        <w:t>**El riesgo global (VIX) pesa; los factores locales de tasa y actividad, no (en esta</w:t>
      </w:r>
    </w:p>
    <w:p w14:paraId="3A3BC6E8" w14:textId="77777777" w:rsidR="00064C7C" w:rsidRDefault="00803E71">
      <w:r>
        <w:t xml:space="preserve">   especificación).** La no significancia de la tasa y la actividad locales es esperable a la luz</w:t>
      </w:r>
    </w:p>
    <w:p w14:paraId="224A733F" w14:textId="77777777" w:rsidR="00064C7C" w:rsidRDefault="00803E71">
      <w:r>
        <w:lastRenderedPageBreak/>
        <w:t xml:space="preserve">   de la ausencia, por ahora, del EMBI y de un IMACEC propiamente tal, y por tratarse de empresas</w:t>
      </w:r>
    </w:p>
    <w:p w14:paraId="1D33FDDF" w14:textId="77777777" w:rsidR="00064C7C" w:rsidRDefault="00803E71">
      <w:r>
        <w:t xml:space="preserve">   internacionales (muestra B) menos sensibles al ciclo doméstico. Globalmente, los factores</w:t>
      </w:r>
    </w:p>
    <w:p w14:paraId="6E9F2083" w14:textId="77777777" w:rsidR="00064C7C" w:rsidRDefault="00803E71">
      <w:r>
        <w:t xml:space="preserve">   internacionales (cobre + VIX) dominan a los locales, primera evidencia a favor de H6.</w:t>
      </w:r>
    </w:p>
    <w:p w14:paraId="69AF2CE3" w14:textId="77777777" w:rsidR="00064C7C" w:rsidRDefault="00803E71">
      <w:pPr>
        <w:jc w:val="center"/>
      </w:pPr>
      <w:r>
        <w:rPr>
          <w:noProof/>
        </w:rPr>
        <w:drawing>
          <wp:inline distT="0" distB="0" distL="0" distR="0" wp14:anchorId="336A0442" wp14:editId="053223A8">
            <wp:extent cx="5394960" cy="293310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oeficient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3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9DE81" w14:textId="77777777" w:rsidR="00064C7C" w:rsidRDefault="00803E71">
      <w:pPr>
        <w:jc w:val="center"/>
      </w:pPr>
      <w:r>
        <w:rPr>
          <w:i/>
          <w:sz w:val="20"/>
        </w:rPr>
        <w:t>Sensibilidad de los retornos a cada factor macro-financiero (muestra B).</w:t>
      </w:r>
    </w:p>
    <w:p w14:paraId="12B9ACC5" w14:textId="77777777" w:rsidR="00064C7C" w:rsidRDefault="00803E71">
      <w:pPr>
        <w:pStyle w:val="Ttulo2"/>
      </w:pPr>
      <w:bookmarkStart w:id="37" w:name="_Toc231076022"/>
      <w:r>
        <w:t>4.3 Relaciones de largo plazo (OE3)</w:t>
      </w:r>
      <w:bookmarkEnd w:id="37"/>
    </w:p>
    <w:p w14:paraId="7825B3FE" w14:textId="77777777" w:rsidR="00064C7C" w:rsidRDefault="00803E71">
      <w:r>
        <w:t xml:space="preserve">La evidencia de cointegración es </w:t>
      </w:r>
      <w:r>
        <w:rPr>
          <w:b/>
        </w:rPr>
        <w:t>mixta y, por tanto, no concluyente</w:t>
      </w:r>
      <w:r>
        <w:t>. El test de Johansen sobre</w:t>
      </w:r>
    </w:p>
    <w:p w14:paraId="597708D8" w14:textId="77777777" w:rsidR="00064C7C" w:rsidRDefault="00803E71">
      <w:r>
        <w:t xml:space="preserve">las series en </w:t>
      </w:r>
      <w:r>
        <w:t>nivel (valor de la acción, cobre, tipo de cambio) detecta **un vector de</w:t>
      </w:r>
    </w:p>
    <w:p w14:paraId="469B3656" w14:textId="77777777" w:rsidR="00064C7C" w:rsidRDefault="00803E71">
      <w:r>
        <w:t>cointegración** (estadístico de traza 32,1 &gt; 29,8 al 95%), lo que sugiere una relación de equilibrio</w:t>
      </w:r>
    </w:p>
    <w:p w14:paraId="4B806259" w14:textId="77777777" w:rsidR="00064C7C" w:rsidRDefault="00803E71">
      <w:r>
        <w:t xml:space="preserve">de largo plazo. Sin embargo, el </w:t>
      </w:r>
      <w:r>
        <w:rPr>
          <w:b/>
        </w:rPr>
        <w:t>test de bordes ARDL</w:t>
      </w:r>
      <w:r>
        <w:t xml:space="preserve"> no permite rechazar la ausencia de</w:t>
      </w:r>
    </w:p>
    <w:p w14:paraId="1749D9C2" w14:textId="77777777" w:rsidR="00064C7C" w:rsidRDefault="00803E71">
      <w:r>
        <w:t>relación de nivel (estadístico F de bordes ≈ 0,95, por debajo de las cotas críticas). Esta</w:t>
      </w:r>
    </w:p>
    <w:p w14:paraId="0733B0C3" w14:textId="77777777" w:rsidR="00064C7C" w:rsidRDefault="00803E71">
      <w:r>
        <w:t>discrepancia es habitual cuando el orden de integración de alguna variable no es nítido —como</w:t>
      </w:r>
    </w:p>
    <w:p w14:paraId="6510CEAD" w14:textId="77777777" w:rsidR="00064C7C" w:rsidRDefault="00803E71">
      <w:r>
        <w:lastRenderedPageBreak/>
        <w:t>ocurre aquí con el tipo de cambio (§4.1)—. La conclusión prudente es **suspender el juicio sobre</w:t>
      </w:r>
    </w:p>
    <w:p w14:paraId="50D5B8A2" w14:textId="77777777" w:rsidR="00064C7C" w:rsidRDefault="00803E71">
      <w:r>
        <w:t>H5** hasta resolver el orden de integración del tipo de cambio y reespecificar el vector de largo</w:t>
      </w:r>
    </w:p>
    <w:p w14:paraId="32190D5F" w14:textId="77777777" w:rsidR="00064C7C" w:rsidRDefault="00803E71">
      <w:r>
        <w:t>plazo (por ejemplo, incorporando quiebres o reconsiderando los regresores).</w:t>
      </w:r>
    </w:p>
    <w:p w14:paraId="0622CC48" w14:textId="77777777" w:rsidR="00064C7C" w:rsidRDefault="00803E71">
      <w:pPr>
        <w:pStyle w:val="Ttulo2"/>
      </w:pPr>
      <w:bookmarkStart w:id="38" w:name="_Toc231076023"/>
      <w:r>
        <w:t>4.4 Dinámica de shocks (OE4)</w:t>
      </w:r>
      <w:bookmarkEnd w:id="38"/>
    </w:p>
    <w:p w14:paraId="0003A6AC" w14:textId="77777777" w:rsidR="00064C7C" w:rsidRDefault="00803E71">
      <w:r>
        <w:t>La descomposición de la varianza del error de pronóstico del retorno (FEVD, horizonte de 12 meses,</w:t>
      </w:r>
    </w:p>
    <w:p w14:paraId="271DD706" w14:textId="77777777" w:rsidR="00064C7C" w:rsidRDefault="00803E71">
      <w:r>
        <w:t>muestra B) reparte la varianza así: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421"/>
        <w:gridCol w:w="4421"/>
      </w:tblGrid>
      <w:tr w:rsidR="00064C7C" w14:paraId="4EB9A456" w14:textId="77777777" w:rsidTr="00064C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1" w:type="dxa"/>
          </w:tcPr>
          <w:p w14:paraId="3ECEC00C" w14:textId="77777777" w:rsidR="00064C7C" w:rsidRDefault="00803E71">
            <w:r>
              <w:rPr>
                <w:sz w:val="20"/>
              </w:rPr>
              <w:t>Fuente del shock</w:t>
            </w:r>
          </w:p>
        </w:tc>
        <w:tc>
          <w:tcPr>
            <w:tcW w:w="4421" w:type="dxa"/>
          </w:tcPr>
          <w:p w14:paraId="1CAA5CDF" w14:textId="77777777" w:rsidR="00064C7C" w:rsidRDefault="00803E7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Fracción de la varianza</w:t>
            </w:r>
          </w:p>
        </w:tc>
      </w:tr>
      <w:tr w:rsidR="00064C7C" w14:paraId="46DDADFF" w14:textId="77777777" w:rsidTr="00064C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1" w:type="dxa"/>
          </w:tcPr>
          <w:p w14:paraId="42E26277" w14:textId="77777777" w:rsidR="00064C7C" w:rsidRDefault="00803E71">
            <w:r>
              <w:rPr>
                <w:sz w:val="20"/>
              </w:rPr>
              <w:t>Componente propio (idiosincrático)</w:t>
            </w:r>
          </w:p>
        </w:tc>
        <w:tc>
          <w:tcPr>
            <w:tcW w:w="4421" w:type="dxa"/>
          </w:tcPr>
          <w:p w14:paraId="01E8464D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62,7%</w:t>
            </w:r>
          </w:p>
        </w:tc>
      </w:tr>
      <w:tr w:rsidR="00064C7C" w14:paraId="0DD18C0A" w14:textId="77777777" w:rsidTr="00064C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1" w:type="dxa"/>
          </w:tcPr>
          <w:p w14:paraId="4168E80E" w14:textId="77777777" w:rsidR="00064C7C" w:rsidRDefault="00803E71">
            <w:r>
              <w:rPr>
                <w:sz w:val="20"/>
              </w:rPr>
              <w:t>Precio del cobre</w:t>
            </w:r>
          </w:p>
        </w:tc>
        <w:tc>
          <w:tcPr>
            <w:tcW w:w="4421" w:type="dxa"/>
          </w:tcPr>
          <w:p w14:paraId="709B3873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18,0%</w:t>
            </w:r>
          </w:p>
        </w:tc>
      </w:tr>
      <w:tr w:rsidR="00064C7C" w14:paraId="236F6BE7" w14:textId="77777777" w:rsidTr="00064C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1" w:type="dxa"/>
          </w:tcPr>
          <w:p w14:paraId="3AF623A4" w14:textId="77777777" w:rsidR="00064C7C" w:rsidRDefault="00803E71">
            <w:r>
              <w:rPr>
                <w:sz w:val="20"/>
              </w:rPr>
              <w:t>VIX (riesgo global)</w:t>
            </w:r>
          </w:p>
        </w:tc>
        <w:tc>
          <w:tcPr>
            <w:tcW w:w="4421" w:type="dxa"/>
          </w:tcPr>
          <w:p w14:paraId="0FC21369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14,0%</w:t>
            </w:r>
          </w:p>
        </w:tc>
      </w:tr>
      <w:tr w:rsidR="00064C7C" w14:paraId="04BC1E4C" w14:textId="77777777" w:rsidTr="00064C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1" w:type="dxa"/>
          </w:tcPr>
          <w:p w14:paraId="048B3EB5" w14:textId="77777777" w:rsidR="00064C7C" w:rsidRDefault="00803E71">
            <w:r>
              <w:rPr>
                <w:sz w:val="20"/>
              </w:rPr>
              <w:t xml:space="preserve">Tasa </w:t>
            </w:r>
            <w:r>
              <w:rPr>
                <w:sz w:val="20"/>
              </w:rPr>
              <w:t>local</w:t>
            </w:r>
          </w:p>
        </w:tc>
        <w:tc>
          <w:tcPr>
            <w:tcW w:w="4421" w:type="dxa"/>
          </w:tcPr>
          <w:p w14:paraId="6CF16BA9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3,1%</w:t>
            </w:r>
          </w:p>
        </w:tc>
      </w:tr>
      <w:tr w:rsidR="00064C7C" w14:paraId="57B3D9A3" w14:textId="77777777" w:rsidTr="00064C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1" w:type="dxa"/>
          </w:tcPr>
          <w:p w14:paraId="3FE2EC4D" w14:textId="77777777" w:rsidR="00064C7C" w:rsidRDefault="00803E71">
            <w:r>
              <w:rPr>
                <w:sz w:val="20"/>
              </w:rPr>
              <w:t>Tipo de cambio</w:t>
            </w:r>
          </w:p>
        </w:tc>
        <w:tc>
          <w:tcPr>
            <w:tcW w:w="4421" w:type="dxa"/>
          </w:tcPr>
          <w:p w14:paraId="7F9023A1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2,2%</w:t>
            </w:r>
          </w:p>
        </w:tc>
      </w:tr>
    </w:tbl>
    <w:p w14:paraId="29B12FB0" w14:textId="77777777" w:rsidR="00064C7C" w:rsidRDefault="00064C7C"/>
    <w:p w14:paraId="0D7F34E1" w14:textId="77777777" w:rsidR="00064C7C" w:rsidRDefault="00803E71">
      <w:r>
        <w:t xml:space="preserve">La causalidad de Granger confirma que el precio del cobre </w:t>
      </w:r>
      <w:r>
        <w:rPr>
          <w:b/>
        </w:rPr>
        <w:t>antecede</w:t>
      </w:r>
      <w:r>
        <w:t xml:space="preserve"> a los retornos del sector.</w:t>
      </w:r>
    </w:p>
    <w:p w14:paraId="641C4938" w14:textId="77777777" w:rsidR="00064C7C" w:rsidRDefault="00803E71">
      <w:r>
        <w:t>Más allá del componente idiosincrático, **los shocks globales (cobre + VIX ≈ 32%) explican una</w:t>
      </w:r>
    </w:p>
    <w:p w14:paraId="2C31CD00" w14:textId="77777777" w:rsidR="00064C7C" w:rsidRDefault="00803E71">
      <w:r>
        <w:t>fracción muy superior a los locales (≈ 5%)**, lo que constituye la evidencia más nítida a favor de</w:t>
      </w:r>
    </w:p>
    <w:p w14:paraId="0D9242CF" w14:textId="77777777" w:rsidR="00064C7C" w:rsidRDefault="00803E71">
      <w:r>
        <w:rPr>
          <w:b/>
        </w:rPr>
        <w:t>H6 (dominancia de los factores globales)</w:t>
      </w:r>
      <w:r>
        <w:t>. La función impulso-respuesta (no tabulada aquí)</w:t>
      </w:r>
    </w:p>
    <w:p w14:paraId="3F19AF74" w14:textId="77777777" w:rsidR="00064C7C" w:rsidRDefault="00803E71">
      <w:r>
        <w:t>muestra una reacción positiva del retorno ante un shock del cobre, coherente con H1.</w:t>
      </w:r>
    </w:p>
    <w:p w14:paraId="576CCE14" w14:textId="77777777" w:rsidR="00064C7C" w:rsidRDefault="00803E71">
      <w:pPr>
        <w:jc w:val="center"/>
      </w:pPr>
      <w:r>
        <w:rPr>
          <w:noProof/>
        </w:rPr>
        <w:lastRenderedPageBreak/>
        <w:drawing>
          <wp:inline distT="0" distB="0" distL="0" distR="0" wp14:anchorId="6F8EA90A" wp14:editId="4EF7C9A3">
            <wp:extent cx="5394960" cy="40268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fev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02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AC669" w14:textId="77777777" w:rsidR="00064C7C" w:rsidRDefault="00803E71">
      <w:pPr>
        <w:jc w:val="center"/>
      </w:pPr>
      <w:r>
        <w:rPr>
          <w:i/>
          <w:sz w:val="20"/>
        </w:rPr>
        <w:t>Descomposición de la varianza del error de pronóstico del retorno (FEVD, horizonte 12 meses).</w:t>
      </w:r>
    </w:p>
    <w:p w14:paraId="780A6842" w14:textId="77777777" w:rsidR="00064C7C" w:rsidRDefault="00803E71">
      <w:pPr>
        <w:pStyle w:val="Ttulo2"/>
      </w:pPr>
      <w:bookmarkStart w:id="39" w:name="_Toc231076024"/>
      <w:r>
        <w:t>4.5 Estabilidad por fases del ciclo del cobre (OE5)</w:t>
      </w:r>
      <w:bookmarkEnd w:id="39"/>
    </w:p>
    <w:p w14:paraId="424E9C12" w14:textId="77777777" w:rsidR="00064C7C" w:rsidRDefault="00803E71">
      <w:r>
        <w:t>El algoritmo de Bry-Boschan identifica una secuencia coherente de fases de expansión y contracción</w:t>
      </w:r>
    </w:p>
    <w:p w14:paraId="5CC62E30" w14:textId="77777777" w:rsidR="00064C7C" w:rsidRDefault="00803E71">
      <w:r>
        <w:t xml:space="preserve">del precio del </w:t>
      </w:r>
      <w:r>
        <w:t>cobre a lo largo de 2004–2024, capturando el súper-ciclo (auge hasta 2011),</w:t>
      </w:r>
    </w:p>
    <w:p w14:paraId="39E6C480" w14:textId="77777777" w:rsidR="00064C7C" w:rsidRDefault="00803E71">
      <w:r>
        <w:t>la corrección posterior, el shock de 2020 y la recuperación reciente. La infraestructura para</w:t>
      </w:r>
    </w:p>
    <w:p w14:paraId="650D2CE7" w14:textId="77777777" w:rsidR="00064C7C" w:rsidRDefault="00803E71">
      <w:r>
        <w:t xml:space="preserve">estimar la </w:t>
      </w:r>
      <w:r>
        <w:rPr>
          <w:b/>
        </w:rPr>
        <w:t>sensibilidad condicional al régimen</w:t>
      </w:r>
      <w:r>
        <w:t xml:space="preserve"> (términos de interacción y re-estimación por</w:t>
      </w:r>
    </w:p>
    <w:p w14:paraId="458081EB" w14:textId="77777777" w:rsidR="00064C7C" w:rsidRDefault="00803E71">
      <w:r>
        <w:t>subperíodo) está implementada; su estimación definitiva se realizará una vez consolidado el</w:t>
      </w:r>
    </w:p>
    <w:p w14:paraId="6E04F2B4" w14:textId="77777777" w:rsidR="00064C7C" w:rsidRDefault="00803E71">
      <w:r>
        <w:t>conjunto de datos. La hipótesis a contrastar es una **mayor sensibilidad al cobre en expansión que</w:t>
      </w:r>
    </w:p>
    <w:p w14:paraId="4EDFD787" w14:textId="77777777" w:rsidR="00064C7C" w:rsidRDefault="00803E71">
      <w:r>
        <w:t>en contracción** (asimetría de régimen).</w:t>
      </w:r>
    </w:p>
    <w:p w14:paraId="7C5C44DC" w14:textId="77777777" w:rsidR="00064C7C" w:rsidRDefault="00803E71">
      <w:pPr>
        <w:jc w:val="center"/>
      </w:pPr>
      <w:r>
        <w:rPr>
          <w:noProof/>
        </w:rPr>
        <w:lastRenderedPageBreak/>
        <w:drawing>
          <wp:inline distT="0" distB="0" distL="0" distR="0" wp14:anchorId="12FF465D" wp14:editId="663B1096">
            <wp:extent cx="5394960" cy="244975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iclo_cob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49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A9E8F" w14:textId="77777777" w:rsidR="00064C7C" w:rsidRDefault="00803E71">
      <w:pPr>
        <w:jc w:val="center"/>
      </w:pPr>
      <w:r>
        <w:rPr>
          <w:i/>
          <w:sz w:val="20"/>
        </w:rPr>
        <w:t xml:space="preserve">Precio del </w:t>
      </w:r>
      <w:r>
        <w:rPr>
          <w:i/>
          <w:sz w:val="20"/>
        </w:rPr>
        <w:t>cobre y fases del ciclo (expansión/contracción) fechadas con Bry-Boschan.</w:t>
      </w:r>
    </w:p>
    <w:p w14:paraId="4A31D0DB" w14:textId="77777777" w:rsidR="00064C7C" w:rsidRDefault="00803E71">
      <w:pPr>
        <w:pStyle w:val="Ttulo2"/>
      </w:pPr>
      <w:bookmarkStart w:id="40" w:name="_Toc231076025"/>
      <w:r>
        <w:t>4.6 Comparación entre mercados: triangulación (OE6)</w:t>
      </w:r>
      <w:bookmarkEnd w:id="40"/>
    </w:p>
    <w:p w14:paraId="7426339A" w14:textId="77777777" w:rsidR="00064C7C" w:rsidRDefault="00803E71">
      <w:r>
        <w:t>La tabla comparativa entre las tres muestras ofrece la primera evidencia sobre la transmisión</w:t>
      </w:r>
    </w:p>
    <w:p w14:paraId="7896972C" w14:textId="77777777" w:rsidR="00064C7C" w:rsidRDefault="00803E71">
      <w:r>
        <w:t>diferenciada del impacto macroeconómico: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768"/>
        <w:gridCol w:w="1768"/>
        <w:gridCol w:w="1768"/>
        <w:gridCol w:w="1768"/>
        <w:gridCol w:w="1768"/>
      </w:tblGrid>
      <w:tr w:rsidR="00064C7C" w14:paraId="4F76A3F4" w14:textId="77777777" w:rsidTr="00064C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8" w:type="dxa"/>
          </w:tcPr>
          <w:p w14:paraId="4432797B" w14:textId="77777777" w:rsidR="00064C7C" w:rsidRDefault="00803E71">
            <w:r>
              <w:rPr>
                <w:sz w:val="20"/>
              </w:rPr>
              <w:t>Muestra</w:t>
            </w:r>
          </w:p>
        </w:tc>
        <w:tc>
          <w:tcPr>
            <w:tcW w:w="1768" w:type="dxa"/>
          </w:tcPr>
          <w:p w14:paraId="5F6B3F52" w14:textId="77777777" w:rsidR="00064C7C" w:rsidRDefault="00803E7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Mercado</w:t>
            </w:r>
          </w:p>
        </w:tc>
        <w:tc>
          <w:tcPr>
            <w:tcW w:w="1768" w:type="dxa"/>
          </w:tcPr>
          <w:p w14:paraId="30690C40" w14:textId="77777777" w:rsidR="00064C7C" w:rsidRDefault="00803E7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β cobre</w:t>
            </w:r>
          </w:p>
        </w:tc>
        <w:tc>
          <w:tcPr>
            <w:tcW w:w="1768" w:type="dxa"/>
          </w:tcPr>
          <w:p w14:paraId="4907B676" w14:textId="77777777" w:rsidR="00064C7C" w:rsidRDefault="00803E7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R²</w:t>
            </w:r>
          </w:p>
        </w:tc>
        <w:tc>
          <w:tcPr>
            <w:tcW w:w="1768" w:type="dxa"/>
          </w:tcPr>
          <w:p w14:paraId="47EFA415" w14:textId="77777777" w:rsidR="00064C7C" w:rsidRDefault="00803E7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Varianza por shocks globales</w:t>
            </w:r>
          </w:p>
        </w:tc>
      </w:tr>
      <w:tr w:rsidR="00064C7C" w14:paraId="496610F2" w14:textId="77777777" w:rsidTr="00064C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8" w:type="dxa"/>
          </w:tcPr>
          <w:p w14:paraId="157C97D1" w14:textId="77777777" w:rsidR="00064C7C" w:rsidRDefault="00803E71">
            <w:r>
              <w:rPr>
                <w:sz w:val="20"/>
              </w:rPr>
              <w:t>B · cobre internacional</w:t>
            </w:r>
          </w:p>
        </w:tc>
        <w:tc>
          <w:tcPr>
            <w:tcW w:w="1768" w:type="dxa"/>
          </w:tcPr>
          <w:p w14:paraId="67D8EE09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global</w:t>
            </w:r>
          </w:p>
        </w:tc>
        <w:tc>
          <w:tcPr>
            <w:tcW w:w="1768" w:type="dxa"/>
          </w:tcPr>
          <w:p w14:paraId="0830C98E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0,571</w:t>
            </w:r>
          </w:p>
        </w:tc>
        <w:tc>
          <w:tcPr>
            <w:tcW w:w="1768" w:type="dxa"/>
          </w:tcPr>
          <w:p w14:paraId="52B110D8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0,245</w:t>
            </w:r>
          </w:p>
        </w:tc>
        <w:tc>
          <w:tcPr>
            <w:tcW w:w="1768" w:type="dxa"/>
          </w:tcPr>
          <w:p w14:paraId="6DE01A83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0,320</w:t>
            </w:r>
          </w:p>
        </w:tc>
      </w:tr>
      <w:tr w:rsidR="00064C7C" w14:paraId="56A8A41B" w14:textId="77777777" w:rsidTr="00064C7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8" w:type="dxa"/>
          </w:tcPr>
          <w:p w14:paraId="6BA4E968" w14:textId="77777777" w:rsidR="00064C7C" w:rsidRDefault="00803E71">
            <w:r>
              <w:rPr>
                <w:sz w:val="20"/>
              </w:rPr>
              <w:t>A · cobre Chile (Pucobre)</w:t>
            </w:r>
          </w:p>
        </w:tc>
        <w:tc>
          <w:tcPr>
            <w:tcW w:w="1768" w:type="dxa"/>
          </w:tcPr>
          <w:p w14:paraId="309B1E4A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chileno</w:t>
            </w:r>
          </w:p>
        </w:tc>
        <w:tc>
          <w:tcPr>
            <w:tcW w:w="1768" w:type="dxa"/>
          </w:tcPr>
          <w:p w14:paraId="49E5B8C0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0,631</w:t>
            </w:r>
          </w:p>
        </w:tc>
        <w:tc>
          <w:tcPr>
            <w:tcW w:w="1768" w:type="dxa"/>
          </w:tcPr>
          <w:p w14:paraId="0CED7C9D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0,331</w:t>
            </w:r>
          </w:p>
        </w:tc>
        <w:tc>
          <w:tcPr>
            <w:tcW w:w="1768" w:type="dxa"/>
          </w:tcPr>
          <w:p w14:paraId="0DD244DE" w14:textId="77777777" w:rsidR="00064C7C" w:rsidRDefault="00803E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0,295</w:t>
            </w:r>
          </w:p>
        </w:tc>
      </w:tr>
      <w:tr w:rsidR="00064C7C" w14:paraId="291986D8" w14:textId="77777777" w:rsidTr="00064C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8" w:type="dxa"/>
          </w:tcPr>
          <w:p w14:paraId="1EAC8723" w14:textId="77777777" w:rsidR="00064C7C" w:rsidRDefault="00803E71">
            <w:r>
              <w:rPr>
                <w:sz w:val="20"/>
              </w:rPr>
              <w:t>C · minería Chile</w:t>
            </w:r>
          </w:p>
        </w:tc>
        <w:tc>
          <w:tcPr>
            <w:tcW w:w="1768" w:type="dxa"/>
          </w:tcPr>
          <w:p w14:paraId="5BC90FB2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chileno</w:t>
            </w:r>
          </w:p>
        </w:tc>
        <w:tc>
          <w:tcPr>
            <w:tcW w:w="1768" w:type="dxa"/>
          </w:tcPr>
          <w:p w14:paraId="4B6C1287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0,418</w:t>
            </w:r>
          </w:p>
        </w:tc>
        <w:tc>
          <w:tcPr>
            <w:tcW w:w="1768" w:type="dxa"/>
          </w:tcPr>
          <w:p w14:paraId="0C0FB058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0,113</w:t>
            </w:r>
          </w:p>
        </w:tc>
        <w:tc>
          <w:tcPr>
            <w:tcW w:w="1768" w:type="dxa"/>
          </w:tcPr>
          <w:p w14:paraId="50ECD7A4" w14:textId="77777777" w:rsidR="00064C7C" w:rsidRDefault="00803E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0,279</w:t>
            </w:r>
          </w:p>
        </w:tc>
      </w:tr>
    </w:tbl>
    <w:p w14:paraId="5356E542" w14:textId="77777777" w:rsidR="00064C7C" w:rsidRDefault="00064C7C"/>
    <w:p w14:paraId="47A5F82E" w14:textId="77777777" w:rsidR="00064C7C" w:rsidRDefault="00803E71">
      <w:r>
        <w:t>Dos hallazgos preliminares:</w:t>
      </w:r>
    </w:p>
    <w:p w14:paraId="452EE96F" w14:textId="77777777" w:rsidR="00064C7C" w:rsidRDefault="00803E71">
      <w:pPr>
        <w:pStyle w:val="Listaconnmeros"/>
      </w:pPr>
      <w:r>
        <w:t xml:space="preserve">**La </w:t>
      </w:r>
      <w:r>
        <w:t>sensibilidad al cobre es similar entre el cobre puro internacional (0,571) y el local</w:t>
      </w:r>
    </w:p>
    <w:p w14:paraId="33BE104E" w14:textId="77777777" w:rsidR="00064C7C" w:rsidRDefault="00803E71">
      <w:r>
        <w:t xml:space="preserve">   (0,631), y cae en el sector minero mixto (0,418).** Esto sugiere que el mercado precia la</w:t>
      </w:r>
    </w:p>
    <w:p w14:paraId="1D845708" w14:textId="77777777" w:rsidR="00064C7C" w:rsidRDefault="00803E71">
      <w:r>
        <w:t xml:space="preserve">   exposición al cobre de forma comparable con independencia del lugar de cotización, y que la</w:t>
      </w:r>
    </w:p>
    <w:p w14:paraId="790B8773" w14:textId="77777777" w:rsidR="00064C7C" w:rsidRDefault="00803E71">
      <w:r>
        <w:lastRenderedPageBreak/>
        <w:t xml:space="preserve">   menor sensibilidad de la muestra C se debe a la </w:t>
      </w:r>
      <w:r>
        <w:rPr>
          <w:b/>
        </w:rPr>
        <w:t>dilución por otros commodities</w:t>
      </w:r>
      <w:r>
        <w:t xml:space="preserve"> (hierro,</w:t>
      </w:r>
    </w:p>
    <w:p w14:paraId="4A5833CC" w14:textId="77777777" w:rsidR="00064C7C" w:rsidRDefault="00803E71">
      <w:r>
        <w:t xml:space="preserve">   litio, molibdeno), tal como anticipa el rol de "vehículo" de esa muestra.</w:t>
      </w:r>
    </w:p>
    <w:p w14:paraId="34C7FE0A" w14:textId="77777777" w:rsidR="00064C7C" w:rsidRDefault="00803E71">
      <w:pPr>
        <w:jc w:val="center"/>
      </w:pPr>
      <w:r>
        <w:rPr>
          <w:noProof/>
        </w:rPr>
        <w:drawing>
          <wp:inline distT="0" distB="0" distL="0" distR="0" wp14:anchorId="02F82A2E" wp14:editId="0576D878">
            <wp:extent cx="5394960" cy="27182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triangulac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71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992CE" w14:textId="77777777" w:rsidR="00064C7C" w:rsidRDefault="00803E71">
      <w:pPr>
        <w:jc w:val="center"/>
      </w:pPr>
      <w:r>
        <w:rPr>
          <w:i/>
          <w:sz w:val="20"/>
        </w:rPr>
        <w:t>Triangulación: sensibilidad al cobre y dominancia global por muestra (B, A, C).</w:t>
      </w:r>
    </w:p>
    <w:p w14:paraId="2831EC7D" w14:textId="77777777" w:rsidR="00064C7C" w:rsidRDefault="00803E71">
      <w:pPr>
        <w:pStyle w:val="Listaconnmeros"/>
      </w:pPr>
      <w:r>
        <w:t>**La fracción de varianza atribuida a shocks globales es algo mayor en el mercado internacional</w:t>
      </w:r>
    </w:p>
    <w:p w14:paraId="1E4A306F" w14:textId="77777777" w:rsidR="00064C7C" w:rsidRDefault="00803E71">
      <w:r>
        <w:t xml:space="preserve">   (0,320) que en el chileno (0,295 y 0,279).</w:t>
      </w:r>
      <w:r>
        <w:rPr>
          <w:b/>
        </w:rPr>
        <w:t xml:space="preserve"> Es una señal </w:t>
      </w:r>
      <w:r>
        <w:t>direccionalmente consistente con H7**</w:t>
      </w:r>
    </w:p>
    <w:p w14:paraId="1F30CE92" w14:textId="77777777" w:rsidR="00064C7C" w:rsidRDefault="00803E71">
      <w:r>
        <w:t xml:space="preserve">   —el mercado internacional incorporaría el shock de forma más completa—, aunque la diferencia es</w:t>
      </w:r>
    </w:p>
    <w:p w14:paraId="2E716C04" w14:textId="77777777" w:rsidR="00064C7C" w:rsidRDefault="00803E71">
      <w:r>
        <w:t xml:space="preserve">   modesta y requiere confirmación con el conjunto de datos completo y pruebas formales de igualdad</w:t>
      </w:r>
    </w:p>
    <w:p w14:paraId="5049990A" w14:textId="77777777" w:rsidR="00064C7C" w:rsidRDefault="00803E71">
      <w:r>
        <w:t xml:space="preserve">   de coeficientes entre muestras.</w:t>
      </w:r>
    </w:p>
    <w:p w14:paraId="3280E854" w14:textId="77777777" w:rsidR="00064C7C" w:rsidRDefault="00803E71">
      <w:pPr>
        <w:pStyle w:val="Ttulo2"/>
      </w:pPr>
      <w:bookmarkStart w:id="41" w:name="_Toc231076026"/>
      <w:r>
        <w:t>4.7 Discusión integrada</w:t>
      </w:r>
      <w:bookmarkEnd w:id="41"/>
    </w:p>
    <w:p w14:paraId="165DB43D" w14:textId="77777777" w:rsidR="00064C7C" w:rsidRDefault="00803E71">
      <w:r>
        <w:t>Los resultados preliminares dibujan un cuadro coherente con la teoría: **el precio del cobre es el</w:t>
      </w:r>
    </w:p>
    <w:p w14:paraId="23D833D8" w14:textId="77777777" w:rsidR="00064C7C" w:rsidRDefault="00803E71">
      <w:r>
        <w:t>principal determinante de los retornos del sector</w:t>
      </w:r>
      <w:r>
        <w:rPr>
          <w:b/>
        </w:rPr>
        <w:t xml:space="preserve"> (H1), </w:t>
      </w:r>
      <w:r>
        <w:t>los factores globales dominan a los</w:t>
      </w:r>
    </w:p>
    <w:p w14:paraId="3849BB56" w14:textId="77777777" w:rsidR="00064C7C" w:rsidRDefault="00803E71">
      <w:r>
        <w:lastRenderedPageBreak/>
        <w:t>locales</w:t>
      </w:r>
      <w:r>
        <w:rPr>
          <w:b/>
        </w:rPr>
        <w:t xml:space="preserve"> en la explicación de la varianza (H6), y el </w:t>
      </w:r>
      <w:r>
        <w:t>tipo de cambio** ejerce un efecto negativo</w:t>
      </w:r>
    </w:p>
    <w:p w14:paraId="7FA4B239" w14:textId="77777777" w:rsidR="00064C7C" w:rsidRDefault="00803E71">
      <w:r>
        <w:t>significativo cuyo signo refleja la doble naturaleza —competitividad y riesgo— anticipada (H2). La</w:t>
      </w:r>
    </w:p>
    <w:p w14:paraId="6C5628B2" w14:textId="77777777" w:rsidR="00064C7C" w:rsidRDefault="00803E71">
      <w:r>
        <w:t xml:space="preserve">comparación entre mercados aporta una primera señal, aún débil, de </w:t>
      </w:r>
      <w:r>
        <w:rPr>
          <w:b/>
        </w:rPr>
        <w:t>transmisión diferenciada</w:t>
      </w:r>
    </w:p>
    <w:p w14:paraId="40641566" w14:textId="77777777" w:rsidR="00064C7C" w:rsidRDefault="00803E71">
      <w:r>
        <w:t xml:space="preserve">(H7), mientras que la evidencia de </w:t>
      </w:r>
      <w:r>
        <w:rPr>
          <w:b/>
        </w:rPr>
        <w:t>cointegración de largo plazo</w:t>
      </w:r>
      <w:r>
        <w:t xml:space="preserve"> (H5) permanece inconclusa por</w:t>
      </w:r>
    </w:p>
    <w:p w14:paraId="5A95B0B6" w14:textId="77777777" w:rsidR="00064C7C" w:rsidRDefault="00803E71">
      <w:r>
        <w:t>la ambigüedad en el orden de integración del tipo de cambio.</w:t>
      </w:r>
    </w:p>
    <w:p w14:paraId="3BA91AF9" w14:textId="77777777" w:rsidR="00064C7C" w:rsidRDefault="00803E71">
      <w:r>
        <w:t xml:space="preserve">Estas lecturas son </w:t>
      </w:r>
      <w:r>
        <w:rPr>
          <w:b/>
        </w:rPr>
        <w:t>provisionales</w:t>
      </w:r>
      <w:r>
        <w:t>. Su confirmación exige: (i) incorporar el EMBI y los controles</w:t>
      </w:r>
    </w:p>
    <w:p w14:paraId="617C88AA" w14:textId="77777777" w:rsidR="00064C7C" w:rsidRDefault="00803E71">
      <w:r>
        <w:t>a nivel de empresa; (ii) resolver el orden de integración del tipo de cambio con pruebas de</w:t>
      </w:r>
    </w:p>
    <w:p w14:paraId="0193C32B" w14:textId="77777777" w:rsidR="00064C7C" w:rsidRDefault="00803E71">
      <w:r>
        <w:t>quiebre; (iii) estimar las interacciones por fase del ciclo (OE5); (iv) ejecutar la batería de</w:t>
      </w:r>
    </w:p>
    <w:p w14:paraId="1CB30132" w14:textId="77777777" w:rsidR="00064C7C" w:rsidRDefault="00803E71">
      <w:r>
        <w:t>diagnósticos (CD de Pesaran, efectos ARCH, estabilidad del VAR) y de robustez (submuestras,</w:t>
      </w:r>
    </w:p>
    <w:p w14:paraId="1A4193F7" w14:textId="77777777" w:rsidR="00064C7C" w:rsidRDefault="00803E71">
      <w:r>
        <w:t>definiciones alternativas, cartera equiponderada vs ponderada). Solo entonces los signos y</w:t>
      </w:r>
    </w:p>
    <w:p w14:paraId="60D61D91" w14:textId="77777777" w:rsidR="00064C7C" w:rsidRDefault="00803E71">
      <w:r>
        <w:t>magnitudes aquí reportados podrán elevarse a la categoría de hallazgos.</w:t>
      </w:r>
    </w:p>
    <w:p w14:paraId="11393A07" w14:textId="77777777" w:rsidR="00064C7C" w:rsidRDefault="00803E71">
      <w:r>
        <w:br w:type="page"/>
      </w:r>
    </w:p>
    <w:p w14:paraId="5B73E161" w14:textId="77777777" w:rsidR="00064C7C" w:rsidRDefault="00803E71">
      <w:pPr>
        <w:pStyle w:val="Ttulo1"/>
      </w:pPr>
      <w:bookmarkStart w:id="42" w:name="_Toc231076027"/>
      <w:r>
        <w:lastRenderedPageBreak/>
        <w:t>Capítulo 5 — Conclusiones</w:t>
      </w:r>
      <w:bookmarkEnd w:id="42"/>
    </w:p>
    <w:p w14:paraId="079A20FB" w14:textId="77777777" w:rsidR="00064C7C" w:rsidRDefault="00803E71">
      <w:pPr>
        <w:pStyle w:val="Ttulo2"/>
      </w:pPr>
      <w:bookmarkStart w:id="43" w:name="_Toc231076028"/>
      <w:r>
        <w:t>5.1 Síntesis de los hallazgos</w:t>
      </w:r>
      <w:bookmarkEnd w:id="43"/>
    </w:p>
    <w:p w14:paraId="3EEFEF63" w14:textId="77777777" w:rsidR="00064C7C" w:rsidRDefault="00803E71">
      <w:r>
        <w:t>Esta investigación cuantificó y comparó el impacto de las variables macroeconómicas globales y</w:t>
      </w:r>
    </w:p>
    <w:p w14:paraId="15BF7745" w14:textId="77777777" w:rsidR="00064C7C" w:rsidRDefault="00803E71">
      <w:r>
        <w:t>nacionales sobre los retornos accionarios de las empresas de cobre con exposición a Chile, durante</w:t>
      </w:r>
    </w:p>
    <w:p w14:paraId="6D4F3E6C" w14:textId="77777777" w:rsidR="00064C7C" w:rsidRDefault="00803E71">
      <w:r>
        <w:t>el período 2004–2024, contrastando su transmisión entre el mercado bursátil internacional y el</w:t>
      </w:r>
    </w:p>
    <w:p w14:paraId="141AA375" w14:textId="77777777" w:rsidR="00064C7C" w:rsidRDefault="00803E71">
      <w:r>
        <w:t>chileno. La evidencia —preliminar— respalda que el **precio del cobre constituye el principal</w:t>
      </w:r>
    </w:p>
    <w:p w14:paraId="5CFD7A79" w14:textId="77777777" w:rsidR="00064C7C" w:rsidRDefault="00803E71">
      <w:r>
        <w:t>determinante** de los retornos del sector, con un efecto positivo y altamente significativo, y que</w:t>
      </w:r>
    </w:p>
    <w:p w14:paraId="03504BED" w14:textId="77777777" w:rsidR="00064C7C" w:rsidRDefault="00803E71">
      <w:r>
        <w:t xml:space="preserve">los </w:t>
      </w:r>
      <w:r>
        <w:rPr>
          <w:b/>
        </w:rPr>
        <w:t>factores globales predominan</w:t>
      </w:r>
      <w:r>
        <w:t xml:space="preserve"> sobre los locales en la explicación de la varianza de los</w:t>
      </w:r>
    </w:p>
    <w:p w14:paraId="3A7D8004" w14:textId="77777777" w:rsidR="00064C7C" w:rsidRDefault="00803E71">
      <w:r>
        <w:t>retornos, consistente con la condición de Chile como economía pequeña, abierta y exportadora de</w:t>
      </w:r>
    </w:p>
    <w:p w14:paraId="7BA4E6C7" w14:textId="77777777" w:rsidR="00064C7C" w:rsidRDefault="00803E71">
      <w:r>
        <w:t xml:space="preserve">cobre. El </w:t>
      </w:r>
      <w:r>
        <w:rPr>
          <w:b/>
        </w:rPr>
        <w:t>tipo de cambio</w:t>
      </w:r>
      <w:r>
        <w:t xml:space="preserve"> exhibe un efecto negativo significativo, cuyo signo refleja la doble</w:t>
      </w:r>
    </w:p>
    <w:p w14:paraId="00366286" w14:textId="77777777" w:rsidR="00064C7C" w:rsidRDefault="00803E71">
      <w:r>
        <w:t>naturaleza —competitividad y riesgo— característica de las exportadoras de commodities.</w:t>
      </w:r>
    </w:p>
    <w:p w14:paraId="416E5678" w14:textId="77777777" w:rsidR="00064C7C" w:rsidRDefault="00803E71">
      <w:r>
        <w:t>La dimensión comparativa, distintiva de este estudio, aporta una primera señal de **transmisión</w:t>
      </w:r>
    </w:p>
    <w:p w14:paraId="40F7FE61" w14:textId="77777777" w:rsidR="00064C7C" w:rsidRDefault="00803E71">
      <w:r>
        <w:t>diferenciada** entre mercados: la sensibilidad al cobre es comparable entre el cobre puro</w:t>
      </w:r>
    </w:p>
    <w:p w14:paraId="04E6ADBA" w14:textId="77777777" w:rsidR="00064C7C" w:rsidRDefault="00803E71">
      <w:r>
        <w:t>internacional y el local, mientras que la fracción de varianza atribuida a shocks globales tiende</w:t>
      </w:r>
    </w:p>
    <w:p w14:paraId="20A36DEC" w14:textId="77777777" w:rsidR="00064C7C" w:rsidRDefault="00803E71">
      <w:r>
        <w:t>a ser mayor en el mercado internacional, en la dirección prevista por la hipótesis de segmentación.</w:t>
      </w:r>
    </w:p>
    <w:p w14:paraId="38BCB6CD" w14:textId="77777777" w:rsidR="00064C7C" w:rsidRDefault="00803E71">
      <w:pPr>
        <w:pStyle w:val="Ttulo2"/>
      </w:pPr>
      <w:bookmarkStart w:id="44" w:name="_Toc231076029"/>
      <w:r>
        <w:lastRenderedPageBreak/>
        <w:t>5.2 Implicancias</w:t>
      </w:r>
      <w:bookmarkEnd w:id="44"/>
    </w:p>
    <w:p w14:paraId="3ABD9590" w14:textId="77777777" w:rsidR="00064C7C" w:rsidRDefault="00803E71">
      <w:pPr>
        <w:pStyle w:val="Listaconvietas"/>
      </w:pPr>
      <w:r>
        <w:rPr>
          <w:b/>
        </w:rPr>
        <w:t>Para los inversionistas:</w:t>
      </w:r>
      <w:r>
        <w:t xml:space="preserve"> la fuerte dependencia de los retornos respecto del precio del cobre</w:t>
      </w:r>
    </w:p>
    <w:p w14:paraId="161F8CE8" w14:textId="77777777" w:rsidR="00064C7C" w:rsidRDefault="00803E71">
      <w:r>
        <w:t xml:space="preserve">  y del riesgo global subraya la importancia de la gestión de la exposición a commodities y a</w:t>
      </w:r>
    </w:p>
    <w:p w14:paraId="536D60B8" w14:textId="77777777" w:rsidR="00064C7C" w:rsidRDefault="00803E71">
      <w:r>
        <w:t xml:space="preserve">  factores internacionales por sobre los domésticos.</w:t>
      </w:r>
    </w:p>
    <w:p w14:paraId="262454C7" w14:textId="77777777" w:rsidR="00064C7C" w:rsidRDefault="00803E71">
      <w:pPr>
        <w:pStyle w:val="Listaconvietas"/>
      </w:pPr>
      <w:r>
        <w:rPr>
          <w:b/>
        </w:rPr>
        <w:t>Para la gestión empresarial:</w:t>
      </w:r>
      <w:r>
        <w:t xml:space="preserve"> la exposición cambiaria significativa justifica políticas</w:t>
      </w:r>
    </w:p>
    <w:p w14:paraId="5AD51947" w14:textId="77777777" w:rsidR="00064C7C" w:rsidRDefault="00803E71">
      <w:r>
        <w:t xml:space="preserve">  explícitas de cobertura, especialmente en empresas con estructura de costos en moneda local.</w:t>
      </w:r>
    </w:p>
    <w:p w14:paraId="3C37A178" w14:textId="77777777" w:rsidR="00064C7C" w:rsidRDefault="00803E71">
      <w:pPr>
        <w:pStyle w:val="Listaconvietas"/>
      </w:pPr>
      <w:r>
        <w:rPr>
          <w:b/>
        </w:rPr>
        <w:t>Para la comprensión del mercado de capitales chileno:</w:t>
      </w:r>
      <w:r>
        <w:t xml:space="preserve"> la evidencia de transmisión</w:t>
      </w:r>
    </w:p>
    <w:p w14:paraId="3D3A48EB" w14:textId="77777777" w:rsidR="00064C7C" w:rsidRDefault="00803E71">
      <w:r>
        <w:t xml:space="preserve">  diferenciada invita a profundizar en la profundidad, liquidez e integración del mercado local.</w:t>
      </w:r>
    </w:p>
    <w:p w14:paraId="000C2E6D" w14:textId="77777777" w:rsidR="00064C7C" w:rsidRDefault="00803E71">
      <w:pPr>
        <w:pStyle w:val="Ttulo2"/>
      </w:pPr>
      <w:bookmarkStart w:id="45" w:name="_Toc231076030"/>
      <w:r>
        <w:t>5.3 Limitaciones</w:t>
      </w:r>
      <w:bookmarkEnd w:id="45"/>
    </w:p>
    <w:p w14:paraId="6E5DB0E9" w14:textId="77777777" w:rsidR="00064C7C" w:rsidRDefault="00803E71">
      <w:r>
        <w:t xml:space="preserve">El estudio enfrenta la </w:t>
      </w:r>
      <w:r>
        <w:rPr>
          <w:b/>
        </w:rPr>
        <w:t>escasez estructural</w:t>
      </w:r>
      <w:r>
        <w:t xml:space="preserve"> de productoras de cobre puro cotizadas en el mercado</w:t>
      </w:r>
    </w:p>
    <w:p w14:paraId="1B58C605" w14:textId="77777777" w:rsidR="00064C7C" w:rsidRDefault="00803E71">
      <w:r>
        <w:t>chileno, abordada mediante el diseño de triangulación. Los resultados presentados son</w:t>
      </w:r>
    </w:p>
    <w:p w14:paraId="37B17A2B" w14:textId="77777777" w:rsidR="00064C7C" w:rsidRDefault="00803E71">
      <w:r>
        <w:rPr>
          <w:b/>
        </w:rPr>
        <w:t>preliminares</w:t>
      </w:r>
      <w:r>
        <w:t>: pendientes la incorporación del EMBI y de los controles a nivel de empresa, la</w:t>
      </w:r>
    </w:p>
    <w:p w14:paraId="2EA8A0FC" w14:textId="77777777" w:rsidR="00064C7C" w:rsidRDefault="00803E71">
      <w:r>
        <w:t>resolución del orden de integración del tipo de cambio en presencia de quiebres, y la batería</w:t>
      </w:r>
    </w:p>
    <w:p w14:paraId="1634A377" w14:textId="77777777" w:rsidR="00064C7C" w:rsidRDefault="00803E71">
      <w:r>
        <w:t>completa de diagnósticos y robustez.</w:t>
      </w:r>
    </w:p>
    <w:p w14:paraId="7C6FBD61" w14:textId="77777777" w:rsidR="00064C7C" w:rsidRDefault="00803E71">
      <w:pPr>
        <w:pStyle w:val="Ttulo2"/>
      </w:pPr>
      <w:bookmarkStart w:id="46" w:name="_Toc231076031"/>
      <w:r>
        <w:t>5.4 Líneas futuras de investigación</w:t>
      </w:r>
      <w:bookmarkEnd w:id="46"/>
    </w:p>
    <w:p w14:paraId="65C1386F" w14:textId="77777777" w:rsidR="00064C7C" w:rsidRDefault="00803E71">
      <w:r>
        <w:t>Se proponen como extensiones: (i) la estimación formal de la asimetría de régimen mediante modelos</w:t>
      </w:r>
    </w:p>
    <w:p w14:paraId="409EE074" w14:textId="77777777" w:rsidR="00064C7C" w:rsidRDefault="00803E71">
      <w:r>
        <w:t>de cambio de Markov; (ii) la incorporación de la volatilidad condicional (GARCH) cuando esta sea</w:t>
      </w:r>
    </w:p>
    <w:p w14:paraId="2A158BB9" w14:textId="77777777" w:rsidR="00064C7C" w:rsidRDefault="00803E71">
      <w:r>
        <w:t>central; (iii) el análisis a frecuencia diaria/semanal para la dinámica de corto plazo; y (iv) la</w:t>
      </w:r>
    </w:p>
    <w:p w14:paraId="179DF9EC" w14:textId="77777777" w:rsidR="00064C7C" w:rsidRDefault="00803E71">
      <w:r>
        <w:lastRenderedPageBreak/>
        <w:t>ampliación del análisis de segmentación con pruebas formales de integración de mercados.</w:t>
      </w:r>
    </w:p>
    <w:p w14:paraId="228991AD" w14:textId="77777777" w:rsidR="00064C7C" w:rsidRDefault="00803E71">
      <w:r>
        <w:br w:type="page"/>
      </w:r>
    </w:p>
    <w:p w14:paraId="12A66381" w14:textId="77777777" w:rsidR="00064C7C" w:rsidRDefault="00803E71">
      <w:pPr>
        <w:pStyle w:val="Ttulo1"/>
      </w:pPr>
      <w:bookmarkStart w:id="47" w:name="_Toc231076032"/>
      <w:r>
        <w:lastRenderedPageBreak/>
        <w:t>Referencias</w:t>
      </w:r>
      <w:bookmarkEnd w:id="47"/>
    </w:p>
    <w:p w14:paraId="1444148C" w14:textId="77777777" w:rsidR="00064C7C" w:rsidRDefault="00803E71">
      <w:r>
        <w:t>Adler, M., &amp; Dumas, B. (1984). Exposure to currency risk: Definition and measurement. *Financial Management*, 13(2), 41–50.</w:t>
      </w:r>
    </w:p>
    <w:p w14:paraId="12D4F9AE" w14:textId="77777777" w:rsidR="00064C7C" w:rsidRDefault="00803E71">
      <w:r>
        <w:t>Bai, J., &amp; Perron, P. (2003). Computation and analysis of multiple structural change models. *Journal of Applied Econometrics*, 18(1), 1–22.</w:t>
      </w:r>
    </w:p>
    <w:p w14:paraId="0F7B523E" w14:textId="77777777" w:rsidR="00064C7C" w:rsidRDefault="00803E71">
      <w:r>
        <w:t>Bekaert, G., &amp; Harvey, C. R. (1995). Time-varying world market integration. *The Journal of Finance*, 50(2), 403–444.</w:t>
      </w:r>
    </w:p>
    <w:p w14:paraId="090ED9B0" w14:textId="77777777" w:rsidR="00064C7C" w:rsidRDefault="00803E71">
      <w:r>
        <w:t>Bollerslev, T. (1986). Generalized autoregressive conditional heteroskedasticity. *Journal of Econometrics*, 31(3), 307–327.</w:t>
      </w:r>
    </w:p>
    <w:p w14:paraId="19C1DB27" w14:textId="77777777" w:rsidR="00064C7C" w:rsidRDefault="00803E71">
      <w:r>
        <w:t>Boyer, M. M., &amp; Filion, D. (2007). Common and fundamental factors in stock returns of Canadian oil and gas companies. *Energy Economics*, 29(3), 428–453.</w:t>
      </w:r>
    </w:p>
    <w:p w14:paraId="3D013312" w14:textId="77777777" w:rsidR="00064C7C" w:rsidRDefault="00803E71">
      <w:r>
        <w:t>Bry, G., &amp; Boschan, C. (1971). *Cyclical Analysis of Time Series: Selected Procedures and Computer Programs*. NBER.</w:t>
      </w:r>
    </w:p>
    <w:p w14:paraId="72111373" w14:textId="77777777" w:rsidR="00064C7C" w:rsidRDefault="00803E71">
      <w:r>
        <w:t>Cashin, P., Céspedes, L. F., &amp; Sahay, R. (2004). Commodity currencies and the real exchange rate. *Journal of Development Economics*, 75(1), 239–268.</w:t>
      </w:r>
    </w:p>
    <w:p w14:paraId="142421C9" w14:textId="77777777" w:rsidR="00064C7C" w:rsidRDefault="00803E71">
      <w:r>
        <w:t>Chen, N. F., Roll, R., &amp; Ross, S. A. (1986). Economic forces and the stock market. *The Journal of Business*, 59(3), 383–403.</w:t>
      </w:r>
    </w:p>
    <w:p w14:paraId="4930CB00" w14:textId="77777777" w:rsidR="00064C7C" w:rsidRDefault="00803E71">
      <w:r>
        <w:t>Chen, Y. C., Rogoff, K., &amp; Rossi, B. (2010). Can exchange rates forecast commodity prices? *The Quarterly Journal of Economics*, 125(3), 1145–1194.</w:t>
      </w:r>
    </w:p>
    <w:p w14:paraId="6FE89491" w14:textId="77777777" w:rsidR="00064C7C" w:rsidRDefault="00803E71">
      <w:r>
        <w:t>Dickey, D. A., &amp; Fuller, W. A. (1979). Distribution of the estimators for autoregressive time series with a unit root. *Journal of the American Statistical Association*, 74(366), 427–431.</w:t>
      </w:r>
    </w:p>
    <w:p w14:paraId="48986926" w14:textId="77777777" w:rsidR="00064C7C" w:rsidRDefault="00803E71">
      <w:r>
        <w:t>Driscoll, J. C., &amp; Kraay, A. C. (1998). Consistent covariance matrix estimation with spatially dependent panel data. *Review of Economics and Statistics*, 80(4), 549–560.</w:t>
      </w:r>
    </w:p>
    <w:p w14:paraId="1A06B4FE" w14:textId="77777777" w:rsidR="00064C7C" w:rsidRDefault="00803E71">
      <w:r>
        <w:t>Engle, R. F. (1982). Autoregressive conditional heteroscedasticity with estimates of the variance of United Kingdom inflation. *Econometrica*, 50(4), 987–1007.</w:t>
      </w:r>
    </w:p>
    <w:p w14:paraId="0E5A341E" w14:textId="77777777" w:rsidR="00064C7C" w:rsidRDefault="00803E71">
      <w:r>
        <w:lastRenderedPageBreak/>
        <w:t xml:space="preserve">Engle, R. F., &amp; Granger, C. W. J. </w:t>
      </w:r>
      <w:r>
        <w:t>(1987). Co-integration and error correction: Representation, estimation, and testing. *Econometrica*, 55(2), 251–276.</w:t>
      </w:r>
    </w:p>
    <w:p w14:paraId="358E0D16" w14:textId="77777777" w:rsidR="00064C7C" w:rsidRDefault="00803E71">
      <w:r>
        <w:t>Errunza, V., &amp; Losq, E. (1985). International asset pricing under mild segmentation: Theory and test. *The Journal of Finance*, 40(1), 105–124.</w:t>
      </w:r>
    </w:p>
    <w:p w14:paraId="2598C296" w14:textId="77777777" w:rsidR="00064C7C" w:rsidRDefault="00803E71">
      <w:r>
        <w:t>Fama, E. F. (1970). Efficient capital markets: A review of theory and empirical work. *The Journal of Finance*, 25(2), 383–417.</w:t>
      </w:r>
    </w:p>
    <w:p w14:paraId="706DB3CE" w14:textId="77777777" w:rsidR="00064C7C" w:rsidRDefault="00803E71">
      <w:r>
        <w:t>Fama, E. F. (1981). Stock returns, real activity, inflation, and money. *The American Economic Review*, 71(4), 545–565.</w:t>
      </w:r>
    </w:p>
    <w:p w14:paraId="3B97D255" w14:textId="77777777" w:rsidR="00064C7C" w:rsidRDefault="00803E71">
      <w:r>
        <w:t>Fama, E. F., &amp; French, K. R. (1989). Business conditions and expected returns on stocks and bonds. *Journal of Financial Economics*, 25(1), 23–49.</w:t>
      </w:r>
    </w:p>
    <w:p w14:paraId="4A6CE151" w14:textId="77777777" w:rsidR="00064C7C" w:rsidRDefault="00803E71">
      <w:r>
        <w:t>Harding, D., &amp; Pagan, A. (2002). Dissecting the cycle: A methodological investigation. *Journal of Monetary Economics*, 49(2), 365–381.</w:t>
      </w:r>
    </w:p>
    <w:p w14:paraId="4E0CC37B" w14:textId="77777777" w:rsidR="00064C7C" w:rsidRDefault="00803E71">
      <w:r>
        <w:t>Hamilton, J. D. (1989). A new approach to the economic analysis of nonstationary time series and the business cycle. *Econometrica*, 57(2), 357–384.</w:t>
      </w:r>
    </w:p>
    <w:p w14:paraId="5AB42477" w14:textId="77777777" w:rsidR="00064C7C" w:rsidRDefault="00803E71">
      <w:r>
        <w:t>Im, K. S., Pesaran, M. H., &amp; Shin, Y. (2003). Testing for unit roots in heterogeneous panels. *Journal of Econometrics*, 115(1), 53–74.</w:t>
      </w:r>
    </w:p>
    <w:p w14:paraId="4BE7E0D1" w14:textId="77777777" w:rsidR="00064C7C" w:rsidRDefault="00803E71">
      <w:r>
        <w:t>Johansen, S. (1988). Statistical analysis of cointegration vectors. *Journal of Economic Dynamics and Control*, 12(2–3), 231–254.</w:t>
      </w:r>
    </w:p>
    <w:p w14:paraId="19A887DF" w14:textId="77777777" w:rsidR="00064C7C" w:rsidRDefault="00803E71">
      <w:r>
        <w:t>Jorion, P. (1990). The exchange-rate exposure of U.S. multinationals. *The Journal of Business*, 63(3), 331–345.</w:t>
      </w:r>
    </w:p>
    <w:p w14:paraId="71713699" w14:textId="77777777" w:rsidR="00064C7C" w:rsidRDefault="00803E71">
      <w:r>
        <w:t>Kwiatkowski, D., Phillips, P. C. B., Schmidt, P., &amp; Shin, Y. (1992). Testing the null hypothesis of stationarity against the alternative of a unit root. *Journal of Econometrics*, 54(1–3), 159–178.</w:t>
      </w:r>
    </w:p>
    <w:p w14:paraId="1F487B74" w14:textId="77777777" w:rsidR="00064C7C" w:rsidRDefault="00803E71">
      <w:r>
        <w:t>Pesaran, M. H. (2007). A simple panel unit root test in the presence of cross-section dependence. *Journal of Applied Econometrics*, 22(2), 265–312.</w:t>
      </w:r>
    </w:p>
    <w:p w14:paraId="3AB4CBF6" w14:textId="77777777" w:rsidR="00064C7C" w:rsidRDefault="00803E71">
      <w:r>
        <w:t>Pesaran, M. H., &amp; Shin, Y. (1998). Generalized impulse response analysis in linear multivariate models. *Economics Letters*, 58(1), 17–29.</w:t>
      </w:r>
    </w:p>
    <w:p w14:paraId="45016665" w14:textId="77777777" w:rsidR="00064C7C" w:rsidRDefault="00803E71">
      <w:r>
        <w:lastRenderedPageBreak/>
        <w:t>Pesaran, M. H., Shin, Y., &amp; Smith, R. J. (2001). Bounds testing approaches to the analysis of level relationships. *Journal of Applied Econometrics*, 16(3), 289–326.</w:t>
      </w:r>
    </w:p>
    <w:p w14:paraId="61C21C36" w14:textId="77777777" w:rsidR="00064C7C" w:rsidRDefault="00803E71">
      <w:r>
        <w:t>Phillips, P. C. B., &amp; Perron, P. (1988). Testing for a unit root in time series regression. *Biometrika*, 75(2), 335–346.</w:t>
      </w:r>
    </w:p>
    <w:p w14:paraId="6EC1368E" w14:textId="77777777" w:rsidR="00064C7C" w:rsidRDefault="00803E71">
      <w:r>
        <w:t>Ross, S. A. (1976). The arbitrage theory of capital asset pricing. *Journal of Economic Theory*, 13(3), 341–360.</w:t>
      </w:r>
    </w:p>
    <w:p w14:paraId="0556D7DB" w14:textId="77777777" w:rsidR="00064C7C" w:rsidRDefault="00803E71">
      <w:r>
        <w:t>Sadorsky, P. (2001). Risk factors in stock returns of Canadian oil and gas companies. *Energy Economics*, 23(1), 17–28.</w:t>
      </w:r>
    </w:p>
    <w:p w14:paraId="6FA3A02E" w14:textId="77777777" w:rsidR="00064C7C" w:rsidRDefault="00803E71">
      <w:r>
        <w:t>Sims, C. A. (1980). Macroeconomics and reality. *Econometrica*, 48(1), 1–48.</w:t>
      </w:r>
    </w:p>
    <w:p w14:paraId="73450AAE" w14:textId="77777777" w:rsidR="00064C7C" w:rsidRDefault="00803E71">
      <w:r>
        <w:t>Westerlund, J. (2007). Testing for error correction in panel data. *Oxford Bulletin of Economics and Statistics*, 69(6), 709–748.</w:t>
      </w:r>
    </w:p>
    <w:p w14:paraId="3AB7ACB9" w14:textId="77777777" w:rsidR="00064C7C" w:rsidRDefault="00803E71">
      <w:r>
        <w:t>Zivot, E., &amp; Andrews, D. W. K. (1992). Further evidence on the great crash, the oil-price shock, and the unit-root hypothesis. *Journal of Business &amp; Economic Statistics*, 10(3), 251–270.</w:t>
      </w:r>
    </w:p>
    <w:sectPr w:rsidR="00064C7C" w:rsidSect="00034616">
      <w:footerReference w:type="default" r:id="rId12"/>
      <w:pgSz w:w="12240" w:h="15840"/>
      <w:pgMar w:top="1440" w:right="1699" w:bottom="1440" w:left="169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99A0AA" w14:textId="77777777" w:rsidR="00803E71" w:rsidRDefault="00803E71">
      <w:pPr>
        <w:spacing w:after="0" w:line="240" w:lineRule="auto"/>
      </w:pPr>
      <w:r>
        <w:separator/>
      </w:r>
    </w:p>
  </w:endnote>
  <w:endnote w:type="continuationSeparator" w:id="0">
    <w:p w14:paraId="6F935591" w14:textId="77777777" w:rsidR="00803E71" w:rsidRDefault="00803E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976FE5" w14:textId="77777777" w:rsidR="00064C7C" w:rsidRDefault="00803E71">
    <w:pPr>
      <w:pStyle w:val="Piedepgina"/>
      <w:jc w:val="center"/>
    </w:pPr>
    <w:r>
      <w:rPr>
        <w:sz w:val="20"/>
      </w:rPr>
      <w:fldChar w:fldCharType="begin"/>
    </w:r>
    <w:r>
      <w:rPr>
        <w:sz w:val="20"/>
      </w:rPr>
      <w:instrText>PAGE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B7E012" w14:textId="77777777" w:rsidR="00803E71" w:rsidRDefault="00803E71">
      <w:pPr>
        <w:spacing w:after="0" w:line="240" w:lineRule="auto"/>
      </w:pPr>
      <w:r>
        <w:separator/>
      </w:r>
    </w:p>
  </w:footnote>
  <w:footnote w:type="continuationSeparator" w:id="0">
    <w:p w14:paraId="5E5981A5" w14:textId="77777777" w:rsidR="00803E71" w:rsidRDefault="00803E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8690073">
    <w:abstractNumId w:val="8"/>
  </w:num>
  <w:num w:numId="2" w16cid:durableId="404378238">
    <w:abstractNumId w:val="6"/>
  </w:num>
  <w:num w:numId="3" w16cid:durableId="1204053658">
    <w:abstractNumId w:val="5"/>
  </w:num>
  <w:num w:numId="4" w16cid:durableId="372971993">
    <w:abstractNumId w:val="4"/>
  </w:num>
  <w:num w:numId="5" w16cid:durableId="793641518">
    <w:abstractNumId w:val="7"/>
  </w:num>
  <w:num w:numId="6" w16cid:durableId="798106213">
    <w:abstractNumId w:val="3"/>
  </w:num>
  <w:num w:numId="7" w16cid:durableId="1410150996">
    <w:abstractNumId w:val="2"/>
  </w:num>
  <w:num w:numId="8" w16cid:durableId="581448812">
    <w:abstractNumId w:val="1"/>
  </w:num>
  <w:num w:numId="9" w16cid:durableId="1030954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4C7C"/>
    <w:rsid w:val="0015074B"/>
    <w:rsid w:val="0029639D"/>
    <w:rsid w:val="00326F90"/>
    <w:rsid w:val="00803E71"/>
    <w:rsid w:val="009531C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597AE36"/>
  <w14:defaultImageDpi w14:val="300"/>
  <w15:docId w15:val="{765EB1F5-D7BB-474C-82F4-341BE9F81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  <w:sz w:val="25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803E7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03E71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803E71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803E7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7758</Words>
  <Characters>42673</Characters>
  <Application>Microsoft Office Word</Application>
  <DocSecurity>0</DocSecurity>
  <Lines>355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50331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Nicolas Rietta González</cp:lastModifiedBy>
  <cp:revision>2</cp:revision>
  <cp:lastPrinted>2026-05-31T03:26:00Z</cp:lastPrinted>
  <dcterms:created xsi:type="dcterms:W3CDTF">2013-12-23T23:15:00Z</dcterms:created>
  <dcterms:modified xsi:type="dcterms:W3CDTF">2026-05-31T03:26:00Z</dcterms:modified>
  <cp:category/>
</cp:coreProperties>
</file>