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Segoe UI Semibold" w:hAnsi="Segoe UI Semibold"/>
          <w:color w:val="0071E3"/>
          <w:sz w:val="24"/>
          <w:spacing w:val="40"/>
        </w:rPr>
        <w:t>INVESTIGACIÓN · TESIS F. RIETTA</w:t>
      </w:r>
    </w:p>
    <w:p>
      <w:pPr>
        <w:spacing w:after="160" w:line="245" w:lineRule="auto"/>
      </w:pPr>
      <w:r>
        <w:rPr>
          <w:rFonts w:ascii="Segoe UI Semibold" w:hAnsi="Segoe UI Semibold"/>
          <w:color w:val="1D1D1F"/>
          <w:sz w:val="68"/>
        </w:rPr>
        <w:t>Hallazgos de los Datos</w:t>
      </w:r>
    </w:p>
    <w:p>
      <w:pPr>
        <w:spacing w:after="0" w:line="288" w:lineRule="auto"/>
      </w:pPr>
      <w:r>
        <w:rPr>
          <w:rFonts w:ascii="Segoe UI" w:hAnsi="Segoe UI"/>
          <w:color w:val="6E6E73"/>
          <w:sz w:val="30"/>
        </w:rPr>
        <w:t>Resultados de las series descargadas (FRED + Yahoo Finance)</w:t>
      </w:r>
    </w:p>
    <w:p>
      <w:pPr>
        <w:spacing w:after="0"/>
      </w:pPr>
    </w:p>
    <w:p>
      <w:pPr>
        <w:spacing w:before="160" w:after="280"/>
        <w:pBdr>
          <w:bottom w:val="single" w:sz="6" w:space="1" w:color="D2D2D7"/>
        </w:pBdr>
      </w:pP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Proyecto   </w:t>
      </w:r>
      <w:r>
        <w:rPr>
          <w:rFonts w:ascii="Segoe UI" w:hAnsi="Segoe UI"/>
          <w:color w:val="6E6E73"/>
          <w:sz w:val="21"/>
        </w:rPr>
        <w:t>Macroeconomía y retornos del sector cobre en Chile (2004–2024)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Documento   </w:t>
      </w:r>
      <w:r>
        <w:rPr>
          <w:rFonts w:ascii="Segoe UI" w:hAnsi="Segoe UI"/>
          <w:color w:val="6E6E73"/>
          <w:sz w:val="21"/>
        </w:rPr>
        <w:t>Hallazgos de los Datos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Formato   </w:t>
      </w:r>
      <w:r>
        <w:rPr>
          <w:rFonts w:ascii="Segoe UI" w:hAnsi="Segoe UI"/>
          <w:color w:val="6E6E73"/>
          <w:sz w:val="21"/>
        </w:rPr>
        <w:t>Estilo Apple · sugerencias MIT (sans serif, índice, enlaces)</w:t>
      </w:r>
    </w:p>
    <w:p>
      <w:r>
        <w:br w:type="page"/>
      </w:r>
    </w:p>
    <w:p>
      <w:pPr>
        <w:pStyle w:val="Heading1"/>
      </w:pPr>
      <w:r>
        <w:t>Hallazgos de disponibilidad de datos (paso F)</w:t>
      </w:r>
    </w:p>
    <w:p>
      <w:r>
        <w:t>Ejecución real de la adquisición (</w:t>
      </w:r>
      <w:r>
        <w:rPr>
          <w:rFonts w:ascii="Consolas" w:hAnsi="Consolas"/>
          <w:sz w:val="20"/>
        </w:rPr>
        <w:t>src/data_acquisition.py</w:t>
      </w:r>
      <w:r>
        <w:t xml:space="preserve">) — fecha de corrida: ver git/log. </w:t>
      </w:r>
      <w:r>
        <w:rPr>
          <w:b/>
        </w:rPr>
        <w:t>Todo lo de abajo se descargó y verificó efectivamente; no son supuestos.</w:t>
      </w:r>
    </w:p>
    <w:p>
      <w:pPr>
        <w:pStyle w:val="Heading2"/>
      </w:pPr>
      <w:r>
        <w:t>1. Período efectivo</w:t>
      </w:r>
    </w:p>
    <w:p>
      <w:pPr>
        <w:pStyle w:val="ListBullet"/>
      </w:pPr>
      <w:r>
        <w:rPr>
          <w:b/>
        </w:rPr>
        <w:t>2004–2024 es plenamente viable.</w:t>
      </w:r>
      <w:r>
        <w:t xml:space="preserve"> El retorno mensual de ANTO.L (anillo 1) cubre </w:t>
      </w:r>
      <w:r>
        <w:rPr>
          <w:b/>
        </w:rPr>
        <w:t>2004-02 → 2024-12 = 251 meses</w:t>
      </w:r>
      <w:r>
        <w:t>. Holgado para VAR/VECM/ARDL.</w:t>
      </w:r>
    </w:p>
    <w:p>
      <w:pPr>
        <w:pStyle w:val="ListBullet"/>
      </w:pPr>
      <w:r>
        <w:t xml:space="preserve">El cuello de botella NO es la historia de las empresas (todas parten ≥2002), sino la </w:t>
      </w:r>
      <w:r>
        <w:rPr>
          <w:b/>
        </w:rPr>
        <w:t>disponibilidad de las series locales del BCCh</w:t>
      </w:r>
      <w:r>
        <w:t xml:space="preserve"> (pendiente de descarga manual).</w:t>
      </w:r>
    </w:p>
    <w:p>
      <w:pPr>
        <w:pStyle w:val="Heading2"/>
      </w:pPr>
      <w:r>
        <w:t>2. Macro global (FRED) — ✅ descarga automática OK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</w:tblGrid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Variable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Código FRED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Cobertura verificada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Frecuencia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Cobre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PCOPPUSDM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1992 → 2026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Mensual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VIX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VIXCLS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1990 → 2026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Diaria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Fed Funds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FEDFUNDS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1954 → 2026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Mensual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Treasury 10Y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DGS10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1962 → 2026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Diaria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WTI (control)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DCOILWTICO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1986 → 2026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Diaria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USD/CLP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DEXCHUS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1981 → 2026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Diaria</w:t>
            </w:r>
          </w:p>
        </w:tc>
      </w:tr>
    </w:tbl>
    <w:p>
      <w:pPr>
        <w:spacing w:after="40"/>
      </w:pPr>
    </w:p>
    <w:p>
      <w:pPr>
        <w:pStyle w:val="Heading2"/>
      </w:pPr>
      <w:r>
        <w:t>3. Acciones (Yahoo Finance) — ✅ OK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71"/>
        <w:gridCol w:w="2871"/>
        <w:gridCol w:w="2871"/>
      </w:tblGrid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Ticker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Empresa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Cobertura verificada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ANTO.L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Antofagasta plc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2000 → 2024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BHP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BHP Group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2000 → 2024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AAL.L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Anglo American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2000 → 2024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LUN.TO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Lundin Mining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2000 → 2024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TECK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Teck Resources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2002 → 2024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SQM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SQM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2000 → 2024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CAP.SN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CAP S.A.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2000 → 2024</w:t>
            </w:r>
          </w:p>
        </w:tc>
      </w:tr>
    </w:tbl>
    <w:p>
      <w:pPr>
        <w:spacing w:after="40"/>
      </w:pPr>
    </w:p>
    <w:p>
      <w:r>
        <w:t xml:space="preserve">Todas usan </w:t>
      </w:r>
      <w:r>
        <w:rPr>
          <w:b/>
        </w:rPr>
        <w:t>Adj Close</w:t>
      </w:r>
      <w:r>
        <w:t xml:space="preserve"> (ajustado por dividendos/splits).</w:t>
      </w:r>
    </w:p>
    <w:p>
      <w:pPr>
        <w:pStyle w:val="Heading2"/>
      </w:pPr>
      <w:r>
        <w:t>4. Problema detectado: IPSA por Yahoo ⚠️</w:t>
      </w:r>
    </w:p>
    <w:p>
      <w:pPr>
        <w:pStyle w:val="ListBullet"/>
      </w:pPr>
      <w:r>
        <w:t xml:space="preserve">El ticker </w:t>
      </w:r>
      <w:r>
        <w:rPr>
          <w:rFonts w:ascii="Consolas" w:hAnsi="Consolas"/>
          <w:sz w:val="20"/>
        </w:rPr>
        <w:t>^IPSA</w:t>
      </w:r>
      <w:r>
        <w:t xml:space="preserve"> de Yahoo </w:t>
      </w:r>
      <w:r>
        <w:rPr>
          <w:b/>
        </w:rPr>
        <w:t>se trunca en 2019-06</w:t>
      </w:r>
      <w:r>
        <w:t xml:space="preserve"> (verificado). Los alternativos </w:t>
      </w:r>
      <w:r>
        <w:rPr>
          <w:rFonts w:ascii="Consolas" w:hAnsi="Consolas"/>
          <w:sz w:val="20"/>
        </w:rPr>
        <w:t>^SPIPSA</w:t>
      </w:r>
      <w:r>
        <w:t xml:space="preserve"> / </w:t>
      </w:r>
      <w:r>
        <w:rPr>
          <w:rFonts w:ascii="Consolas" w:hAnsi="Consolas"/>
          <w:sz w:val="20"/>
        </w:rPr>
        <w:t>SPIPSA.SN</w:t>
      </w:r>
      <w:r>
        <w:t xml:space="preserve"> </w:t>
      </w:r>
      <w:r>
        <w:rPr>
          <w:b/>
        </w:rPr>
        <w:t>no existen</w:t>
      </w:r>
      <w:r>
        <w:t xml:space="preserve"> en Yahoo.</w:t>
      </w:r>
    </w:p>
    <w:p>
      <w:pPr>
        <w:pStyle w:val="ListBullet"/>
      </w:pPr>
      <w:r>
        <w:rPr>
          <w:b/>
        </w:rPr>
        <w:t>Solución:</w:t>
      </w:r>
      <w:r>
        <w:t xml:space="preserve"> descargar el IPSA desde el </w:t>
      </w:r>
      <w:r>
        <w:rPr>
          <w:b/>
        </w:rPr>
        <w:t>BCCh</w:t>
      </w:r>
      <w:r>
        <w:t xml:space="preserve"> (si3.bcentral.cl) o la </w:t>
      </w:r>
      <w:r>
        <w:rPr>
          <w:b/>
        </w:rPr>
        <w:t>Bolsa de Santiago</w:t>
      </w:r>
      <w:r>
        <w:t xml:space="preserve"> a </w:t>
      </w:r>
      <w:r>
        <w:rPr>
          <w:rFonts w:ascii="Consolas" w:hAnsi="Consolas"/>
          <w:sz w:val="20"/>
        </w:rPr>
        <w:t>data/raw/bcch_ipsa.csv</w:t>
      </w:r>
      <w:r>
        <w:t xml:space="preserve">. Ya quedó configurado así en </w:t>
      </w:r>
      <w:r>
        <w:rPr>
          <w:rFonts w:ascii="Consolas" w:hAnsi="Consolas"/>
          <w:sz w:val="20"/>
        </w:rPr>
        <w:t>config.py</w:t>
      </w:r>
      <w:r>
        <w:t>.</w:t>
      </w:r>
    </w:p>
    <w:p>
      <w:pPr>
        <w:pStyle w:val="Heading2"/>
      </w:pPr>
      <w:r>
        <w:t>5. Pendiente de descarga MANUAL a `data/raw/` (BCCh / Cochilco / CMF)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71"/>
        <w:gridCol w:w="2871"/>
        <w:gridCol w:w="2871"/>
      </w:tblGrid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Archivo esperado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Serie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Fuente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bcch_tpm.csv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Tasa de Política Monetaria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bcch_imacec.csv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IMACEC (proxy PIB mensual)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bcch_embi.csv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EMBI Chile / spread soberano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bcch_ipc.csv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IPC / inflación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INE / BCCh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bcch_ipsa.csv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IPSA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BCCh / Bolsa Santiago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EE.FF. trimestrales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leverage, ROA, etc.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CMF (cmfchile.cl)</w:t>
            </w:r>
          </w:p>
        </w:tc>
      </w:tr>
    </w:tbl>
    <w:p>
      <w:pPr>
        <w:spacing w:after="40"/>
      </w:pPr>
    </w:p>
    <w:p>
      <w:pPr>
        <w:pStyle w:val="Heading2"/>
      </w:pPr>
      <w:r>
        <w:t>6. Validación econométrica con datos reales</w:t>
      </w:r>
    </w:p>
    <w:p>
      <w:pPr>
        <w:pStyle w:val="ListBullet"/>
      </w:pPr>
      <w:r>
        <w:t xml:space="preserve">OE1 sobre el cobre real (2004–2024): </w:t>
      </w:r>
      <w:r>
        <w:rPr>
          <w:b/>
        </w:rPr>
        <w:t>log-nivel → I(1)</w:t>
      </w:r>
      <w:r>
        <w:t xml:space="preserve"> (ADF p=0.013, KPSS rechaza), </w:t>
      </w:r>
      <w:r>
        <w:rPr>
          <w:b/>
        </w:rPr>
        <w:t>retorno → I(0)</w:t>
      </w:r>
      <w:r>
        <w:t xml:space="preserve"> (ADF p=0.0001, KPSS no rechaza). Patrón esperado confirmado.</w:t>
      </w:r>
    </w:p>
    <w:p>
      <w:pPr>
        <w:pStyle w:val="ListBullet"/>
      </w:pPr>
      <w:r>
        <w:t>Esto valida la doble vía: retornos I(0) para impacto de corto plazo (OE2); niveles I(1) para cointegración de largo plazo (OE3).</w:t>
      </w:r>
    </w:p>
    <w:p>
      <w:pPr>
        <w:pStyle w:val="Heading2"/>
      </w:pPr>
      <w:r>
        <w:t>7. Datos guardados</w:t>
      </w:r>
    </w:p>
    <w:p>
      <w:r>
        <w:t xml:space="preserve">En </w:t>
      </w:r>
      <w:r>
        <w:rPr>
          <w:rFonts w:ascii="Consolas" w:hAnsi="Consolas"/>
          <w:sz w:val="20"/>
        </w:rPr>
        <w:t>data/interim/</w:t>
      </w:r>
      <w:r>
        <w:t xml:space="preserve"> (parquet):</w:t>
      </w:r>
    </w:p>
    <w:p>
      <w:pPr>
        <w:pStyle w:val="ListBullet"/>
      </w:pPr>
      <w:r>
        <w:rPr>
          <w:rFonts w:ascii="Consolas" w:hAnsi="Consolas"/>
          <w:sz w:val="20"/>
        </w:rPr>
        <w:t>raw_macro_global.parquet</w:t>
      </w:r>
      <w:r>
        <w:t xml:space="preserve"> — 6 series FRED globales.</w:t>
      </w:r>
    </w:p>
    <w:p>
      <w:pPr>
        <w:pStyle w:val="ListBullet"/>
      </w:pPr>
      <w:r>
        <w:rPr>
          <w:rFonts w:ascii="Consolas" w:hAnsi="Consolas"/>
          <w:sz w:val="20"/>
        </w:rPr>
        <w:t>raw_macro_local_fred.parquet</w:t>
      </w:r>
      <w:r>
        <w:t xml:space="preserve"> — USD/CLP.</w:t>
      </w:r>
    </w:p>
    <w:p>
      <w:pPr>
        <w:pStyle w:val="ListBullet"/>
      </w:pPr>
      <w:r>
        <w:rPr>
          <w:rFonts w:ascii="Consolas" w:hAnsi="Consolas"/>
          <w:sz w:val="20"/>
        </w:rPr>
        <w:t>raw_precios.parquet</w:t>
      </w:r>
      <w:r>
        <w:t xml:space="preserve"> — 7 acciones candidatas.</w:t>
      </w:r>
    </w:p>
    <w:sectPr w:rsidR="00FC693F" w:rsidRPr="0006063C" w:rsidSect="00034616">
      <w:footerReference w:type="default" r:id="rId9"/>
      <w:pgSz w:w="12240" w:h="15840"/>
      <w:pgMar w:top="1701" w:right="1814" w:bottom="1474" w:left="181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E6E73"/>
        <w:sz w:val="18"/>
      </w:rPr>
      <w:fldChar w:fldCharType="begin"/>
      <w:instrText xml:space="preserve">PAGE</w:instrText>
      <w:fldChar w:fldCharType="separate"/>
      <w:instrText xml:space="preserve">1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200"/>
      <w:jc w:val="left"/>
    </w:pPr>
    <w:rPr>
      <w:rFonts w:ascii="Segoe UI" w:hAnsi="Segoe UI"/>
      <w:color w:val="1D1D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64" w:lineRule="auto"/>
      <w:jc w:val="left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0071E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