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Segoe UI Semibold" w:hAnsi="Segoe UI Semibold"/>
          <w:color w:val="0071E3"/>
          <w:sz w:val="24"/>
          <w:spacing w:val="40"/>
        </w:rPr>
        <w:t>INVESTIGACIÓN · TESIS F. RIETTA</w:t>
      </w:r>
    </w:p>
    <w:p>
      <w:pPr>
        <w:spacing w:after="160" w:line="245" w:lineRule="auto"/>
      </w:pPr>
      <w:r>
        <w:rPr>
          <w:rFonts w:ascii="Segoe UI Semibold" w:hAnsi="Segoe UI Semibold"/>
          <w:color w:val="1D1D1F"/>
          <w:sz w:val="68"/>
        </w:rPr>
        <w:t>Mejoras Metodológicas</w:t>
      </w:r>
    </w:p>
    <w:p>
      <w:pPr>
        <w:spacing w:after="0" w:line="288" w:lineRule="auto"/>
      </w:pPr>
      <w:r>
        <w:rPr>
          <w:rFonts w:ascii="Segoe UI" w:hAnsi="Segoe UI"/>
          <w:color w:val="6E6E73"/>
          <w:sz w:val="30"/>
        </w:rPr>
        <w:t>Batería econométrica de segunda generación</w:t>
      </w:r>
    </w:p>
    <w:p>
      <w:pPr>
        <w:spacing w:after="0"/>
      </w:pPr>
    </w:p>
    <w:p>
      <w:pPr>
        <w:spacing w:before="160" w:after="280"/>
        <w:pBdr>
          <w:bottom w:val="single" w:sz="6" w:space="1" w:color="D2D2D7"/>
        </w:pBdr>
      </w:pP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Proyecto   </w:t>
      </w:r>
      <w:r>
        <w:rPr>
          <w:rFonts w:ascii="Segoe UI" w:hAnsi="Segoe UI"/>
          <w:color w:val="6E6E73"/>
          <w:sz w:val="21"/>
        </w:rPr>
        <w:t>Macroeconomía y retornos del sector cobre en Chile (2004–2024)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Documento   </w:t>
      </w:r>
      <w:r>
        <w:rPr>
          <w:rFonts w:ascii="Segoe UI" w:hAnsi="Segoe UI"/>
          <w:color w:val="6E6E73"/>
          <w:sz w:val="21"/>
        </w:rPr>
        <w:t>Mejoras Metodológicas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Formato   </w:t>
      </w:r>
      <w:r>
        <w:rPr>
          <w:rFonts w:ascii="Segoe UI" w:hAnsi="Segoe UI"/>
          <w:color w:val="6E6E73"/>
          <w:sz w:val="21"/>
        </w:rPr>
        <w:t>Estilo Apple · sugerencias MIT (sans serif, índice, enlaces)</w:t>
      </w:r>
    </w:p>
    <w:p>
      <w:r>
        <w:br w:type="page"/>
      </w:r>
    </w:p>
    <w:p>
      <w:pPr>
        <w:pStyle w:val="Heading1"/>
      </w:pPr>
      <w:r>
        <w:t>Mejoras metodológicas para tesis de nota máxima</w:t>
      </w:r>
    </w:p>
    <w:p>
      <w:r>
        <w:rPr>
          <w:b/>
        </w:rPr>
        <w:t>Tesis:</w:t>
      </w:r>
      <w:r>
        <w:t xml:space="preserve"> </w:t>
      </w:r>
      <w:r>
        <w:rPr>
          <w:i/>
        </w:rPr>
        <w:t>Impacto de las variables macroeconómicas en los retornos accionarios de las empresas de cobre con exposición a Chile: una comparación entre el mercado bursátil internacional y el chileno, 2004–2024.</w:t>
      </w:r>
    </w:p>
    <w:p>
      <w:r>
        <w:t>Documento de asesoría metodológica. Sintetiza (1) qué caracteriza a una tesis de magíster de nota máxima en finanzas/econometría empírica según rúbricas universitarias reales, (2) mejoras concretas priorizadas que elevarían esta tesis, y (3) errores comunes que bajan la nota. Última actualización: 2026-05-31.</w:t>
      </w:r>
    </w:p>
    <w:p>
      <w:pPr>
        <w:pStyle w:val="Heading2"/>
      </w:pPr>
      <w:r>
        <w:t>1. Qué caracteriza a una tesis de NOTA MÁXIMA (rúbricas reales)</w:t>
      </w:r>
    </w:p>
    <w:p>
      <w:r>
        <w:t>Las rúbricas convergen en cinco ejes. Síntesis a partir de guías universitarias publicadas: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06"/>
        <w:gridCol w:w="4306"/>
      </w:tblGrid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Eje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Qué exige el nivel sobresaliente (A / &gt;85%)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Pregunta y aporte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Pregunta clara que "busca ampliar el estado del conocimiento"; gap explícito; contribución delimitada y honesta (no sobre-vendida).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Teoría y método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 xml:space="preserve">Conocimiento de las teorías y métodos relevantes y </w:t>
            </w:r>
            <w:r>
              <w:rPr>
                <w:rFonts w:ascii="Segoe UI" w:hAnsi="Segoe UI"/>
                <w:b/>
                <w:sz w:val="20"/>
              </w:rPr>
              <w:t>buen juicio en la elección</w:t>
            </w:r>
            <w:r>
              <w:rPr>
                <w:rFonts w:ascii="Segoe UI" w:hAnsi="Segoe UI"/>
                <w:sz w:val="20"/>
              </w:rPr>
              <w:t>; diseño de investigación descrito de forma clara y objetiva; método aplicado de forma "apropiada y convincente".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Análisis y resultados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 xml:space="preserve">Ejecución técnicamente correcta; conclusiones apropiadas que identifican los hallazgos clave; </w:t>
            </w:r>
            <w:r>
              <w:rPr>
                <w:rFonts w:ascii="Segoe UI" w:hAnsi="Segoe UI"/>
                <w:b/>
                <w:sz w:val="20"/>
              </w:rPr>
              <w:t>reflexión crítica sobre supuestos y limitaciones</w:t>
            </w:r>
            <w:r>
              <w:rPr>
                <w:rFonts w:ascii="Segoe UI" w:hAnsi="Segoe UI"/>
                <w:sz w:val="20"/>
              </w:rPr>
              <w:t>.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Rigor y reproducibilidad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Diseño, ejecución, análisis e interpretación sin fallos fundamentales; transparencia que permita replicar (datos, código, semillas, versiones).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Redacción e integridad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Argumentación efectiva, texto legible, ética de investigación y citación correcta.</w:t>
            </w:r>
          </w:p>
        </w:tc>
      </w:tr>
    </w:tbl>
    <w:p>
      <w:pPr>
        <w:spacing w:after="40"/>
      </w:pPr>
    </w:p>
    <w:p>
      <w:r>
        <w:t>Fuentes:</w:t>
      </w:r>
    </w:p>
    <w:p>
      <w:pPr>
        <w:pStyle w:val="ListBullet"/>
      </w:pPr>
      <w:r>
        <w:t xml:space="preserve">NHH (Norwegian School of Economics), </w:t>
      </w:r>
      <w:r>
        <w:rPr>
          <w:i/>
        </w:rPr>
        <w:t>Assessment criteria for the Master Thesis</w:t>
      </w:r>
      <w:r>
        <w:t xml:space="preserve"> — </w:t>
      </w:r>
      <w:hyperlink r:id="rId10">
        <w:r>
          <w:rPr>
            <w:rFonts w:ascii="Segoe UI" w:hAnsi="Segoe UI"/>
            <w:color w:val="0071E3"/>
            <w:u w:val="single"/>
          </w:rPr>
          <w:t xml:space="preserve">https://www.nhh.no/en/for-students/masters-thesis/assessment-criteria/</w:t>
        </w:r>
      </w:hyperlink>
    </w:p>
    <w:p>
      <w:pPr>
        <w:pStyle w:val="ListBullet"/>
      </w:pPr>
      <w:r>
        <w:t xml:space="preserve">University of the Free State, </w:t>
      </w:r>
      <w:r>
        <w:rPr>
          <w:i/>
        </w:rPr>
        <w:t>Rubric Masters Dissertation</w:t>
      </w:r>
      <w:r>
        <w:t xml:space="preserve"> (criterios para puntajes &gt;85%) — </w:t>
      </w:r>
      <w:hyperlink r:id="rId11">
        <w:r>
          <w:rPr>
            <w:rFonts w:ascii="Segoe UI" w:hAnsi="Segoe UI"/>
            <w:color w:val="0071E3"/>
            <w:u w:val="single"/>
          </w:rPr>
          <w:t xml:space="preserve">https://www.ufs.ac.za/docs/default-source/regulations-documents/rubric-masters-dissertation-1004-eng.pdf</w:t>
        </w:r>
      </w:hyperlink>
    </w:p>
    <w:p>
      <w:pPr>
        <w:pStyle w:val="ListBullet"/>
      </w:pPr>
      <w:r>
        <w:t xml:space="preserve">University of Twente (EST), </w:t>
      </w:r>
      <w:r>
        <w:rPr>
          <w:i/>
        </w:rPr>
        <w:t>Master's Thesis Rubric and Grading Form</w:t>
      </w:r>
      <w:r>
        <w:t xml:space="preserve"> — </w:t>
      </w:r>
      <w:hyperlink r:id="rId12">
        <w:r>
          <w:rPr>
            <w:rFonts w:ascii="Segoe UI" w:hAnsi="Segoe UI"/>
            <w:color w:val="0071E3"/>
            <w:u w:val="single"/>
          </w:rPr>
          <w:t xml:space="preserve">https://www.utwente.nl/en/est/masterest/final-project-trajectory-started-in-2025-2026/assessment-form-and-rubric-final-project-est.pdf</w:t>
        </w:r>
      </w:hyperlink>
    </w:p>
    <w:p>
      <w:pPr>
        <w:pStyle w:val="ListBullet"/>
      </w:pPr>
      <w:r>
        <w:t xml:space="preserve">NIH rigor &amp; reproducibility: Lithgow et al., </w:t>
      </w:r>
      <w:r>
        <w:rPr>
          <w:i/>
        </w:rPr>
        <w:t>Rigor Me This</w:t>
      </w:r>
      <w:r>
        <w:t xml:space="preserve"> — </w:t>
      </w:r>
      <w:hyperlink r:id="rId13">
        <w:r>
          <w:rPr>
            <w:rFonts w:ascii="Segoe UI" w:hAnsi="Segoe UI"/>
            <w:color w:val="0071E3"/>
            <w:u w:val="single"/>
          </w:rPr>
          <w:t xml:space="preserve">https://www.ncbi.nlm.nih.gov/pmc/articles/PMC9283916/</w:t>
        </w:r>
      </w:hyperlink>
    </w:p>
    <w:p>
      <w:pPr>
        <w:pStyle w:val="ListBullet"/>
      </w:pPr>
      <w:r>
        <w:t xml:space="preserve">Reproducibilidad/robustez en economía empírica: Lusher et al. (Nature) — </w:t>
      </w:r>
      <w:hyperlink r:id="rId14">
        <w:r>
          <w:rPr>
            <w:rFonts w:ascii="Segoe UI" w:hAnsi="Segoe UI"/>
            <w:color w:val="0071E3"/>
            <w:u w:val="single"/>
          </w:rPr>
          <w:t xml:space="preserve">https://lrlusher.weebly.com/uploads/1/0/0/4/10048967/meta_paper_i__nature_v2___4_.pdf</w:t>
        </w:r>
      </w:hyperlink>
    </w:p>
    <w:p>
      <w:r>
        <w:rPr>
          <w:b/>
        </w:rPr>
        <w:t>Lectura para esta tesis:</w:t>
      </w:r>
      <w:r>
        <w:t xml:space="preserve"> la suite econométrica ya es ambiciosa (cubre el eje "teoría y método" con holgura). Donde se gana o se pierde la nota máxima es en los ejes </w:t>
      </w:r>
      <w:r>
        <w:rPr>
          <w:b/>
        </w:rPr>
        <w:t>rigor/identificación</w:t>
      </w:r>
      <w:r>
        <w:t xml:space="preserve">, </w:t>
      </w:r>
      <w:r>
        <w:rPr>
          <w:b/>
        </w:rPr>
        <w:t>reproducibilidad</w:t>
      </w:r>
      <w:r>
        <w:t xml:space="preserve"> y </w:t>
      </w:r>
      <w:r>
        <w:rPr>
          <w:b/>
        </w:rPr>
        <w:t>reflexión crítica</w:t>
      </w:r>
      <w:r>
        <w:t xml:space="preserve"> — precisamente donde concentro las recomendaciones de la sección 2.</w:t>
      </w:r>
    </w:p>
    <w:p>
      <w:pPr>
        <w:pStyle w:val="Heading2"/>
      </w:pPr>
      <w:r>
        <w:t>2. Mejoras priorizadas y accionables</w:t>
      </w:r>
    </w:p>
    <w:p>
      <w:r>
        <w:t>Leyenda de estado: ✅ ya cubierto · 🟡 parcial / a reforzar · ❌ falta.</w:t>
      </w:r>
    </w:p>
    <w:p>
      <w:pPr>
        <w:pStyle w:val="Heading3"/>
      </w:pPr>
      <w:r>
        <w:t>Prioridad ALTA — alto impacto, implementable en Python (statsmodels/linearmodels/arch)</w:t>
      </w:r>
    </w:p>
    <w:p>
      <w:pPr>
        <w:pStyle w:val="Heading3"/>
      </w:pPr>
      <w:r>
        <w:t>2.1 ❌ Local Projections (Jordà 2005) como IRF alternativa al VAR/VECM</w:t>
      </w:r>
    </w:p>
    <w:p>
      <w:r>
        <w:t xml:space="preserve">La comisión valora ver que las IRF no dependen de una sola tecnología. Las LP se estiman por OLS horizonte a horizonte, son </w:t>
      </w:r>
      <w:r>
        <w:rPr>
          <w:b/>
        </w:rPr>
        <w:t>más robustas a mala especificación</w:t>
      </w:r>
      <w:r>
        <w:t xml:space="preserve"> (no propagan el error de lags al iterar hacia adelante) y permiten bandas analíticas simples. Úsalas como </w:t>
      </w:r>
      <w:r>
        <w:rPr>
          <w:b/>
        </w:rPr>
        <w:t>chequeo de robustez de tus IRF del VAR</w:t>
      </w:r>
      <w:r>
        <w:t>: si la forma y el signo coinciden, tu narrativa se blinda.</w:t>
      </w:r>
    </w:p>
    <w:p>
      <w:pPr>
        <w:pStyle w:val="ListBullet"/>
      </w:pPr>
      <w:r>
        <w:t xml:space="preserve">Implementación: para cada horizonte </w:t>
      </w:r>
      <w:r>
        <w:rPr>
          <w:rFonts w:ascii="Consolas" w:hAnsi="Consolas"/>
          <w:sz w:val="20"/>
        </w:rPr>
        <w:t>h</w:t>
      </w:r>
      <w:r>
        <w:t xml:space="preserve">, regresión </w:t>
      </w:r>
      <w:r>
        <w:rPr>
          <w:rFonts w:ascii="Consolas" w:hAnsi="Consolas"/>
          <w:sz w:val="20"/>
        </w:rPr>
        <w:t>ret_{t+h} = α + β_h · shock_t + controles_{t-1} + Σ lags + ε</w:t>
      </w:r>
      <w:r>
        <w:t xml:space="preserve">, con HAC/Newey-West. </w:t>
      </w:r>
      <w:r>
        <w:rPr>
          <w:rFonts w:ascii="Consolas" w:hAnsi="Consolas"/>
          <w:sz w:val="20"/>
        </w:rPr>
        <w:t>statsmodels.OLS</w:t>
      </w:r>
      <w:r>
        <w:t xml:space="preserve"> + </w:t>
      </w:r>
      <w:r>
        <w:rPr>
          <w:rFonts w:ascii="Consolas" w:hAnsi="Consolas"/>
          <w:sz w:val="20"/>
        </w:rPr>
        <w:t>cov_type='HAC'</w:t>
      </w:r>
      <w:r>
        <w:t xml:space="preserve">. Graficar </w:t>
      </w:r>
      <w:r>
        <w:rPr>
          <w:rFonts w:ascii="Consolas" w:hAnsi="Consolas"/>
          <w:sz w:val="20"/>
        </w:rPr>
        <w:t>β_h</w:t>
      </w:r>
      <w:r>
        <w:t xml:space="preserve"> con IC 90/95%.</w:t>
      </w:r>
    </w:p>
    <w:p>
      <w:pPr>
        <w:pStyle w:val="ListBullet"/>
      </w:pPr>
      <w:r>
        <w:t>LP no lineales por estado del ciclo (interacción con tu dummy expansión/contracción BBQ) refuerzan directamente OE5 — es el "state-dependent LP" que impresiona.</w:t>
      </w:r>
    </w:p>
    <w:p>
      <w:pPr>
        <w:pStyle w:val="ListBullet"/>
      </w:pPr>
      <w:r>
        <w:t xml:space="preserve">Refs: Jordà (2005, AER) — </w:t>
      </w:r>
      <w:hyperlink r:id="rId15">
        <w:r>
          <w:rPr>
            <w:rFonts w:ascii="Segoe UI" w:hAnsi="Segoe UI"/>
            <w:color w:val="0071E3"/>
            <w:u w:val="single"/>
          </w:rPr>
          <w:t xml:space="preserve">https://www.aeaweb.org/articles?id=10.1257/0002828053828518</w:t>
        </w:r>
      </w:hyperlink>
      <w:r>
        <w:t xml:space="preserve"> ; Montiel Olea et al., </w:t>
      </w:r>
      <w:r>
        <w:rPr>
          <w:i/>
        </w:rPr>
        <w:t>Local Projections or VARs? A Primer</w:t>
      </w:r>
      <w:r>
        <w:t xml:space="preserve"> — </w:t>
      </w:r>
      <w:hyperlink r:id="rId16">
        <w:r>
          <w:rPr>
            <w:rFonts w:ascii="Segoe UI" w:hAnsi="Segoe UI"/>
            <w:color w:val="0071E3"/>
            <w:u w:val="single"/>
          </w:rPr>
          <w:t xml:space="preserve">https://arxiv.org/pdf/2503.17144</w:t>
        </w:r>
      </w:hyperlink>
      <w:r>
        <w:t xml:space="preserve"> ; Plagborg-Møller &amp; Wolf, </w:t>
      </w:r>
      <w:r>
        <w:rPr>
          <w:i/>
        </w:rPr>
        <w:t>LP and VARs Estimate the Same IRF</w:t>
      </w:r>
      <w:r>
        <w:t xml:space="preserve"> — </w:t>
      </w:r>
      <w:hyperlink r:id="rId17">
        <w:r>
          <w:rPr>
            <w:rFonts w:ascii="Segoe UI" w:hAnsi="Segoe UI"/>
            <w:color w:val="0071E3"/>
            <w:u w:val="single"/>
          </w:rPr>
          <w:t xml:space="preserve">https://www.mikkelpm.com/files/lp_var.pdf</w:t>
        </w:r>
      </w:hyperlink>
    </w:p>
    <w:p>
      <w:pPr>
        <w:pStyle w:val="Heading3"/>
      </w:pPr>
      <w:r>
        <w:t>2.2 🟡 Inferencia robusta con pocos clusters / pocas series (wild cluster bootstrap)</w:t>
      </w:r>
    </w:p>
    <w:p>
      <w:r>
        <w:t xml:space="preserve">Tus paneles tienen </w:t>
      </w:r>
      <w:r>
        <w:rPr>
          <w:b/>
        </w:rPr>
        <w:t>N pequeño</w:t>
      </w:r>
      <w:r>
        <w:t xml:space="preserve"> (B=5, C=4 empresas). Driscoll-Kraay es correcto para dependencia cross-sectional, pero su validez descansa en </w:t>
      </w:r>
      <w:r>
        <w:rPr>
          <w:b/>
        </w:rPr>
        <w:t>T grande y número de unidades razonable</w:t>
      </w:r>
      <w:r>
        <w:t xml:space="preserve">; con N=4–5 el clustering asintótico es frágil. Reporta además </w:t>
      </w:r>
      <w:r>
        <w:rPr>
          <w:b/>
        </w:rPr>
        <w:t>wild cluster bootstrap-t</w:t>
      </w:r>
      <w:r>
        <w:t xml:space="preserve"> (Cameron-Gelbach-Miller) como inferencia complementaria sobre los coeficientes macro clave. Si la significancia sobrevive, tienes un argumento muy fuerte; si no, lo reportas con honestidad (eso sube nota, no la baja).</w:t>
      </w:r>
    </w:p>
    <w:p>
      <w:pPr>
        <w:pStyle w:val="ListBullet"/>
      </w:pPr>
      <w:r>
        <w:t xml:space="preserve">Implementación: bootstrap manual con remuestreo de signos de Rademacher por cluster (empresa), o vía </w:t>
      </w:r>
      <w:r>
        <w:rPr>
          <w:rFonts w:ascii="Consolas" w:hAnsi="Consolas"/>
          <w:sz w:val="20"/>
        </w:rPr>
        <w:t>wildboottest</w:t>
      </w:r>
      <w:r>
        <w:t xml:space="preserve"> (paquete Python </w:t>
      </w:r>
      <w:r>
        <w:rPr>
          <w:rFonts w:ascii="Consolas" w:hAnsi="Consolas"/>
          <w:sz w:val="20"/>
        </w:rPr>
        <w:t>wildboottest</w:t>
      </w:r>
      <w:r>
        <w:t>). Complementa, no reemplaza, a Driscoll-Kraay.</w:t>
      </w:r>
    </w:p>
    <w:p>
      <w:pPr>
        <w:pStyle w:val="ListBullet"/>
      </w:pPr>
      <w:r>
        <w:t xml:space="preserve">Refs: Hoechle (2007), </w:t>
      </w:r>
      <w:r>
        <w:rPr>
          <w:i/>
        </w:rPr>
        <w:t>Robust SE for panel regressions with cross-sectional dependence</w:t>
      </w:r>
      <w:r>
        <w:t xml:space="preserve"> (xtscc) — </w:t>
      </w:r>
      <w:hyperlink r:id="rId18">
        <w:r>
          <w:rPr>
            <w:rFonts w:ascii="Segoe UI" w:hAnsi="Segoe UI"/>
            <w:color w:val="0071E3"/>
            <w:u w:val="single"/>
          </w:rPr>
          <w:t xml:space="preserve">https://journals.sagepub.com/doi/pdf/10.1177/1536867X0700700301</w:t>
        </w:r>
      </w:hyperlink>
      <w:r>
        <w:t xml:space="preserve"> ; literatura wild bootstrap pocos clusters — </w:t>
      </w:r>
      <w:hyperlink r:id="rId19">
        <w:r>
          <w:rPr>
            <w:rFonts w:ascii="Segoe UI" w:hAnsi="Segoe UI"/>
            <w:color w:val="0071E3"/>
            <w:u w:val="single"/>
          </w:rPr>
          <w:t xml:space="preserve">https://arxiv.org/pdf/2301.04522</w:t>
        </w:r>
      </w:hyperlink>
    </w:p>
    <w:p>
      <w:pPr>
        <w:pStyle w:val="Heading3"/>
      </w:pPr>
      <w:r>
        <w:t>2.3 ❌ Corrección por pruebas múltiples (FWER/FDR)</w:t>
      </w:r>
    </w:p>
    <w:p>
      <w:r>
        <w:t>Estimas muchos coeficientes (varias macro × 3 muestras × subperíodos × fases del ciclo). Sin corregir, parte de los "</w:t>
      </w:r>
      <w:r>
        <w:rPr>
          <w:b/>
        </w:rPr>
        <w:t xml:space="preserve">*" pueden ser falsos positivos — un evaluador con ojo econométrico lo detecta. Aplica </w:t>
      </w:r>
      <w:r>
        <w:t>Benjamini-Hochberg (FDR)** a la familia de p-valores de las hipótesis principales H1–H6, y reporta cuáles sobreviven. Es media página de código y demuestra madurez estadística.</w:t>
      </w:r>
    </w:p>
    <w:p>
      <w:pPr>
        <w:pStyle w:val="ListBullet"/>
      </w:pPr>
      <w:r>
        <w:t xml:space="preserve">Implementación: </w:t>
      </w:r>
      <w:r>
        <w:rPr>
          <w:rFonts w:ascii="Consolas" w:hAnsi="Consolas"/>
          <w:sz w:val="20"/>
        </w:rPr>
        <w:t>statsmodels.stats.multitest.multipletests(pvals, method='fdr_bh')</w:t>
      </w:r>
      <w:r>
        <w:t>. Reportar p-valores crudos y ajustados lado a lado.</w:t>
      </w:r>
    </w:p>
    <w:p>
      <w:pPr>
        <w:pStyle w:val="ListBullet"/>
      </w:pPr>
      <w:r>
        <w:t xml:space="preserve">Refs: NBER, </w:t>
      </w:r>
      <w:r>
        <w:rPr>
          <w:i/>
        </w:rPr>
        <w:t>Hierarchical Multiple Testing in Empirical [Asset Pricing]</w:t>
      </w:r>
      <w:r>
        <w:t xml:space="preserve"> — </w:t>
      </w:r>
      <w:hyperlink r:id="rId20">
        <w:r>
          <w:rPr>
            <w:rFonts w:ascii="Segoe UI" w:hAnsi="Segoe UI"/>
            <w:color w:val="0071E3"/>
            <w:u w:val="single"/>
          </w:rPr>
          <w:t xml:space="preserve">https://www.nber.org/system/files/working_papers/w34050/w34050.pdf</w:t>
        </w:r>
      </w:hyperlink>
      <w:r>
        <w:t xml:space="preserve"> ; revisión FDR (Cai) — </w:t>
      </w:r>
      <w:hyperlink r:id="rId21">
        <w:r>
          <w:rPr>
            <w:rFonts w:ascii="Segoe UI" w:hAnsi="Segoe UI"/>
            <w:color w:val="0071E3"/>
            <w:u w:val="single"/>
          </w:rPr>
          <w:t xml:space="preserve">http://www-stat.wharton.upenn.edu/~tcai/paper/FDR-Review.pdf</w:t>
        </w:r>
      </w:hyperlink>
    </w:p>
    <w:p>
      <w:pPr>
        <w:pStyle w:val="Heading3"/>
      </w:pPr>
      <w:r>
        <w:t>2.4 🟡 Fortalecer la identificación: de "impacto" a algo más causal</w:t>
      </w:r>
    </w:p>
    <w:p>
      <w:r>
        <w:t xml:space="preserve">El diseño es explicativo (correcto para una tesis de medición), pero la comisión preguntará por endogeneidad/simultaneidad (¿el retorno del cobre causa el precio, o viceversa? ¿variables omitidas?). No necesitas un experimento, pero sí </w:t>
      </w:r>
      <w:r>
        <w:rPr>
          <w:b/>
        </w:rPr>
        <w:t>blindar la interpretación</w:t>
      </w:r>
      <w:r>
        <w:t>:</w:t>
      </w:r>
    </w:p>
    <w:p>
      <w:pPr>
        <w:pStyle w:val="ListBullet"/>
      </w:pPr>
      <w:r>
        <w:rPr>
          <w:b/>
        </w:rPr>
        <w:t>Sorpresas / componente no anticipado</w:t>
      </w:r>
      <w:r>
        <w:t xml:space="preserve"> en lugar de niveles: regresar retornos sobre la </w:t>
      </w:r>
      <w:r>
        <w:rPr>
          <w:i/>
        </w:rPr>
        <w:t>innovación</w:t>
      </w:r>
      <w:r>
        <w:t xml:space="preserve"> macro (residuo de un AR o "surprise" = realizado − esperado) reduce el problema de simultaneidad y es el estándar en la literatura de news/announcement. La evidencia muestra respuestas de ~11–25 pb por 1 SD de sorpresa.</w:t>
      </w:r>
    </w:p>
    <w:p>
      <w:pPr>
        <w:pStyle w:val="ListBullet"/>
      </w:pPr>
      <w:r>
        <w:rPr>
          <w:b/>
        </w:rPr>
        <w:t>Predeterminación temporal:</w:t>
      </w:r>
      <w:r>
        <w:t xml:space="preserve"> usa controles rezagados (ya lo haces en VAR; hazlo explícito en panel).</w:t>
      </w:r>
    </w:p>
    <w:p>
      <w:pPr>
        <w:pStyle w:val="ListBullet"/>
      </w:pPr>
      <w:r>
        <w:rPr>
          <w:b/>
        </w:rPr>
        <w:t>Granger / exogeneidad por bloques</w:t>
      </w:r>
      <w:r>
        <w:t xml:space="preserve"> ya lo tienes (cobre→retorno F=9.1, p=0.003): preséntalo como evidencia de dirección, con la salvedad de que Granger ≠ causalidad estructural.</w:t>
      </w:r>
    </w:p>
    <w:p>
      <w:pPr>
        <w:pStyle w:val="ListBullet"/>
      </w:pPr>
      <w:r>
        <w:t xml:space="preserve">Refs: respuesta de acciones a noticias macro — </w:t>
      </w:r>
      <w:hyperlink r:id="rId22">
        <w:r>
          <w:rPr>
            <w:rFonts w:ascii="Segoe UI" w:hAnsi="Segoe UI"/>
            <w:color w:val="0071E3"/>
            <w:u w:val="single"/>
          </w:rPr>
          <w:t xml:space="preserve">https://arxiv.org/pdf/2212.04525</w:t>
        </w:r>
      </w:hyperlink>
      <w:r>
        <w:t xml:space="preserve"> ; anuncios macro y mercados — </w:t>
      </w:r>
      <w:hyperlink r:id="rId23">
        <w:r>
          <w:rPr>
            <w:rFonts w:ascii="Segoe UI" w:hAnsi="Segoe UI"/>
            <w:color w:val="0071E3"/>
            <w:u w:val="single"/>
          </w:rPr>
          <w:t xml:space="preserve">https://actacommercii.co.za/index.php/acta/article/view/1135/2106</w:t>
        </w:r>
      </w:hyperlink>
    </w:p>
    <w:p>
      <w:pPr>
        <w:pStyle w:val="Heading3"/>
      </w:pPr>
      <w:r>
        <w:t>2.5 🟡 GARCH: ampliar a la familia asimétrica y vincularlo a la pregunta</w:t>
      </w:r>
    </w:p>
    <w:p>
      <w:r>
        <w:t xml:space="preserve">Ya tienes GARCH(1,1). Para nota máxima, motiva el modelo con la pregunta (¿la transmisión del shock macro a la </w:t>
      </w:r>
      <w:r>
        <w:rPr>
          <w:b/>
        </w:rPr>
        <w:t>volatilidad</w:t>
      </w:r>
      <w:r>
        <w:t xml:space="preserve"> difiere entre mercado global y chileno?) y compara contra </w:t>
      </w:r>
      <w:r>
        <w:rPr>
          <w:b/>
        </w:rPr>
        <w:t>EGARCH / GJR-GARCH</w:t>
      </w:r>
      <w:r>
        <w:t xml:space="preserve"> para capturar apalancamiento (las malas noticias elevan más la volatilidad). Selección por AIC/BIC y test de signo de Engle-Ng. El paquete </w:t>
      </w:r>
      <w:r>
        <w:rPr>
          <w:rFonts w:ascii="Consolas" w:hAnsi="Consolas"/>
          <w:sz w:val="20"/>
        </w:rPr>
        <w:t>arch</w:t>
      </w:r>
      <w:r>
        <w:t xml:space="preserve"> lo soporta nativamente.</w:t>
      </w:r>
    </w:p>
    <w:p>
      <w:pPr>
        <w:pStyle w:val="ListBullet"/>
      </w:pPr>
      <w:r>
        <w:t xml:space="preserve">Implementación: </w:t>
      </w:r>
      <w:r>
        <w:rPr>
          <w:rFonts w:ascii="Consolas" w:hAnsi="Consolas"/>
          <w:sz w:val="20"/>
        </w:rPr>
        <w:t>arch_model(y, vol='EGARCH'...)</w:t>
      </w:r>
      <w:r>
        <w:t xml:space="preserve"> y </w:t>
      </w:r>
      <w:r>
        <w:rPr>
          <w:rFonts w:ascii="Consolas" w:hAnsi="Consolas"/>
          <w:sz w:val="20"/>
        </w:rPr>
        <w:t>o=1</w:t>
      </w:r>
      <w:r>
        <w:t xml:space="preserve"> para GJR; comparar log-lik/BIC y persistencia (α+β) entre muestras B vs A/C. Opcional: </w:t>
      </w:r>
      <w:r>
        <w:rPr>
          <w:b/>
        </w:rPr>
        <w:t>GARCH-X</w:t>
      </w:r>
      <w:r>
        <w:t xml:space="preserve"> con la variable macro como regresor en la varianza, o </w:t>
      </w:r>
      <w:r>
        <w:rPr>
          <w:b/>
        </w:rPr>
        <w:t>DCC</w:t>
      </w:r>
      <w:r>
        <w:t xml:space="preserve"> para correlación dinámica global↔local.</w:t>
      </w:r>
    </w:p>
    <w:p>
      <w:pPr>
        <w:pStyle w:val="Heading3"/>
      </w:pPr>
      <w:r>
        <w:t>Prioridad MEDIA — robustez y presentación que distinguen</w:t>
      </w:r>
    </w:p>
    <w:p>
      <w:pPr>
        <w:pStyle w:val="Heading3"/>
      </w:pPr>
      <w:r>
        <w:t>2.6 🟡 Batería de robustez sistemática (placebo, submuestras, especificaciones alternativas)</w:t>
      </w:r>
    </w:p>
    <w:p>
      <w:r>
        <w:t>Una tabla de robustez bien armada es de lo que más mueve la nota. Faltan o conviene formalizar:</w:t>
      </w:r>
    </w:p>
    <w:p>
      <w:pPr>
        <w:pStyle w:val="ListBullet"/>
      </w:pPr>
      <w:r>
        <w:rPr>
          <w:b/>
        </w:rPr>
        <w:t>Submuestras / estabilidad temporal:</w:t>
      </w:r>
      <w:r>
        <w:t xml:space="preserve"> ya reportas 2004-19 vs 2020-24 (β cobre 0.56→0.75) y el quiebre 2008 (Gregory-Hansen). Conviértelo en una </w:t>
      </w:r>
      <w:r>
        <w:rPr>
          <w:b/>
        </w:rPr>
        <w:t>tabla de robustez</w:t>
      </w:r>
      <w:r>
        <w:t xml:space="preserve"> explícita, no en texto suelto.</w:t>
      </w:r>
    </w:p>
    <w:p>
      <w:pPr>
        <w:pStyle w:val="ListBullet"/>
      </w:pPr>
      <w:r>
        <w:rPr>
          <w:b/>
        </w:rPr>
        <w:t>Placebo temporal:</w:t>
      </w:r>
      <w:r>
        <w:t xml:space="preserve"> reasignar el evento/quiebre a fechas falsas y verificar que el efecto desaparece.</w:t>
      </w:r>
    </w:p>
    <w:p>
      <w:pPr>
        <w:pStyle w:val="ListBullet"/>
      </w:pPr>
      <w:r>
        <w:rPr>
          <w:b/>
        </w:rPr>
        <w:t>Sensibilidad a la transformación:</w:t>
      </w:r>
      <w:r>
        <w:t xml:space="preserve"> retornos log vs simples; winsorización al 1% de outliers; con/sin COVID.</w:t>
      </w:r>
    </w:p>
    <w:p>
      <w:pPr>
        <w:pStyle w:val="ListBullet"/>
      </w:pPr>
      <w:r>
        <w:rPr>
          <w:b/>
        </w:rPr>
        <w:t>Especificaciones alternativas de SE:</w:t>
      </w:r>
      <w:r>
        <w:t xml:space="preserve"> OLS-robust vs cluster por empresa vs Driscoll-Kraay vs wild bootstrap, todas en una fila comparativa.</w:t>
      </w:r>
    </w:p>
    <w:p>
      <w:pPr>
        <w:pStyle w:val="ListBullet"/>
      </w:pPr>
      <w:r>
        <w:rPr>
          <w:b/>
        </w:rPr>
        <w:t>Sensibilidad a controles:</w:t>
      </w:r>
      <w:r>
        <w:t xml:space="preserve"> mostrar coeficiente clave con y sin precio de cada commodity (el control que ancla tu diseño de triangulación).</w:t>
      </w:r>
    </w:p>
    <w:p>
      <w:pPr>
        <w:pStyle w:val="ListBullet"/>
      </w:pPr>
      <w:r>
        <w:t xml:space="preserve">Refs (robustez/reproducibilidad en econ empírica): </w:t>
      </w:r>
      <w:hyperlink r:id="rId14">
        <w:r>
          <w:rPr>
            <w:rFonts w:ascii="Segoe UI" w:hAnsi="Segoe UI"/>
            <w:color w:val="0071E3"/>
            <w:u w:val="single"/>
          </w:rPr>
          <w:t xml:space="preserve">https://lrlusher.weebly.com/uploads/1/0/0/4/10048967/meta_paper_i__nature_v2___4_.pdf</w:t>
        </w:r>
      </w:hyperlink>
    </w:p>
    <w:p>
      <w:pPr>
        <w:pStyle w:val="Heading3"/>
      </w:pPr>
      <w:r>
        <w:t>2.7 ✅→🟡 Cointegración: cerrar el resultado "inconcluso" de H5</w:t>
      </w:r>
    </w:p>
    <w:p>
      <w:r>
        <w:t>Tienes ARDL, Johansen y Gregory-Hansen (quiebre 2008) — cobertura excelente. El problema es que H5 quedó "inconcluso". Para nota máxima:</w:t>
      </w:r>
    </w:p>
    <w:p>
      <w:pPr>
        <w:pStyle w:val="ListBullet"/>
      </w:pPr>
      <w:r>
        <w:t xml:space="preserve">Reporta los </w:t>
      </w:r>
      <w:r>
        <w:rPr>
          <w:b/>
        </w:rPr>
        <w:t>bounds test</w:t>
      </w:r>
      <w:r>
        <w:t xml:space="preserve"> del ARDL (F y t) con sus valores críticos I(0)/I(1) y la conclusión explícita (cointegra / no / zona inconclusa).</w:t>
      </w:r>
    </w:p>
    <w:p>
      <w:pPr>
        <w:pStyle w:val="ListBullet"/>
      </w:pPr>
      <w:r>
        <w:t xml:space="preserve">Si Pesaran indica cointegración, presenta el </w:t>
      </w:r>
      <w:r>
        <w:rPr>
          <w:b/>
        </w:rPr>
        <w:t>ECM con velocidad de ajuste</w:t>
      </w:r>
      <w:r>
        <w:t xml:space="preserve"> (coef. del término de corrección de error, signo negativo y significativo = evidencia fuerte) e interprétalo económicamente.</w:t>
      </w:r>
    </w:p>
    <w:p>
      <w:pPr>
        <w:pStyle w:val="ListBullet"/>
      </w:pPr>
      <w:r>
        <w:t xml:space="preserve">Triangula: si ARDL-bounds, Johansen-traza y Gregory-Hansen apuntan distinto, explica </w:t>
      </w:r>
      <w:r>
        <w:rPr>
          <w:i/>
        </w:rPr>
        <w:t>por qué</w:t>
      </w:r>
      <w:r>
        <w:t xml:space="preserve"> (quiebre estructural, potencia de cada test). Convertir un "inconcluso" en una discusión razonada </w:t>
      </w:r>
      <w:r>
        <w:rPr>
          <w:b/>
        </w:rPr>
        <w:t>sube la nota</w:t>
      </w:r>
      <w:r>
        <w:t>.</w:t>
      </w:r>
    </w:p>
    <w:p>
      <w:pPr>
        <w:pStyle w:val="Heading3"/>
      </w:pPr>
      <w:r>
        <w:t>2.8 ❌ Diagnóstico de dependencia transversal y heterogeneidad de pendientes</w:t>
      </w:r>
    </w:p>
    <w:p>
      <w:r>
        <w:t>Ya validaste dependencia cross-sectional con Pesaran CD (24.5, p≈0) — perfecto, justifica Driscoll-Kraay. Complementa con:</w:t>
      </w:r>
    </w:p>
    <w:p>
      <w:pPr>
        <w:pStyle w:val="ListBullet"/>
      </w:pPr>
      <w:r>
        <w:rPr>
          <w:b/>
        </w:rPr>
        <w:t>CIPS (Pesaran)</w:t>
      </w:r>
      <w:r>
        <w:t xml:space="preserve">: raíz unitaria de segunda generación que es </w:t>
      </w:r>
      <w:r>
        <w:rPr>
          <w:i/>
        </w:rPr>
        <w:t>robusta a dependencia transversal</w:t>
      </w:r>
      <w:r>
        <w:t xml:space="preserve"> (tus ADF/PP/KPSS son de primera generación y pueden fallar bajo CD). Refuerza tu sección de raíz unitaria.</w:t>
      </w:r>
    </w:p>
    <w:p>
      <w:pPr>
        <w:pStyle w:val="ListBullet"/>
      </w:pPr>
      <w:r>
        <w:rPr>
          <w:b/>
        </w:rPr>
        <w:t>Test de homogeneidad de pendientes (Pesaran-Yamagata)</w:t>
      </w:r>
      <w:r>
        <w:t xml:space="preserve">: si las pendientes difieren entre empresas, el FE pooled puede sesgar; podrías necesitar </w:t>
      </w:r>
      <w:r>
        <w:rPr>
          <w:b/>
        </w:rPr>
        <w:t>Mean Group / Pooled Mean Group (PMG)</w:t>
      </w:r>
      <w:r>
        <w:t>, que además da la relación de largo plazo común — encaja perfecto con tu pregunta global vs local.</w:t>
      </w:r>
    </w:p>
    <w:p>
      <w:pPr>
        <w:pStyle w:val="Heading3"/>
      </w:pPr>
      <w:r>
        <w:t>2.9 🟡 Tamaños de efecto e interpretación económica, no solo estadística</w:t>
      </w:r>
    </w:p>
    <w:p>
      <w:r>
        <w:t xml:space="preserve">La rúbrica premia "identificar los hallazgos clave". Para cada coeficiente importante reporta la </w:t>
      </w:r>
      <w:r>
        <w:rPr>
          <w:b/>
        </w:rPr>
        <w:t>magnitud económica</w:t>
      </w:r>
      <w:r>
        <w:t xml:space="preserve"> (p. ej. "1 SD de sorpresa en TC ⇒ X pb de retorno mensual; equivale a Y% de la volatilidad mensual típica"), no solo el signo y los asteriscos. Estandariza variables (beta estandarizado) para comparar la </w:t>
      </w:r>
      <w:r>
        <w:rPr>
          <w:i/>
        </w:rPr>
        <w:t>importancia relativa</w:t>
      </w:r>
      <w:r>
        <w:t xml:space="preserve"> de cada macro entre mercados — esto materializa tu H6/H7 (quién transmite más).</w:t>
      </w:r>
    </w:p>
    <w:p>
      <w:pPr>
        <w:pStyle w:val="Heading3"/>
      </w:pPr>
      <w:r>
        <w:t>Prioridad TRANSVERSAL — reproducibilidad (eje de rúbrica que muchos descuidan)</w:t>
      </w:r>
    </w:p>
    <w:p>
      <w:pPr>
        <w:pStyle w:val="Heading3"/>
      </w:pPr>
      <w:r>
        <w:t>2.10 🟡 Paquete de reproducibilidad</w:t>
      </w:r>
    </w:p>
    <w:p>
      <w:r>
        <w:t>Es un criterio explícito de rigor y suele ser un diferenciador fácil:</w:t>
      </w:r>
    </w:p>
    <w:p>
      <w:pPr>
        <w:pStyle w:val="ListBullet"/>
      </w:pPr>
      <w:r>
        <w:rPr>
          <w:rFonts w:ascii="Consolas" w:hAnsi="Consolas"/>
          <w:sz w:val="20"/>
        </w:rPr>
        <w:t>requirements.txt</w:t>
      </w:r>
      <w:r>
        <w:t xml:space="preserve"> con </w:t>
      </w:r>
      <w:r>
        <w:rPr>
          <w:b/>
        </w:rPr>
        <w:t>versiones fijadas</w:t>
      </w:r>
      <w:r>
        <w:t xml:space="preserve"> (ya consta el gotcha pandas 3.0 / pandas-datareader: documéntalo en el repo).</w:t>
      </w:r>
    </w:p>
    <w:p>
      <w:pPr>
        <w:pStyle w:val="ListBullet"/>
      </w:pPr>
      <w:r>
        <w:rPr>
          <w:b/>
        </w:rPr>
        <w:t>Semilla fija</w:t>
      </w:r>
      <w:r>
        <w:t xml:space="preserve"> en bootstraps/GARCH y registro de versiones de librerías.</w:t>
      </w:r>
    </w:p>
    <w:p>
      <w:pPr>
        <w:pStyle w:val="ListBullet"/>
      </w:pPr>
      <w:r>
        <w:rPr>
          <w:b/>
        </w:rPr>
        <w:t>Script maestro</w:t>
      </w:r>
      <w:r>
        <w:t xml:space="preserve"> que reproduce todas las tablas/figuras de punta a punta (ya tienes </w:t>
      </w:r>
      <w:r>
        <w:rPr>
          <w:rFonts w:ascii="Consolas" w:hAnsi="Consolas"/>
          <w:sz w:val="20"/>
        </w:rPr>
        <w:t>build_thesis.py</w:t>
      </w:r>
      <w:r>
        <w:t xml:space="preserve">, </w:t>
      </w:r>
      <w:r>
        <w:rPr>
          <w:rFonts w:ascii="Consolas" w:hAnsi="Consolas"/>
          <w:sz w:val="20"/>
        </w:rPr>
        <w:t>full_tables.py</w:t>
      </w:r>
      <w:r>
        <w:t xml:space="preserve">, </w:t>
      </w:r>
      <w:r>
        <w:rPr>
          <w:rFonts w:ascii="Consolas" w:hAnsi="Consolas"/>
          <w:sz w:val="20"/>
        </w:rPr>
        <w:t>make_figures.py</w:t>
      </w:r>
      <w:r>
        <w:t xml:space="preserve"> — documenta el orden en un README).</w:t>
      </w:r>
    </w:p>
    <w:p>
      <w:pPr>
        <w:pStyle w:val="ListBullet"/>
      </w:pPr>
      <w:r>
        <w:t xml:space="preserve">Anexo con </w:t>
      </w:r>
      <w:r>
        <w:rPr>
          <w:b/>
        </w:rPr>
        <w:t>diccionario de variables y fuentes</w:t>
      </w:r>
      <w:r>
        <w:t xml:space="preserve"> (FRED IDs ya los tienes en memoria; EMBI del BCCh pendiente). Mapear cada serie a su fuente y transformación.</w:t>
      </w:r>
    </w:p>
    <w:p>
      <w:pPr>
        <w:pStyle w:val="ListBullet"/>
      </w:pPr>
      <w:r>
        <w:t xml:space="preserve">Refs: criterios de transparencia/reproducibilidad — </w:t>
      </w:r>
      <w:hyperlink r:id="rId13">
        <w:r>
          <w:rPr>
            <w:rFonts w:ascii="Segoe UI" w:hAnsi="Segoe UI"/>
            <w:color w:val="0071E3"/>
            <w:u w:val="single"/>
          </w:rPr>
          <w:t xml:space="preserve">https://www.ncbi.nlm.nih.gov/pmc/articles/PMC9283916/</w:t>
        </w:r>
      </w:hyperlink>
    </w:p>
    <w:p>
      <w:pPr>
        <w:pStyle w:val="Heading2"/>
      </w:pPr>
      <w:r>
        <w:t>3. Errores comunes que BAJAN la nota (y cómo evitarlos aquí)</w:t>
      </w:r>
    </w:p>
    <w:p>
      <w:pPr>
        <w:ind w:left="454" w:hanging="454"/>
      </w:pPr>
      <w:r>
        <w:t xml:space="preserve">1. </w:t>
      </w:r>
      <w:r>
        <w:rPr>
          <w:b/>
        </w:rPr>
        <w:t>Regresión espuria por no estacionariedad.</w:t>
      </w:r>
      <w:r>
        <w:t xml:space="preserve"> El error clásico: regresar series I(1) en niveles y celebrar R² altos y t grandes que son artefactos de tendencias comunes. </w:t>
      </w:r>
      <w:r>
        <w:rPr>
          <w:i/>
        </w:rPr>
        <w:t>Mitigación en tu caso:</w:t>
      </w:r>
      <w:r>
        <w:t xml:space="preserve"> ya trabajas con retornos (estacionarios) y tienes batería ADF/PP/KPSS/Zivot-Andrews + cointegración para los niveles. Mantén la </w:t>
      </w:r>
      <w:r>
        <w:rPr>
          <w:b/>
        </w:rPr>
        <w:t>regla</w:t>
      </w:r>
      <w:r>
        <w:t xml:space="preserve">: niveles solo dentro de un marco de cointegración (VECM/ARDL); todo lo demás, en diferencias/retornos. Refs: Ventosa-Santaulària (2009) — </w:t>
      </w:r>
      <w:hyperlink r:id="rId24">
        <w:r>
          <w:rPr>
            <w:rFonts w:ascii="Segoe UI" w:hAnsi="Segoe UI"/>
            <w:color w:val="0071E3"/>
            <w:u w:val="single"/>
          </w:rPr>
          <w:t xml:space="preserve">https://www.hindawi.com/journals/jps/2009/802975/</w:t>
        </w:r>
      </w:hyperlink>
      <w:r>
        <w:t xml:space="preserve"> ; Whelan, </w:t>
      </w:r>
      <w:r>
        <w:rPr>
          <w:i/>
        </w:rPr>
        <w:t>Spurious Regressions and Cointegration</w:t>
      </w:r>
      <w:r>
        <w:t xml:space="preserve"> — </w:t>
      </w:r>
      <w:hyperlink r:id="rId25">
        <w:r>
          <w:rPr>
            <w:rFonts w:ascii="Segoe UI" w:hAnsi="Segoe UI"/>
            <w:color w:val="0071E3"/>
            <w:u w:val="single"/>
          </w:rPr>
          <w:t xml:space="preserve">https://www.karlwhelan.com/Teaching/MA%20Econometrics/part4.pdf</w:t>
        </w:r>
      </w:hyperlink>
    </w:p>
    <w:p>
      <w:pPr>
        <w:ind w:left="454" w:hanging="454"/>
      </w:pPr>
      <w:r>
        <w:t xml:space="preserve">2. </w:t>
      </w:r>
      <w:r>
        <w:rPr>
          <w:b/>
        </w:rPr>
        <w:t>Confundir cointegración con espuria.</w:t>
      </w:r>
      <w:r>
        <w:t xml:space="preserve"> Usar valores críticos DF normales para testear cointegración (los residuos parecen estacionarios aun cuando no lo son). </w:t>
      </w:r>
      <w:r>
        <w:rPr>
          <w:i/>
        </w:rPr>
        <w:t>Mitigación:</w:t>
      </w:r>
      <w:r>
        <w:t xml:space="preserve"> usa los valores críticos correctos de Engle-Granger/Johansen/bounds — verifica que tu implementación los aplique. Ref Stata blog — </w:t>
      </w:r>
      <w:hyperlink r:id="rId26">
        <w:r>
          <w:rPr>
            <w:rFonts w:ascii="Segoe UI" w:hAnsi="Segoe UI"/>
            <w:color w:val="0071E3"/>
            <w:u w:val="single"/>
          </w:rPr>
          <w:t xml:space="preserve">https://blog.stata.com/2016/09/06/cointegration-or-spurious-regression/</w:t>
        </w:r>
      </w:hyperlink>
    </w:p>
    <w:p>
      <w:pPr>
        <w:ind w:left="454" w:hanging="454"/>
      </w:pPr>
      <w:r>
        <w:t xml:space="preserve">3. </w:t>
      </w:r>
      <w:r>
        <w:rPr>
          <w:b/>
        </w:rPr>
        <w:t>Ignorar el quiebre estructural en los tests de raíz unitaria.</w:t>
      </w:r>
      <w:r>
        <w:t xml:space="preserve"> Un ADF sin quiebre puede declarar I(1) algo que es estacionario alrededor de un quiebre (y viceversa). </w:t>
      </w:r>
      <w:r>
        <w:rPr>
          <w:i/>
        </w:rPr>
        <w:t>Mitigación:</w:t>
      </w:r>
      <w:r>
        <w:t xml:space="preserve"> ya lo cubres con Zivot-Andrews (resolvió el falso "I(2)?" del TC) y Gregory-Hansen. Bien.</w:t>
      </w:r>
    </w:p>
    <w:p>
      <w:pPr>
        <w:ind w:left="454" w:hanging="454"/>
      </w:pPr>
      <w:r>
        <w:t xml:space="preserve">4. </w:t>
      </w:r>
      <w:r>
        <w:rPr>
          <w:b/>
        </w:rPr>
        <w:t>Inferencia inválida por dependencia transversal / pocos clusters.</w:t>
      </w:r>
      <w:r>
        <w:t xml:space="preserve"> SE estándar subestimados ⇒ falsa significancia. </w:t>
      </w:r>
      <w:r>
        <w:rPr>
          <w:i/>
        </w:rPr>
        <w:t>Mitigación:</w:t>
      </w:r>
      <w:r>
        <w:t xml:space="preserve"> Driscoll-Kraay (hecho) + wild bootstrap por el N pequeño (sección 2.2).</w:t>
      </w:r>
    </w:p>
    <w:p>
      <w:pPr>
        <w:ind w:left="454" w:hanging="454"/>
      </w:pPr>
      <w:r>
        <w:t xml:space="preserve">5. </w:t>
      </w:r>
      <w:r>
        <w:rPr>
          <w:b/>
        </w:rPr>
        <w:t>p-hacking de facto por múltiples especificaciones sin corrección.</w:t>
      </w:r>
      <w:r>
        <w:t xml:space="preserve"> Reportar solo lo significativo entre decenas de pruebas. </w:t>
      </w:r>
      <w:r>
        <w:rPr>
          <w:i/>
        </w:rPr>
        <w:t>Mitigación:</w:t>
      </w:r>
      <w:r>
        <w:t xml:space="preserve"> FDR (sección 2.3) y mostrar la </w:t>
      </w:r>
      <w:r>
        <w:rPr>
          <w:b/>
        </w:rPr>
        <w:t>tabla completa</w:t>
      </w:r>
      <w:r>
        <w:t xml:space="preserve"> de especificaciones, no un cherry-pick.</w:t>
      </w:r>
    </w:p>
    <w:p>
      <w:pPr>
        <w:ind w:left="454" w:hanging="454"/>
      </w:pPr>
      <w:r>
        <w:t xml:space="preserve">6. </w:t>
      </w:r>
      <w:r>
        <w:rPr>
          <w:b/>
        </w:rPr>
        <w:t>Sobre-interpretación causal.</w:t>
      </w:r>
      <w:r>
        <w:t xml:space="preserve"> Afirmar "X causa Y" desde Granger u OLS. </w:t>
      </w:r>
      <w:r>
        <w:rPr>
          <w:i/>
        </w:rPr>
        <w:t>Mitigación:</w:t>
      </w:r>
      <w:r>
        <w:t xml:space="preserve"> lenguaje calibrado ("asociación", "transmisión", "respuesta condicional"), Granger presentado como precedencia temporal, y sorpresas para reducir simultaneidad (2.4).</w:t>
      </w:r>
    </w:p>
    <w:p>
      <w:pPr>
        <w:ind w:left="454" w:hanging="454"/>
      </w:pPr>
      <w:r>
        <w:t xml:space="preserve">7. </w:t>
      </w:r>
      <w:r>
        <w:rPr>
          <w:b/>
        </w:rPr>
        <w:t>No reportar diagnósticos del modelo.</w:t>
      </w:r>
      <w:r>
        <w:t xml:space="preserve"> VAR sin test de estabilidad/autocorrelación de residuos; GARCH sin test de efectos ARCH remanentes; panel sin Hausman (FE vs RE) ni test de dependencia. </w:t>
      </w:r>
      <w:r>
        <w:rPr>
          <w:i/>
        </w:rPr>
        <w:t>Mitigación:</w:t>
      </w:r>
      <w:r>
        <w:t xml:space="preserve"> tienes VAR estable y CD-Pesaran; añade Hausman explícito y Ljung-Box/ARCH-LM sobre residuos estandarizados del GARCH.</w:t>
      </w:r>
    </w:p>
    <w:p>
      <w:pPr>
        <w:ind w:left="454" w:hanging="454"/>
      </w:pPr>
      <w:r>
        <w:t xml:space="preserve">8. </w:t>
      </w:r>
      <w:r>
        <w:rPr>
          <w:b/>
        </w:rPr>
        <w:t>Resultados sin magnitud económica ni límites.</w:t>
      </w:r>
      <w:r>
        <w:t xml:space="preserve"> Solo asteriscos, sin "cuánto" ni sección honesta de limitaciones. </w:t>
      </w:r>
      <w:r>
        <w:rPr>
          <w:i/>
        </w:rPr>
        <w:t>Mitigación:</w:t>
      </w:r>
      <w:r>
        <w:t xml:space="preserve"> secciones 2.9 y la "reflexión crítica" que la rúbrica exige explícitamente.</w:t>
      </w:r>
    </w:p>
    <w:p>
      <w:pPr>
        <w:pStyle w:val="Heading2"/>
      </w:pPr>
      <w:r>
        <w:t>4. Hoja de ruta sugerida (esfuerzo vs impacto)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435"/>
        <w:gridCol w:w="1435"/>
        <w:gridCol w:w="1435"/>
        <w:gridCol w:w="1435"/>
        <w:gridCol w:w="1435"/>
        <w:gridCol w:w="1435"/>
      </w:tblGrid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#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Mejora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Estado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Impacto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Esfuerzo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Herramienta</w:t>
            </w:r>
          </w:p>
        </w:tc>
      </w:tr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2.3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FDR (Benjamini-Hochberg) en H1–H6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❌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Alto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Bajo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statsmodels.stats.multitest</w:t>
            </w:r>
          </w:p>
        </w:tc>
      </w:tr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2.9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Magnitudes económicas + betas estandarizados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🟡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Alto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Bajo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pandas</w:t>
            </w:r>
          </w:p>
        </w:tc>
      </w:tr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2.6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Tabla de robustez sistemática (submuestras/placebo/SE)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🟡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Alto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Medio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linearmodels/statsmodels</w:t>
            </w:r>
          </w:p>
        </w:tc>
      </w:tr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2.2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Wild cluster bootstrap (N pequeño)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🟡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Alto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Medio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wildboottest</w:t>
            </w:r>
          </w:p>
        </w:tc>
      </w:tr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2.1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Local Projections (IRF alternativa, + state-dependent)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❌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Alto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Medio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statsmodels.OLS</w:t>
            </w:r>
            <w:r>
              <w:rPr>
                <w:rFonts w:ascii="Segoe UI" w:hAnsi="Segoe UI"/>
                <w:sz w:val="20"/>
              </w:rPr>
              <w:t xml:space="preserve"> HAC</w:t>
            </w:r>
          </w:p>
        </w:tc>
      </w:tr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2.7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Cerrar H5: bounds test + ECM interpretado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🟡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Alto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Bajo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statsmodels ARDL</w:t>
            </w:r>
          </w:p>
        </w:tc>
      </w:tr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2.5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EGARCH/GJR vs GARCH(1,1) + Engle-Ng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🟡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Medio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Bajo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arch</w:t>
            </w:r>
          </w:p>
        </w:tc>
      </w:tr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2.8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CIPS + Pesaran-Yamagata + (PMG)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❌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Medio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Medio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manual/</w:t>
            </w:r>
            <w:r>
              <w:rPr>
                <w:rFonts w:ascii="Segoe UI" w:hAnsi="Segoe UI"/>
                <w:sz w:val="20"/>
              </w:rPr>
              <w:t>pmdarima</w:t>
            </w:r>
            <w:r>
              <w:rPr>
                <w:rFonts w:ascii="Segoe UI" w:hAnsi="Segoe UI"/>
                <w:sz w:val="20"/>
              </w:rPr>
              <w:t>/custom</w:t>
            </w:r>
          </w:p>
        </w:tc>
      </w:tr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2.10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Paquete de reproducibilidad (semillas, versiones, README)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🟡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Medio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Bajo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repo</w:t>
            </w:r>
          </w:p>
        </w:tc>
      </w:tr>
      <w:tr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2.4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Sorpresas macro (componente no anticipado)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🟡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Alto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Medio</w:t>
            </w:r>
          </w:p>
        </w:tc>
        <w:tc>
          <w:tcPr>
            <w:tcW w:type="dxa" w:w="1435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statsmodels AR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701" w:right="1814" w:bottom="1474" w:left="181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E6E73"/>
        <w:sz w:val="18"/>
      </w:rPr>
      <w:fldChar w:fldCharType="begin"/>
      <w:instrText xml:space="preserve">PAGE</w:instrText>
      <w:fldChar w:fldCharType="separate"/>
      <w:instrText xml:space="preserve">1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200"/>
      <w:jc w:val="left"/>
    </w:pPr>
    <w:rPr>
      <w:rFonts w:ascii="Segoe UI" w:hAnsi="Segoe UI"/>
      <w:color w:val="1D1D1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64" w:lineRule="auto"/>
      <w:jc w:val="left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0071E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h.no/en/for-students/masters-thesis/assessment-criteria/" TargetMode="External"/><Relationship Id="rId11" Type="http://schemas.openxmlformats.org/officeDocument/2006/relationships/hyperlink" Target="https://www.ufs.ac.za/docs/default-source/regulations-documents/rubric-masters-dissertation-1004-eng.pdf" TargetMode="External"/><Relationship Id="rId12" Type="http://schemas.openxmlformats.org/officeDocument/2006/relationships/hyperlink" Target="https://www.utwente.nl/en/est/masterest/final-project-trajectory-started-in-2025-2026/assessment-form-and-rubric-final-project-est.pdf" TargetMode="External"/><Relationship Id="rId13" Type="http://schemas.openxmlformats.org/officeDocument/2006/relationships/hyperlink" Target="https://www.ncbi.nlm.nih.gov/pmc/articles/PMC9283916/" TargetMode="External"/><Relationship Id="rId14" Type="http://schemas.openxmlformats.org/officeDocument/2006/relationships/hyperlink" Target="https://lrlusher.weebly.com/uploads/1/0/0/4/10048967/meta_paper_i__nature_v2___4_.pdf" TargetMode="External"/><Relationship Id="rId15" Type="http://schemas.openxmlformats.org/officeDocument/2006/relationships/hyperlink" Target="https://www.aeaweb.org/articles?id=10.1257/0002828053828518" TargetMode="External"/><Relationship Id="rId16" Type="http://schemas.openxmlformats.org/officeDocument/2006/relationships/hyperlink" Target="https://arxiv.org/pdf/2503.17144" TargetMode="External"/><Relationship Id="rId17" Type="http://schemas.openxmlformats.org/officeDocument/2006/relationships/hyperlink" Target="https://www.mikkelpm.com/files/lp_var.pdf" TargetMode="External"/><Relationship Id="rId18" Type="http://schemas.openxmlformats.org/officeDocument/2006/relationships/hyperlink" Target="https://journals.sagepub.com/doi/pdf/10.1177/1536867X0700700301" TargetMode="External"/><Relationship Id="rId19" Type="http://schemas.openxmlformats.org/officeDocument/2006/relationships/hyperlink" Target="https://arxiv.org/pdf/2301.04522" TargetMode="External"/><Relationship Id="rId20" Type="http://schemas.openxmlformats.org/officeDocument/2006/relationships/hyperlink" Target="https://www.nber.org/system/files/working_papers/w34050/w34050.pdf" TargetMode="External"/><Relationship Id="rId21" Type="http://schemas.openxmlformats.org/officeDocument/2006/relationships/hyperlink" Target="http://www-stat.wharton.upenn.edu/~tcai/paper/FDR-Review.pdf" TargetMode="External"/><Relationship Id="rId22" Type="http://schemas.openxmlformats.org/officeDocument/2006/relationships/hyperlink" Target="https://arxiv.org/pdf/2212.04525" TargetMode="External"/><Relationship Id="rId23" Type="http://schemas.openxmlformats.org/officeDocument/2006/relationships/hyperlink" Target="https://actacommercii.co.za/index.php/acta/article/view/1135/2106" TargetMode="External"/><Relationship Id="rId24" Type="http://schemas.openxmlformats.org/officeDocument/2006/relationships/hyperlink" Target="https://www.hindawi.com/journals/jps/2009/802975/" TargetMode="External"/><Relationship Id="rId25" Type="http://schemas.openxmlformats.org/officeDocument/2006/relationships/hyperlink" Target="https://www.karlwhelan.com/Teaching/MA%20Econometrics/part4.pdf" TargetMode="External"/><Relationship Id="rId26" Type="http://schemas.openxmlformats.org/officeDocument/2006/relationships/hyperlink" Target="https://blog.stata.com/2016/09/06/cointegration-or-spurious-regress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