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43D622" w14:textId="77777777" w:rsidR="00BE3F39" w:rsidRDefault="00CA5D84">
      <w:pPr>
        <w:spacing w:after="40"/>
        <w:jc w:val="center"/>
      </w:pPr>
      <w:r>
        <w:rPr>
          <w:b/>
          <w:sz w:val="28"/>
        </w:rPr>
        <w:t>UNIVERSIDAD SAN SEBASTIÁN</w:t>
      </w:r>
    </w:p>
    <w:p w14:paraId="6F7AAA7E" w14:textId="77777777" w:rsidR="00BE3F39" w:rsidRDefault="00CA5D84">
      <w:pPr>
        <w:spacing w:after="880"/>
        <w:jc w:val="center"/>
      </w:pPr>
      <w:r>
        <w:t>Facultad de Ingeniería · Magíster en Data Science</w:t>
      </w:r>
    </w:p>
    <w:p w14:paraId="4FEBA34D" w14:textId="77777777" w:rsidR="00BE3F39" w:rsidRDefault="00CA5D84">
      <w:pPr>
        <w:spacing w:after="800"/>
        <w:jc w:val="center"/>
      </w:pPr>
      <w:r>
        <w:rPr>
          <w:b/>
          <w:sz w:val="34"/>
        </w:rPr>
        <w:t xml:space="preserve">Impacto de las variables macroeconómicas en los retornos accionarios de las empresas de cobre con exposición a Chile: una comparación entre el mercado bursátil </w:t>
      </w:r>
      <w:r>
        <w:rPr>
          <w:b/>
          <w:sz w:val="34"/>
        </w:rPr>
        <w:t>internacional y el chileno, 2004–2024</w:t>
      </w:r>
    </w:p>
    <w:p w14:paraId="1DE4A0CF" w14:textId="77777777" w:rsidR="00BE3F39" w:rsidRDefault="00CA5D84">
      <w:pPr>
        <w:spacing w:after="880"/>
        <w:jc w:val="center"/>
      </w:pPr>
      <w:r>
        <w:rPr>
          <w:i/>
        </w:rPr>
        <w:t>Tesis para optar al grado de Magíster en Data Science</w:t>
      </w:r>
    </w:p>
    <w:p w14:paraId="66F9E4E3" w14:textId="77777777" w:rsidR="00BE3F39" w:rsidRDefault="00CA5D84">
      <w:pPr>
        <w:spacing w:after="40"/>
        <w:jc w:val="center"/>
      </w:pPr>
      <w:r>
        <w:t>Autor: Francisco Rietta</w:t>
      </w:r>
    </w:p>
    <w:p w14:paraId="1BCEC171" w14:textId="77777777" w:rsidR="00BE3F39" w:rsidRDefault="00CA5D84">
      <w:pPr>
        <w:spacing w:after="880"/>
        <w:jc w:val="center"/>
      </w:pPr>
      <w:r>
        <w:t>Profesor guía: [Nombre del profesor]</w:t>
      </w:r>
    </w:p>
    <w:p w14:paraId="65DFD1E2" w14:textId="77777777" w:rsidR="00BE3F39" w:rsidRDefault="00CA5D84">
      <w:pPr>
        <w:jc w:val="center"/>
      </w:pPr>
      <w:r>
        <w:t>Santiago, Chile — 2026</w:t>
      </w:r>
    </w:p>
    <w:p w14:paraId="5683B007" w14:textId="77777777" w:rsidR="00BE3F39" w:rsidRDefault="00CA5D84">
      <w:r>
        <w:br w:type="page"/>
      </w:r>
    </w:p>
    <w:p w14:paraId="1504F016" w14:textId="77777777" w:rsidR="00BE3F39" w:rsidRDefault="00CA5D84">
      <w:pPr>
        <w:pStyle w:val="Ttulo1"/>
      </w:pPr>
      <w:bookmarkStart w:id="0" w:name="_Toc231082761"/>
      <w:r>
        <w:lastRenderedPageBreak/>
        <w:t>Página de aprobación</w:t>
      </w:r>
      <w:bookmarkEnd w:id="0"/>
    </w:p>
    <w:p w14:paraId="797B32E9" w14:textId="77777777" w:rsidR="00BE3F39" w:rsidRDefault="00CA5D84">
      <w:r>
        <w:t>La presente tesis, titulada «Impacto de las variables macroeconómicas en los retornos accionarios de las empresas de cobre con exposición a Chile: una comparación entre el mercado bursátil internacional y el chileno, 2004–2024», ha sido revisada y aprobada por la comisión examinadora abajo firmante, como requisito para optar al grado de Magíster en Data Science de la Universidad San Sebastián.</w:t>
      </w:r>
    </w:p>
    <w:p w14:paraId="065D1A52" w14:textId="77777777" w:rsidR="00BE3F39" w:rsidRDefault="00BE3F39"/>
    <w:p w14:paraId="3CC77110" w14:textId="77777777" w:rsidR="00BE3F39" w:rsidRDefault="00CA5D84">
      <w:pPr>
        <w:jc w:val="center"/>
      </w:pPr>
      <w:r>
        <w:t>_______________________________</w:t>
      </w:r>
    </w:p>
    <w:p w14:paraId="4A495245" w14:textId="77777777" w:rsidR="00BE3F39" w:rsidRDefault="00CA5D84">
      <w:pPr>
        <w:jc w:val="center"/>
      </w:pPr>
      <w:r>
        <w:t>Profesor guía</w:t>
      </w:r>
    </w:p>
    <w:p w14:paraId="79E60AA3" w14:textId="77777777" w:rsidR="00BE3F39" w:rsidRDefault="00BE3F39"/>
    <w:p w14:paraId="09330CCC" w14:textId="77777777" w:rsidR="00BE3F39" w:rsidRDefault="00CA5D84">
      <w:pPr>
        <w:jc w:val="center"/>
      </w:pPr>
      <w:r>
        <w:t>_______________________________</w:t>
      </w:r>
    </w:p>
    <w:p w14:paraId="067EB213" w14:textId="77777777" w:rsidR="00BE3F39" w:rsidRDefault="00CA5D84">
      <w:pPr>
        <w:jc w:val="center"/>
      </w:pPr>
      <w:r>
        <w:t>Profesor informante</w:t>
      </w:r>
    </w:p>
    <w:p w14:paraId="45822CB6" w14:textId="77777777" w:rsidR="00BE3F39" w:rsidRDefault="00BE3F39"/>
    <w:p w14:paraId="2DFA2998" w14:textId="77777777" w:rsidR="00BE3F39" w:rsidRDefault="00CA5D84">
      <w:pPr>
        <w:jc w:val="center"/>
      </w:pPr>
      <w:r>
        <w:t>_______________________________</w:t>
      </w:r>
    </w:p>
    <w:p w14:paraId="711A8023" w14:textId="77777777" w:rsidR="00BE3F39" w:rsidRDefault="00CA5D84">
      <w:pPr>
        <w:jc w:val="center"/>
      </w:pPr>
      <w:r>
        <w:t>Director(a) de programa</w:t>
      </w:r>
    </w:p>
    <w:p w14:paraId="20B2A957" w14:textId="77777777" w:rsidR="00BE3F39" w:rsidRDefault="00BE3F39"/>
    <w:p w14:paraId="0117345E" w14:textId="77777777" w:rsidR="00BE3F39" w:rsidRDefault="00CA5D84">
      <w:pPr>
        <w:jc w:val="center"/>
      </w:pPr>
      <w:r>
        <w:t>Calificación: __________     Fecha: ____ / ____ / ______</w:t>
      </w:r>
    </w:p>
    <w:p w14:paraId="7240B1BE" w14:textId="77777777" w:rsidR="00BE3F39" w:rsidRDefault="00CA5D84">
      <w:r>
        <w:br w:type="page"/>
      </w:r>
    </w:p>
    <w:p w14:paraId="36EFBDB0" w14:textId="77777777" w:rsidR="00BE3F39" w:rsidRDefault="00CA5D84">
      <w:pPr>
        <w:pStyle w:val="Ttulo1"/>
      </w:pPr>
      <w:bookmarkStart w:id="1" w:name="_Toc231082762"/>
      <w:r>
        <w:lastRenderedPageBreak/>
        <w:t>Declaración de originalidad</w:t>
      </w:r>
      <w:bookmarkEnd w:id="1"/>
    </w:p>
    <w:p w14:paraId="264CCB1A" w14:textId="77777777" w:rsidR="00BE3F39" w:rsidRDefault="00CA5D84">
      <w:r>
        <w:t>Declaro que esta tesis es de mi autoría y que constituye un trabajo original. Toda fuente, idea o resultado de terceros utilizado en su elaboración ha sido debidamente citado y referenciado conforme a las normas académicas vigentes. Declaro asimismo que este documento no ha sido presentado previamente para la obtención de otro grado o título.</w:t>
      </w:r>
    </w:p>
    <w:p w14:paraId="6B1866D4" w14:textId="77777777" w:rsidR="00BE3F39" w:rsidRDefault="00BE3F39"/>
    <w:p w14:paraId="222DD0AC" w14:textId="77777777" w:rsidR="00BE3F39" w:rsidRDefault="00BE3F39"/>
    <w:p w14:paraId="52AB217D" w14:textId="77777777" w:rsidR="00BE3F39" w:rsidRDefault="00CA5D84">
      <w:pPr>
        <w:jc w:val="right"/>
      </w:pPr>
      <w:r>
        <w:t>_______________________________</w:t>
      </w:r>
    </w:p>
    <w:p w14:paraId="0A308B6F" w14:textId="77777777" w:rsidR="00BE3F39" w:rsidRDefault="00CA5D84">
      <w:pPr>
        <w:jc w:val="right"/>
      </w:pPr>
      <w:r>
        <w:t>Francisco Rietta</w:t>
      </w:r>
    </w:p>
    <w:p w14:paraId="0361DEB2" w14:textId="77777777" w:rsidR="00BE3F39" w:rsidRDefault="00CA5D84">
      <w:r>
        <w:br w:type="page"/>
      </w:r>
    </w:p>
    <w:p w14:paraId="5CA8FD12" w14:textId="77777777" w:rsidR="00BE3F39" w:rsidRDefault="00CA5D84">
      <w:pPr>
        <w:pStyle w:val="Ttulo1"/>
      </w:pPr>
      <w:bookmarkStart w:id="2" w:name="_Toc231082763"/>
      <w:r>
        <w:lastRenderedPageBreak/>
        <w:t>Dedicatoria</w:t>
      </w:r>
      <w:bookmarkEnd w:id="2"/>
    </w:p>
    <w:p w14:paraId="5A019466" w14:textId="77777777" w:rsidR="00BE3F39" w:rsidRDefault="00BE3F39"/>
    <w:p w14:paraId="09A6E65F" w14:textId="77777777" w:rsidR="00BE3F39" w:rsidRDefault="00BE3F39"/>
    <w:p w14:paraId="62E091C4" w14:textId="77777777" w:rsidR="00BE3F39" w:rsidRDefault="00BE3F39"/>
    <w:p w14:paraId="5C450270" w14:textId="77777777" w:rsidR="00BE3F39" w:rsidRDefault="00CA5D84">
      <w:pPr>
        <w:jc w:val="right"/>
      </w:pPr>
      <w:r>
        <w:rPr>
          <w:i/>
        </w:rPr>
        <w:t xml:space="preserve">[Espacio para la </w:t>
      </w:r>
      <w:r>
        <w:rPr>
          <w:i/>
        </w:rPr>
        <w:t>dedicatoria.]</w:t>
      </w:r>
    </w:p>
    <w:p w14:paraId="5E7B74A7" w14:textId="77777777" w:rsidR="00BE3F39" w:rsidRDefault="00CA5D84">
      <w:r>
        <w:br w:type="page"/>
      </w:r>
    </w:p>
    <w:p w14:paraId="41370F12" w14:textId="77777777" w:rsidR="00BE3F39" w:rsidRDefault="00CA5D84">
      <w:pPr>
        <w:pStyle w:val="Ttulo1"/>
      </w:pPr>
      <w:bookmarkStart w:id="3" w:name="_Toc231082764"/>
      <w:r>
        <w:lastRenderedPageBreak/>
        <w:t>Agradecimientos</w:t>
      </w:r>
      <w:bookmarkEnd w:id="3"/>
    </w:p>
    <w:p w14:paraId="784A0EA9" w14:textId="77777777" w:rsidR="00BE3F39" w:rsidRDefault="00BE3F39"/>
    <w:p w14:paraId="4C216387" w14:textId="77777777" w:rsidR="00BE3F39" w:rsidRDefault="00BE3F39"/>
    <w:p w14:paraId="37F40EE1" w14:textId="77777777" w:rsidR="00BE3F39" w:rsidRDefault="00BE3F39"/>
    <w:p w14:paraId="28EBA99A" w14:textId="77777777" w:rsidR="00BE3F39" w:rsidRDefault="00CA5D84">
      <w:r>
        <w:t>[Espacio para los agradecimientos.]</w:t>
      </w:r>
    </w:p>
    <w:p w14:paraId="73D646F1" w14:textId="77777777" w:rsidR="00BE3F39" w:rsidRDefault="00CA5D84">
      <w:r>
        <w:br w:type="page"/>
      </w:r>
    </w:p>
    <w:p w14:paraId="7E6C8F1F" w14:textId="77777777" w:rsidR="00BE3F39" w:rsidRDefault="00CA5D84">
      <w:pPr>
        <w:pStyle w:val="Ttulo1"/>
      </w:pPr>
      <w:bookmarkStart w:id="4" w:name="_Toc231082765"/>
      <w:r>
        <w:lastRenderedPageBreak/>
        <w:t>Resumen</w:t>
      </w:r>
      <w:bookmarkEnd w:id="4"/>
    </w:p>
    <w:p w14:paraId="25BB96F8" w14:textId="77777777" w:rsidR="00BE3F39" w:rsidRDefault="00CA5D84">
      <w:r>
        <w:t>Esta investigación cuantifica y compara el impacto de las variables macroeconómicas globales y nacionales sobre los retornos accionarios de las empresas de cobre con exposición a Chile durante 2004–2024, contrastando su transmisión entre el mercado bursátil internacional y el chileno. Mediante un diseño de triangulación por tres muestras y un conjunto de modelos econométricos de series de tiempo y datos de panel —pruebas de raíz unitaria, panel de efectos fijos con errores Driscoll-Kraay, cointegración (ARD</w:t>
      </w:r>
      <w:r>
        <w:t>L/Johansen) y vectores autorregresivos con descomposición de varianza—, se evalúa la sensibilidad de los retornos a los factores macro-financieros, su estabilidad a lo largo de las fases del ciclo del cobre y la transmisión diferenciada entre mercados. La evidencia preliminar respalda al precio del cobre como principal determinante de los retornos y la dominancia de los factores globales sobre los locales.</w:t>
      </w:r>
    </w:p>
    <w:p w14:paraId="289B6191" w14:textId="77777777" w:rsidR="00BE3F39" w:rsidRDefault="00CA5D84">
      <w:r>
        <w:rPr>
          <w:b/>
        </w:rPr>
        <w:t>Palabras clave:</w:t>
      </w:r>
      <w:r>
        <w:t xml:space="preserve"> cobre, retornos accionarios, variables macroeconómicas, Chile, datos de panel, cointegración, segmentación de mercados.</w:t>
      </w:r>
    </w:p>
    <w:p w14:paraId="6BFAB75D" w14:textId="77777777" w:rsidR="00BE3F39" w:rsidRDefault="00CA5D84">
      <w:r>
        <w:br w:type="page"/>
      </w:r>
    </w:p>
    <w:p w14:paraId="0C5953C3" w14:textId="77777777" w:rsidR="00BE3F39" w:rsidRDefault="00CA5D84">
      <w:pPr>
        <w:pStyle w:val="Ttulo1"/>
      </w:pPr>
      <w:bookmarkStart w:id="5" w:name="_Toc231082766"/>
      <w:r>
        <w:lastRenderedPageBreak/>
        <w:t>Abstract</w:t>
      </w:r>
      <w:bookmarkEnd w:id="5"/>
    </w:p>
    <w:p w14:paraId="59EF25BF" w14:textId="77777777" w:rsidR="00BE3F39" w:rsidRDefault="00CA5D84">
      <w:r>
        <w:t>This thesis quantifies and compares the impact of global and national macroeconomic variables on the stock returns of copper firms with exposure to Chile over 2004–2024, contrasting how the shock is transmitted across the international and the Chilean equity markets. Using a triangulation design across three samples and a battery of time-series and panel-data models —unit-root tests, fixed-effects panels with Driscoll-Kraay standard errors, cointegration (ARDL/Johansen) and vector autoregressions with varia</w:t>
      </w:r>
      <w:r>
        <w:t>nce decomposition—, the study assesses the sensitivity of returns to macro-financial factors, its stability across copper-cycle phases, and its differential transmission across markets. Preliminary evidence supports the copper price as the main driver of returns and the dominance of global over local factors.</w:t>
      </w:r>
    </w:p>
    <w:p w14:paraId="4687FC49" w14:textId="77777777" w:rsidR="00BE3F39" w:rsidRDefault="00CA5D84">
      <w:r>
        <w:rPr>
          <w:b/>
        </w:rPr>
        <w:t xml:space="preserve">Keywords: </w:t>
      </w:r>
      <w:r>
        <w:t>copper, stock returns, macroeconomic variables, Chile, panel data, cointegration, market segmentation.</w:t>
      </w:r>
    </w:p>
    <w:p w14:paraId="69E64593" w14:textId="77777777" w:rsidR="00BE3F39" w:rsidRDefault="00CA5D84">
      <w:r>
        <w:br w:type="page"/>
      </w:r>
    </w:p>
    <w:p w14:paraId="4207F610" w14:textId="77777777" w:rsidR="00BE3F39" w:rsidRDefault="00CA5D84">
      <w:pPr>
        <w:pStyle w:val="Ttulo1"/>
      </w:pPr>
      <w:bookmarkStart w:id="6" w:name="_Toc231082767"/>
      <w:r>
        <w:lastRenderedPageBreak/>
        <w:t>Índice general</w:t>
      </w:r>
      <w:bookmarkEnd w:id="6"/>
    </w:p>
    <w:p w14:paraId="67B946A9" w14:textId="7F2F8857" w:rsidR="00CA5D84" w:rsidRDefault="00CA5D84">
      <w:pPr>
        <w:pStyle w:val="TDC1"/>
        <w:tabs>
          <w:tab w:val="right" w:leader="dot" w:pos="8832"/>
        </w:tabs>
        <w:rPr>
          <w:rFonts w:asciiTheme="minorHAnsi" w:hAnsiTheme="minorHAnsi"/>
          <w:noProof/>
          <w:kern w:val="2"/>
          <w:szCs w:val="24"/>
          <w:lang w:val="es-CL" w:eastAsia="es-CL"/>
          <w14:ligatures w14:val="standardContextual"/>
        </w:rPr>
      </w:pPr>
      <w:r>
        <w:fldChar w:fldCharType="begin"/>
      </w:r>
      <w:r>
        <w:instrText>TOC \o "1-3" \h \z \u</w:instrText>
      </w:r>
      <w:r>
        <w:fldChar w:fldCharType="separate"/>
      </w:r>
      <w:hyperlink w:anchor="_Toc231082761" w:history="1">
        <w:r w:rsidRPr="0011223F">
          <w:rPr>
            <w:rStyle w:val="Hipervnculo"/>
            <w:noProof/>
          </w:rPr>
          <w:t>Página de aprobación</w:t>
        </w:r>
        <w:r>
          <w:rPr>
            <w:noProof/>
            <w:webHidden/>
          </w:rPr>
          <w:tab/>
        </w:r>
        <w:r>
          <w:rPr>
            <w:noProof/>
            <w:webHidden/>
          </w:rPr>
          <w:fldChar w:fldCharType="begin"/>
        </w:r>
        <w:r>
          <w:rPr>
            <w:noProof/>
            <w:webHidden/>
          </w:rPr>
          <w:instrText xml:space="preserve"> PAGEREF _Toc231082761 \h </w:instrText>
        </w:r>
        <w:r>
          <w:rPr>
            <w:noProof/>
            <w:webHidden/>
          </w:rPr>
        </w:r>
        <w:r>
          <w:rPr>
            <w:noProof/>
            <w:webHidden/>
          </w:rPr>
          <w:fldChar w:fldCharType="separate"/>
        </w:r>
        <w:r>
          <w:rPr>
            <w:noProof/>
            <w:webHidden/>
          </w:rPr>
          <w:t>ii</w:t>
        </w:r>
        <w:r>
          <w:rPr>
            <w:noProof/>
            <w:webHidden/>
          </w:rPr>
          <w:fldChar w:fldCharType="end"/>
        </w:r>
      </w:hyperlink>
    </w:p>
    <w:p w14:paraId="49D8B801" w14:textId="4980372E" w:rsidR="00CA5D84" w:rsidRDefault="00CA5D84">
      <w:pPr>
        <w:pStyle w:val="TDC1"/>
        <w:tabs>
          <w:tab w:val="right" w:leader="dot" w:pos="8832"/>
        </w:tabs>
        <w:rPr>
          <w:rFonts w:asciiTheme="minorHAnsi" w:hAnsiTheme="minorHAnsi"/>
          <w:noProof/>
          <w:kern w:val="2"/>
          <w:szCs w:val="24"/>
          <w:lang w:val="es-CL" w:eastAsia="es-CL"/>
          <w14:ligatures w14:val="standardContextual"/>
        </w:rPr>
      </w:pPr>
      <w:hyperlink w:anchor="_Toc231082762" w:history="1">
        <w:r w:rsidRPr="0011223F">
          <w:rPr>
            <w:rStyle w:val="Hipervnculo"/>
            <w:noProof/>
          </w:rPr>
          <w:t>Declaración de originalidad</w:t>
        </w:r>
        <w:r>
          <w:rPr>
            <w:noProof/>
            <w:webHidden/>
          </w:rPr>
          <w:tab/>
        </w:r>
        <w:r>
          <w:rPr>
            <w:noProof/>
            <w:webHidden/>
          </w:rPr>
          <w:fldChar w:fldCharType="begin"/>
        </w:r>
        <w:r>
          <w:rPr>
            <w:noProof/>
            <w:webHidden/>
          </w:rPr>
          <w:instrText xml:space="preserve"> PAGEREF _Toc231082762 \h </w:instrText>
        </w:r>
        <w:r>
          <w:rPr>
            <w:noProof/>
            <w:webHidden/>
          </w:rPr>
        </w:r>
        <w:r>
          <w:rPr>
            <w:noProof/>
            <w:webHidden/>
          </w:rPr>
          <w:fldChar w:fldCharType="separate"/>
        </w:r>
        <w:r>
          <w:rPr>
            <w:noProof/>
            <w:webHidden/>
          </w:rPr>
          <w:t>iii</w:t>
        </w:r>
        <w:r>
          <w:rPr>
            <w:noProof/>
            <w:webHidden/>
          </w:rPr>
          <w:fldChar w:fldCharType="end"/>
        </w:r>
      </w:hyperlink>
    </w:p>
    <w:p w14:paraId="1A17ECCF" w14:textId="73B18416" w:rsidR="00CA5D84" w:rsidRDefault="00CA5D84">
      <w:pPr>
        <w:pStyle w:val="TDC1"/>
        <w:tabs>
          <w:tab w:val="right" w:leader="dot" w:pos="8832"/>
        </w:tabs>
        <w:rPr>
          <w:rFonts w:asciiTheme="minorHAnsi" w:hAnsiTheme="minorHAnsi"/>
          <w:noProof/>
          <w:kern w:val="2"/>
          <w:szCs w:val="24"/>
          <w:lang w:val="es-CL" w:eastAsia="es-CL"/>
          <w14:ligatures w14:val="standardContextual"/>
        </w:rPr>
      </w:pPr>
      <w:hyperlink w:anchor="_Toc231082763" w:history="1">
        <w:r w:rsidRPr="0011223F">
          <w:rPr>
            <w:rStyle w:val="Hipervnculo"/>
            <w:noProof/>
          </w:rPr>
          <w:t>Dedicatoria</w:t>
        </w:r>
        <w:r>
          <w:rPr>
            <w:noProof/>
            <w:webHidden/>
          </w:rPr>
          <w:tab/>
        </w:r>
        <w:r>
          <w:rPr>
            <w:noProof/>
            <w:webHidden/>
          </w:rPr>
          <w:fldChar w:fldCharType="begin"/>
        </w:r>
        <w:r>
          <w:rPr>
            <w:noProof/>
            <w:webHidden/>
          </w:rPr>
          <w:instrText xml:space="preserve"> PAGEREF _Toc231082763 \h </w:instrText>
        </w:r>
        <w:r>
          <w:rPr>
            <w:noProof/>
            <w:webHidden/>
          </w:rPr>
        </w:r>
        <w:r>
          <w:rPr>
            <w:noProof/>
            <w:webHidden/>
          </w:rPr>
          <w:fldChar w:fldCharType="separate"/>
        </w:r>
        <w:r>
          <w:rPr>
            <w:noProof/>
            <w:webHidden/>
          </w:rPr>
          <w:t>iv</w:t>
        </w:r>
        <w:r>
          <w:rPr>
            <w:noProof/>
            <w:webHidden/>
          </w:rPr>
          <w:fldChar w:fldCharType="end"/>
        </w:r>
      </w:hyperlink>
    </w:p>
    <w:p w14:paraId="22E49100" w14:textId="6C8819A5" w:rsidR="00CA5D84" w:rsidRDefault="00CA5D84">
      <w:pPr>
        <w:pStyle w:val="TDC1"/>
        <w:tabs>
          <w:tab w:val="right" w:leader="dot" w:pos="8832"/>
        </w:tabs>
        <w:rPr>
          <w:rFonts w:asciiTheme="minorHAnsi" w:hAnsiTheme="minorHAnsi"/>
          <w:noProof/>
          <w:kern w:val="2"/>
          <w:szCs w:val="24"/>
          <w:lang w:val="es-CL" w:eastAsia="es-CL"/>
          <w14:ligatures w14:val="standardContextual"/>
        </w:rPr>
      </w:pPr>
      <w:hyperlink w:anchor="_Toc231082764" w:history="1">
        <w:r w:rsidRPr="0011223F">
          <w:rPr>
            <w:rStyle w:val="Hipervnculo"/>
            <w:noProof/>
          </w:rPr>
          <w:t>Agradecimientos</w:t>
        </w:r>
        <w:r>
          <w:rPr>
            <w:noProof/>
            <w:webHidden/>
          </w:rPr>
          <w:tab/>
        </w:r>
        <w:r>
          <w:rPr>
            <w:noProof/>
            <w:webHidden/>
          </w:rPr>
          <w:fldChar w:fldCharType="begin"/>
        </w:r>
        <w:r>
          <w:rPr>
            <w:noProof/>
            <w:webHidden/>
          </w:rPr>
          <w:instrText xml:space="preserve"> PAGEREF _Toc231082764 \h </w:instrText>
        </w:r>
        <w:r>
          <w:rPr>
            <w:noProof/>
            <w:webHidden/>
          </w:rPr>
        </w:r>
        <w:r>
          <w:rPr>
            <w:noProof/>
            <w:webHidden/>
          </w:rPr>
          <w:fldChar w:fldCharType="separate"/>
        </w:r>
        <w:r>
          <w:rPr>
            <w:noProof/>
            <w:webHidden/>
          </w:rPr>
          <w:t>v</w:t>
        </w:r>
        <w:r>
          <w:rPr>
            <w:noProof/>
            <w:webHidden/>
          </w:rPr>
          <w:fldChar w:fldCharType="end"/>
        </w:r>
      </w:hyperlink>
    </w:p>
    <w:p w14:paraId="359B71A3" w14:textId="4EE61DB2" w:rsidR="00CA5D84" w:rsidRDefault="00CA5D84">
      <w:pPr>
        <w:pStyle w:val="TDC1"/>
        <w:tabs>
          <w:tab w:val="right" w:leader="dot" w:pos="8832"/>
        </w:tabs>
        <w:rPr>
          <w:rFonts w:asciiTheme="minorHAnsi" w:hAnsiTheme="minorHAnsi"/>
          <w:noProof/>
          <w:kern w:val="2"/>
          <w:szCs w:val="24"/>
          <w:lang w:val="es-CL" w:eastAsia="es-CL"/>
          <w14:ligatures w14:val="standardContextual"/>
        </w:rPr>
      </w:pPr>
      <w:hyperlink w:anchor="_Toc231082765" w:history="1">
        <w:r w:rsidRPr="0011223F">
          <w:rPr>
            <w:rStyle w:val="Hipervnculo"/>
            <w:noProof/>
          </w:rPr>
          <w:t>Resumen</w:t>
        </w:r>
        <w:r>
          <w:rPr>
            <w:noProof/>
            <w:webHidden/>
          </w:rPr>
          <w:tab/>
        </w:r>
        <w:r>
          <w:rPr>
            <w:noProof/>
            <w:webHidden/>
          </w:rPr>
          <w:fldChar w:fldCharType="begin"/>
        </w:r>
        <w:r>
          <w:rPr>
            <w:noProof/>
            <w:webHidden/>
          </w:rPr>
          <w:instrText xml:space="preserve"> PAGEREF _Toc231082765 \h </w:instrText>
        </w:r>
        <w:r>
          <w:rPr>
            <w:noProof/>
            <w:webHidden/>
          </w:rPr>
        </w:r>
        <w:r>
          <w:rPr>
            <w:noProof/>
            <w:webHidden/>
          </w:rPr>
          <w:fldChar w:fldCharType="separate"/>
        </w:r>
        <w:r>
          <w:rPr>
            <w:noProof/>
            <w:webHidden/>
          </w:rPr>
          <w:t>vi</w:t>
        </w:r>
        <w:r>
          <w:rPr>
            <w:noProof/>
            <w:webHidden/>
          </w:rPr>
          <w:fldChar w:fldCharType="end"/>
        </w:r>
      </w:hyperlink>
    </w:p>
    <w:p w14:paraId="27633C61" w14:textId="45D28D63" w:rsidR="00CA5D84" w:rsidRDefault="00CA5D84">
      <w:pPr>
        <w:pStyle w:val="TDC1"/>
        <w:tabs>
          <w:tab w:val="right" w:leader="dot" w:pos="8832"/>
        </w:tabs>
        <w:rPr>
          <w:rFonts w:asciiTheme="minorHAnsi" w:hAnsiTheme="minorHAnsi"/>
          <w:noProof/>
          <w:kern w:val="2"/>
          <w:szCs w:val="24"/>
          <w:lang w:val="es-CL" w:eastAsia="es-CL"/>
          <w14:ligatures w14:val="standardContextual"/>
        </w:rPr>
      </w:pPr>
      <w:hyperlink w:anchor="_Toc231082766" w:history="1">
        <w:r w:rsidRPr="0011223F">
          <w:rPr>
            <w:rStyle w:val="Hipervnculo"/>
            <w:noProof/>
          </w:rPr>
          <w:t>Abstract</w:t>
        </w:r>
        <w:r>
          <w:rPr>
            <w:noProof/>
            <w:webHidden/>
          </w:rPr>
          <w:tab/>
        </w:r>
        <w:r>
          <w:rPr>
            <w:noProof/>
            <w:webHidden/>
          </w:rPr>
          <w:fldChar w:fldCharType="begin"/>
        </w:r>
        <w:r>
          <w:rPr>
            <w:noProof/>
            <w:webHidden/>
          </w:rPr>
          <w:instrText xml:space="preserve"> PAGEREF _Toc231082766 \h </w:instrText>
        </w:r>
        <w:r>
          <w:rPr>
            <w:noProof/>
            <w:webHidden/>
          </w:rPr>
        </w:r>
        <w:r>
          <w:rPr>
            <w:noProof/>
            <w:webHidden/>
          </w:rPr>
          <w:fldChar w:fldCharType="separate"/>
        </w:r>
        <w:r>
          <w:rPr>
            <w:noProof/>
            <w:webHidden/>
          </w:rPr>
          <w:t>vii</w:t>
        </w:r>
        <w:r>
          <w:rPr>
            <w:noProof/>
            <w:webHidden/>
          </w:rPr>
          <w:fldChar w:fldCharType="end"/>
        </w:r>
      </w:hyperlink>
    </w:p>
    <w:p w14:paraId="251017A0" w14:textId="2D56B3A8" w:rsidR="00CA5D84" w:rsidRDefault="00CA5D84">
      <w:pPr>
        <w:pStyle w:val="TDC1"/>
        <w:tabs>
          <w:tab w:val="right" w:leader="dot" w:pos="8832"/>
        </w:tabs>
        <w:rPr>
          <w:rFonts w:asciiTheme="minorHAnsi" w:hAnsiTheme="minorHAnsi"/>
          <w:noProof/>
          <w:kern w:val="2"/>
          <w:szCs w:val="24"/>
          <w:lang w:val="es-CL" w:eastAsia="es-CL"/>
          <w14:ligatures w14:val="standardContextual"/>
        </w:rPr>
      </w:pPr>
      <w:hyperlink w:anchor="_Toc231082767" w:history="1">
        <w:r w:rsidRPr="0011223F">
          <w:rPr>
            <w:rStyle w:val="Hipervnculo"/>
            <w:noProof/>
          </w:rPr>
          <w:t>Índice general</w:t>
        </w:r>
        <w:r>
          <w:rPr>
            <w:noProof/>
            <w:webHidden/>
          </w:rPr>
          <w:tab/>
        </w:r>
        <w:r>
          <w:rPr>
            <w:noProof/>
            <w:webHidden/>
          </w:rPr>
          <w:fldChar w:fldCharType="begin"/>
        </w:r>
        <w:r>
          <w:rPr>
            <w:noProof/>
            <w:webHidden/>
          </w:rPr>
          <w:instrText xml:space="preserve"> PAGEREF _Toc231082767 \h </w:instrText>
        </w:r>
        <w:r>
          <w:rPr>
            <w:noProof/>
            <w:webHidden/>
          </w:rPr>
        </w:r>
        <w:r>
          <w:rPr>
            <w:noProof/>
            <w:webHidden/>
          </w:rPr>
          <w:fldChar w:fldCharType="separate"/>
        </w:r>
        <w:r>
          <w:rPr>
            <w:noProof/>
            <w:webHidden/>
          </w:rPr>
          <w:t>viii</w:t>
        </w:r>
        <w:r>
          <w:rPr>
            <w:noProof/>
            <w:webHidden/>
          </w:rPr>
          <w:fldChar w:fldCharType="end"/>
        </w:r>
      </w:hyperlink>
    </w:p>
    <w:p w14:paraId="75672C6A" w14:textId="78C2EA4A" w:rsidR="00CA5D84" w:rsidRDefault="00CA5D84">
      <w:pPr>
        <w:pStyle w:val="TDC1"/>
        <w:tabs>
          <w:tab w:val="right" w:leader="dot" w:pos="8832"/>
        </w:tabs>
        <w:rPr>
          <w:rFonts w:asciiTheme="minorHAnsi" w:hAnsiTheme="minorHAnsi"/>
          <w:noProof/>
          <w:kern w:val="2"/>
          <w:szCs w:val="24"/>
          <w:lang w:val="es-CL" w:eastAsia="es-CL"/>
          <w14:ligatures w14:val="standardContextual"/>
        </w:rPr>
      </w:pPr>
      <w:hyperlink w:anchor="_Toc231082768" w:history="1">
        <w:r w:rsidRPr="0011223F">
          <w:rPr>
            <w:rStyle w:val="Hipervnculo"/>
            <w:noProof/>
          </w:rPr>
          <w:t>Índice de tablas</w:t>
        </w:r>
        <w:r>
          <w:rPr>
            <w:noProof/>
            <w:webHidden/>
          </w:rPr>
          <w:tab/>
        </w:r>
        <w:r>
          <w:rPr>
            <w:noProof/>
            <w:webHidden/>
          </w:rPr>
          <w:fldChar w:fldCharType="begin"/>
        </w:r>
        <w:r>
          <w:rPr>
            <w:noProof/>
            <w:webHidden/>
          </w:rPr>
          <w:instrText xml:space="preserve"> PAGEREF _Toc231082768 \h </w:instrText>
        </w:r>
        <w:r>
          <w:rPr>
            <w:noProof/>
            <w:webHidden/>
          </w:rPr>
        </w:r>
        <w:r>
          <w:rPr>
            <w:noProof/>
            <w:webHidden/>
          </w:rPr>
          <w:fldChar w:fldCharType="separate"/>
        </w:r>
        <w:r>
          <w:rPr>
            <w:noProof/>
            <w:webHidden/>
          </w:rPr>
          <w:t>xi</w:t>
        </w:r>
        <w:r>
          <w:rPr>
            <w:noProof/>
            <w:webHidden/>
          </w:rPr>
          <w:fldChar w:fldCharType="end"/>
        </w:r>
      </w:hyperlink>
    </w:p>
    <w:p w14:paraId="121FCFCD" w14:textId="0D73CE6D" w:rsidR="00CA5D84" w:rsidRDefault="00CA5D84">
      <w:pPr>
        <w:pStyle w:val="TDC1"/>
        <w:tabs>
          <w:tab w:val="right" w:leader="dot" w:pos="8832"/>
        </w:tabs>
        <w:rPr>
          <w:rFonts w:asciiTheme="minorHAnsi" w:hAnsiTheme="minorHAnsi"/>
          <w:noProof/>
          <w:kern w:val="2"/>
          <w:szCs w:val="24"/>
          <w:lang w:val="es-CL" w:eastAsia="es-CL"/>
          <w14:ligatures w14:val="standardContextual"/>
        </w:rPr>
      </w:pPr>
      <w:hyperlink w:anchor="_Toc231082769" w:history="1">
        <w:r w:rsidRPr="0011223F">
          <w:rPr>
            <w:rStyle w:val="Hipervnculo"/>
            <w:noProof/>
          </w:rPr>
          <w:t>Índice de figuras</w:t>
        </w:r>
        <w:r>
          <w:rPr>
            <w:noProof/>
            <w:webHidden/>
          </w:rPr>
          <w:tab/>
        </w:r>
        <w:r>
          <w:rPr>
            <w:noProof/>
            <w:webHidden/>
          </w:rPr>
          <w:fldChar w:fldCharType="begin"/>
        </w:r>
        <w:r>
          <w:rPr>
            <w:noProof/>
            <w:webHidden/>
          </w:rPr>
          <w:instrText xml:space="preserve"> PAGEREF _Toc231082769 \h </w:instrText>
        </w:r>
        <w:r>
          <w:rPr>
            <w:noProof/>
            <w:webHidden/>
          </w:rPr>
        </w:r>
        <w:r>
          <w:rPr>
            <w:noProof/>
            <w:webHidden/>
          </w:rPr>
          <w:fldChar w:fldCharType="separate"/>
        </w:r>
        <w:r>
          <w:rPr>
            <w:noProof/>
            <w:webHidden/>
          </w:rPr>
          <w:t>xii</w:t>
        </w:r>
        <w:r>
          <w:rPr>
            <w:noProof/>
            <w:webHidden/>
          </w:rPr>
          <w:fldChar w:fldCharType="end"/>
        </w:r>
      </w:hyperlink>
    </w:p>
    <w:p w14:paraId="6973B786" w14:textId="49291484" w:rsidR="00CA5D84" w:rsidRDefault="00CA5D84">
      <w:pPr>
        <w:pStyle w:val="TDC1"/>
        <w:tabs>
          <w:tab w:val="right" w:leader="dot" w:pos="8832"/>
        </w:tabs>
        <w:rPr>
          <w:rFonts w:asciiTheme="minorHAnsi" w:hAnsiTheme="minorHAnsi"/>
          <w:noProof/>
          <w:kern w:val="2"/>
          <w:szCs w:val="24"/>
          <w:lang w:val="es-CL" w:eastAsia="es-CL"/>
          <w14:ligatures w14:val="standardContextual"/>
        </w:rPr>
      </w:pPr>
      <w:hyperlink w:anchor="_Toc231082770" w:history="1">
        <w:r w:rsidRPr="0011223F">
          <w:rPr>
            <w:rStyle w:val="Hipervnculo"/>
            <w:noProof/>
          </w:rPr>
          <w:t>Lista de abreviaturas y siglas</w:t>
        </w:r>
        <w:r>
          <w:rPr>
            <w:noProof/>
            <w:webHidden/>
          </w:rPr>
          <w:tab/>
        </w:r>
        <w:r>
          <w:rPr>
            <w:noProof/>
            <w:webHidden/>
          </w:rPr>
          <w:fldChar w:fldCharType="begin"/>
        </w:r>
        <w:r>
          <w:rPr>
            <w:noProof/>
            <w:webHidden/>
          </w:rPr>
          <w:instrText xml:space="preserve"> PAGEREF _Toc231082770 \h </w:instrText>
        </w:r>
        <w:r>
          <w:rPr>
            <w:noProof/>
            <w:webHidden/>
          </w:rPr>
        </w:r>
        <w:r>
          <w:rPr>
            <w:noProof/>
            <w:webHidden/>
          </w:rPr>
          <w:fldChar w:fldCharType="separate"/>
        </w:r>
        <w:r>
          <w:rPr>
            <w:noProof/>
            <w:webHidden/>
          </w:rPr>
          <w:t>xiii</w:t>
        </w:r>
        <w:r>
          <w:rPr>
            <w:noProof/>
            <w:webHidden/>
          </w:rPr>
          <w:fldChar w:fldCharType="end"/>
        </w:r>
      </w:hyperlink>
    </w:p>
    <w:p w14:paraId="17547788" w14:textId="649DB8CF" w:rsidR="00CA5D84" w:rsidRDefault="00CA5D84">
      <w:pPr>
        <w:pStyle w:val="TDC1"/>
        <w:tabs>
          <w:tab w:val="right" w:leader="dot" w:pos="8832"/>
        </w:tabs>
        <w:rPr>
          <w:rFonts w:asciiTheme="minorHAnsi" w:hAnsiTheme="minorHAnsi"/>
          <w:noProof/>
          <w:kern w:val="2"/>
          <w:szCs w:val="24"/>
          <w:lang w:val="es-CL" w:eastAsia="es-CL"/>
          <w14:ligatures w14:val="standardContextual"/>
        </w:rPr>
      </w:pPr>
      <w:hyperlink w:anchor="_Toc231082771" w:history="1">
        <w:r w:rsidRPr="0011223F">
          <w:rPr>
            <w:rStyle w:val="Hipervnculo"/>
            <w:noProof/>
          </w:rPr>
          <w:t>Capítulo 1 — Introducción</w:t>
        </w:r>
        <w:r>
          <w:rPr>
            <w:noProof/>
            <w:webHidden/>
          </w:rPr>
          <w:tab/>
        </w:r>
        <w:r>
          <w:rPr>
            <w:noProof/>
            <w:webHidden/>
          </w:rPr>
          <w:fldChar w:fldCharType="begin"/>
        </w:r>
        <w:r>
          <w:rPr>
            <w:noProof/>
            <w:webHidden/>
          </w:rPr>
          <w:instrText xml:space="preserve"> PAGEREF _Toc231082771 \h </w:instrText>
        </w:r>
        <w:r>
          <w:rPr>
            <w:noProof/>
            <w:webHidden/>
          </w:rPr>
        </w:r>
        <w:r>
          <w:rPr>
            <w:noProof/>
            <w:webHidden/>
          </w:rPr>
          <w:fldChar w:fldCharType="separate"/>
        </w:r>
        <w:r>
          <w:rPr>
            <w:noProof/>
            <w:webHidden/>
          </w:rPr>
          <w:t>1</w:t>
        </w:r>
        <w:r>
          <w:rPr>
            <w:noProof/>
            <w:webHidden/>
          </w:rPr>
          <w:fldChar w:fldCharType="end"/>
        </w:r>
      </w:hyperlink>
    </w:p>
    <w:p w14:paraId="1E7A6CCF" w14:textId="28E9D29A"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72" w:history="1">
        <w:r w:rsidRPr="0011223F">
          <w:rPr>
            <w:rStyle w:val="Hipervnculo"/>
            <w:noProof/>
          </w:rPr>
          <w:t>1.1 Contextualización</w:t>
        </w:r>
        <w:r>
          <w:rPr>
            <w:noProof/>
            <w:webHidden/>
          </w:rPr>
          <w:tab/>
        </w:r>
        <w:r>
          <w:rPr>
            <w:noProof/>
            <w:webHidden/>
          </w:rPr>
          <w:fldChar w:fldCharType="begin"/>
        </w:r>
        <w:r>
          <w:rPr>
            <w:noProof/>
            <w:webHidden/>
          </w:rPr>
          <w:instrText xml:space="preserve"> PAGEREF _Toc231082772 \h </w:instrText>
        </w:r>
        <w:r>
          <w:rPr>
            <w:noProof/>
            <w:webHidden/>
          </w:rPr>
        </w:r>
        <w:r>
          <w:rPr>
            <w:noProof/>
            <w:webHidden/>
          </w:rPr>
          <w:fldChar w:fldCharType="separate"/>
        </w:r>
        <w:r>
          <w:rPr>
            <w:noProof/>
            <w:webHidden/>
          </w:rPr>
          <w:t>1</w:t>
        </w:r>
        <w:r>
          <w:rPr>
            <w:noProof/>
            <w:webHidden/>
          </w:rPr>
          <w:fldChar w:fldCharType="end"/>
        </w:r>
      </w:hyperlink>
    </w:p>
    <w:p w14:paraId="59ACF0DA" w14:textId="00D98114"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73" w:history="1">
        <w:r w:rsidRPr="0011223F">
          <w:rPr>
            <w:rStyle w:val="Hipervnculo"/>
            <w:noProof/>
          </w:rPr>
          <w:t>1.2 Problema de investigación y justificación</w:t>
        </w:r>
        <w:r>
          <w:rPr>
            <w:noProof/>
            <w:webHidden/>
          </w:rPr>
          <w:tab/>
        </w:r>
        <w:r>
          <w:rPr>
            <w:noProof/>
            <w:webHidden/>
          </w:rPr>
          <w:fldChar w:fldCharType="begin"/>
        </w:r>
        <w:r>
          <w:rPr>
            <w:noProof/>
            <w:webHidden/>
          </w:rPr>
          <w:instrText xml:space="preserve"> PAGEREF _Toc231082773 \h </w:instrText>
        </w:r>
        <w:r>
          <w:rPr>
            <w:noProof/>
            <w:webHidden/>
          </w:rPr>
        </w:r>
        <w:r>
          <w:rPr>
            <w:noProof/>
            <w:webHidden/>
          </w:rPr>
          <w:fldChar w:fldCharType="separate"/>
        </w:r>
        <w:r>
          <w:rPr>
            <w:noProof/>
            <w:webHidden/>
          </w:rPr>
          <w:t>2</w:t>
        </w:r>
        <w:r>
          <w:rPr>
            <w:noProof/>
            <w:webHidden/>
          </w:rPr>
          <w:fldChar w:fldCharType="end"/>
        </w:r>
      </w:hyperlink>
    </w:p>
    <w:p w14:paraId="5AA0C91D" w14:textId="0A3DF975"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74" w:history="1">
        <w:r w:rsidRPr="0011223F">
          <w:rPr>
            <w:rStyle w:val="Hipervnculo"/>
            <w:noProof/>
          </w:rPr>
          <w:t>1.3 Pregunta y objetivos de investigación</w:t>
        </w:r>
        <w:r>
          <w:rPr>
            <w:noProof/>
            <w:webHidden/>
          </w:rPr>
          <w:tab/>
        </w:r>
        <w:r>
          <w:rPr>
            <w:noProof/>
            <w:webHidden/>
          </w:rPr>
          <w:fldChar w:fldCharType="begin"/>
        </w:r>
        <w:r>
          <w:rPr>
            <w:noProof/>
            <w:webHidden/>
          </w:rPr>
          <w:instrText xml:space="preserve"> PAGEREF _Toc231082774 \h </w:instrText>
        </w:r>
        <w:r>
          <w:rPr>
            <w:noProof/>
            <w:webHidden/>
          </w:rPr>
        </w:r>
        <w:r>
          <w:rPr>
            <w:noProof/>
            <w:webHidden/>
          </w:rPr>
          <w:fldChar w:fldCharType="separate"/>
        </w:r>
        <w:r>
          <w:rPr>
            <w:noProof/>
            <w:webHidden/>
          </w:rPr>
          <w:t>3</w:t>
        </w:r>
        <w:r>
          <w:rPr>
            <w:noProof/>
            <w:webHidden/>
          </w:rPr>
          <w:fldChar w:fldCharType="end"/>
        </w:r>
      </w:hyperlink>
    </w:p>
    <w:p w14:paraId="65504948" w14:textId="5F7A90FD"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75" w:history="1">
        <w:r w:rsidRPr="0011223F">
          <w:rPr>
            <w:rStyle w:val="Hipervnculo"/>
            <w:noProof/>
          </w:rPr>
          <w:t>1.4 Hipótesis general</w:t>
        </w:r>
        <w:r>
          <w:rPr>
            <w:noProof/>
            <w:webHidden/>
          </w:rPr>
          <w:tab/>
        </w:r>
        <w:r>
          <w:rPr>
            <w:noProof/>
            <w:webHidden/>
          </w:rPr>
          <w:fldChar w:fldCharType="begin"/>
        </w:r>
        <w:r>
          <w:rPr>
            <w:noProof/>
            <w:webHidden/>
          </w:rPr>
          <w:instrText xml:space="preserve"> PAGEREF _Toc231082775 \h </w:instrText>
        </w:r>
        <w:r>
          <w:rPr>
            <w:noProof/>
            <w:webHidden/>
          </w:rPr>
        </w:r>
        <w:r>
          <w:rPr>
            <w:noProof/>
            <w:webHidden/>
          </w:rPr>
          <w:fldChar w:fldCharType="separate"/>
        </w:r>
        <w:r>
          <w:rPr>
            <w:noProof/>
            <w:webHidden/>
          </w:rPr>
          <w:t>4</w:t>
        </w:r>
        <w:r>
          <w:rPr>
            <w:noProof/>
            <w:webHidden/>
          </w:rPr>
          <w:fldChar w:fldCharType="end"/>
        </w:r>
      </w:hyperlink>
    </w:p>
    <w:p w14:paraId="541830A3" w14:textId="3CE67A2F"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76" w:history="1">
        <w:r w:rsidRPr="0011223F">
          <w:rPr>
            <w:rStyle w:val="Hipervnculo"/>
            <w:noProof/>
          </w:rPr>
          <w:t>1.5 Aspectos metodológicos y alcance</w:t>
        </w:r>
        <w:r>
          <w:rPr>
            <w:noProof/>
            <w:webHidden/>
          </w:rPr>
          <w:tab/>
        </w:r>
        <w:r>
          <w:rPr>
            <w:noProof/>
            <w:webHidden/>
          </w:rPr>
          <w:fldChar w:fldCharType="begin"/>
        </w:r>
        <w:r>
          <w:rPr>
            <w:noProof/>
            <w:webHidden/>
          </w:rPr>
          <w:instrText xml:space="preserve"> PAGEREF _Toc231082776 \h </w:instrText>
        </w:r>
        <w:r>
          <w:rPr>
            <w:noProof/>
            <w:webHidden/>
          </w:rPr>
        </w:r>
        <w:r>
          <w:rPr>
            <w:noProof/>
            <w:webHidden/>
          </w:rPr>
          <w:fldChar w:fldCharType="separate"/>
        </w:r>
        <w:r>
          <w:rPr>
            <w:noProof/>
            <w:webHidden/>
          </w:rPr>
          <w:t>4</w:t>
        </w:r>
        <w:r>
          <w:rPr>
            <w:noProof/>
            <w:webHidden/>
          </w:rPr>
          <w:fldChar w:fldCharType="end"/>
        </w:r>
      </w:hyperlink>
    </w:p>
    <w:p w14:paraId="3F0EC31E" w14:textId="3F565433"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77" w:history="1">
        <w:r w:rsidRPr="0011223F">
          <w:rPr>
            <w:rStyle w:val="Hipervnculo"/>
            <w:noProof/>
          </w:rPr>
          <w:t>1.6 Aportes esperados</w:t>
        </w:r>
        <w:r>
          <w:rPr>
            <w:noProof/>
            <w:webHidden/>
          </w:rPr>
          <w:tab/>
        </w:r>
        <w:r>
          <w:rPr>
            <w:noProof/>
            <w:webHidden/>
          </w:rPr>
          <w:fldChar w:fldCharType="begin"/>
        </w:r>
        <w:r>
          <w:rPr>
            <w:noProof/>
            <w:webHidden/>
          </w:rPr>
          <w:instrText xml:space="preserve"> PAGEREF _Toc231082777 \h </w:instrText>
        </w:r>
        <w:r>
          <w:rPr>
            <w:noProof/>
            <w:webHidden/>
          </w:rPr>
        </w:r>
        <w:r>
          <w:rPr>
            <w:noProof/>
            <w:webHidden/>
          </w:rPr>
          <w:fldChar w:fldCharType="separate"/>
        </w:r>
        <w:r>
          <w:rPr>
            <w:noProof/>
            <w:webHidden/>
          </w:rPr>
          <w:t>5</w:t>
        </w:r>
        <w:r>
          <w:rPr>
            <w:noProof/>
            <w:webHidden/>
          </w:rPr>
          <w:fldChar w:fldCharType="end"/>
        </w:r>
      </w:hyperlink>
    </w:p>
    <w:p w14:paraId="346030F0" w14:textId="725F1F1A"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78" w:history="1">
        <w:r w:rsidRPr="0011223F">
          <w:rPr>
            <w:rStyle w:val="Hipervnculo"/>
            <w:noProof/>
          </w:rPr>
          <w:t>1.7 Estructura de la tesis</w:t>
        </w:r>
        <w:r>
          <w:rPr>
            <w:noProof/>
            <w:webHidden/>
          </w:rPr>
          <w:tab/>
        </w:r>
        <w:r>
          <w:rPr>
            <w:noProof/>
            <w:webHidden/>
          </w:rPr>
          <w:fldChar w:fldCharType="begin"/>
        </w:r>
        <w:r>
          <w:rPr>
            <w:noProof/>
            <w:webHidden/>
          </w:rPr>
          <w:instrText xml:space="preserve"> PAGEREF _Toc231082778 \h </w:instrText>
        </w:r>
        <w:r>
          <w:rPr>
            <w:noProof/>
            <w:webHidden/>
          </w:rPr>
        </w:r>
        <w:r>
          <w:rPr>
            <w:noProof/>
            <w:webHidden/>
          </w:rPr>
          <w:fldChar w:fldCharType="separate"/>
        </w:r>
        <w:r>
          <w:rPr>
            <w:noProof/>
            <w:webHidden/>
          </w:rPr>
          <w:t>6</w:t>
        </w:r>
        <w:r>
          <w:rPr>
            <w:noProof/>
            <w:webHidden/>
          </w:rPr>
          <w:fldChar w:fldCharType="end"/>
        </w:r>
      </w:hyperlink>
    </w:p>
    <w:p w14:paraId="69423543" w14:textId="10BB81C8" w:rsidR="00CA5D84" w:rsidRDefault="00CA5D84">
      <w:pPr>
        <w:pStyle w:val="TDC1"/>
        <w:tabs>
          <w:tab w:val="right" w:leader="dot" w:pos="8832"/>
        </w:tabs>
        <w:rPr>
          <w:rFonts w:asciiTheme="minorHAnsi" w:hAnsiTheme="minorHAnsi"/>
          <w:noProof/>
          <w:kern w:val="2"/>
          <w:szCs w:val="24"/>
          <w:lang w:val="es-CL" w:eastAsia="es-CL"/>
          <w14:ligatures w14:val="standardContextual"/>
        </w:rPr>
      </w:pPr>
      <w:hyperlink w:anchor="_Toc231082779" w:history="1">
        <w:r w:rsidRPr="0011223F">
          <w:rPr>
            <w:rStyle w:val="Hipervnculo"/>
            <w:noProof/>
          </w:rPr>
          <w:t>Capítulo 2 — Marco teórico y revisión de literatura</w:t>
        </w:r>
        <w:r>
          <w:rPr>
            <w:noProof/>
            <w:webHidden/>
          </w:rPr>
          <w:tab/>
        </w:r>
        <w:r>
          <w:rPr>
            <w:noProof/>
            <w:webHidden/>
          </w:rPr>
          <w:fldChar w:fldCharType="begin"/>
        </w:r>
        <w:r>
          <w:rPr>
            <w:noProof/>
            <w:webHidden/>
          </w:rPr>
          <w:instrText xml:space="preserve"> PAGEREF _Toc231082779 \h </w:instrText>
        </w:r>
        <w:r>
          <w:rPr>
            <w:noProof/>
            <w:webHidden/>
          </w:rPr>
        </w:r>
        <w:r>
          <w:rPr>
            <w:noProof/>
            <w:webHidden/>
          </w:rPr>
          <w:fldChar w:fldCharType="separate"/>
        </w:r>
        <w:r>
          <w:rPr>
            <w:noProof/>
            <w:webHidden/>
          </w:rPr>
          <w:t>7</w:t>
        </w:r>
        <w:r>
          <w:rPr>
            <w:noProof/>
            <w:webHidden/>
          </w:rPr>
          <w:fldChar w:fldCharType="end"/>
        </w:r>
      </w:hyperlink>
    </w:p>
    <w:p w14:paraId="2C022F85" w14:textId="67E2FC6B"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80" w:history="1">
        <w:r w:rsidRPr="0011223F">
          <w:rPr>
            <w:rStyle w:val="Hipervnculo"/>
            <w:noProof/>
          </w:rPr>
          <w:t>2.1 Determinantes macroeconómicos de los retornos accionarios</w:t>
        </w:r>
        <w:r>
          <w:rPr>
            <w:noProof/>
            <w:webHidden/>
          </w:rPr>
          <w:tab/>
        </w:r>
        <w:r>
          <w:rPr>
            <w:noProof/>
            <w:webHidden/>
          </w:rPr>
          <w:fldChar w:fldCharType="begin"/>
        </w:r>
        <w:r>
          <w:rPr>
            <w:noProof/>
            <w:webHidden/>
          </w:rPr>
          <w:instrText xml:space="preserve"> PAGEREF _Toc231082780 \h </w:instrText>
        </w:r>
        <w:r>
          <w:rPr>
            <w:noProof/>
            <w:webHidden/>
          </w:rPr>
        </w:r>
        <w:r>
          <w:rPr>
            <w:noProof/>
            <w:webHidden/>
          </w:rPr>
          <w:fldChar w:fldCharType="separate"/>
        </w:r>
        <w:r>
          <w:rPr>
            <w:noProof/>
            <w:webHidden/>
          </w:rPr>
          <w:t>7</w:t>
        </w:r>
        <w:r>
          <w:rPr>
            <w:noProof/>
            <w:webHidden/>
          </w:rPr>
          <w:fldChar w:fldCharType="end"/>
        </w:r>
      </w:hyperlink>
    </w:p>
    <w:p w14:paraId="6AE5D589" w14:textId="6DD143F3"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81" w:history="1">
        <w:r w:rsidRPr="0011223F">
          <w:rPr>
            <w:rStyle w:val="Hipervnculo"/>
            <w:noProof/>
          </w:rPr>
          <w:t>2.2 Precios de commodities y valoración de empresas mineras</w:t>
        </w:r>
        <w:r>
          <w:rPr>
            <w:noProof/>
            <w:webHidden/>
          </w:rPr>
          <w:tab/>
        </w:r>
        <w:r>
          <w:rPr>
            <w:noProof/>
            <w:webHidden/>
          </w:rPr>
          <w:fldChar w:fldCharType="begin"/>
        </w:r>
        <w:r>
          <w:rPr>
            <w:noProof/>
            <w:webHidden/>
          </w:rPr>
          <w:instrText xml:space="preserve"> PAGEREF _Toc231082781 \h </w:instrText>
        </w:r>
        <w:r>
          <w:rPr>
            <w:noProof/>
            <w:webHidden/>
          </w:rPr>
        </w:r>
        <w:r>
          <w:rPr>
            <w:noProof/>
            <w:webHidden/>
          </w:rPr>
          <w:fldChar w:fldCharType="separate"/>
        </w:r>
        <w:r>
          <w:rPr>
            <w:noProof/>
            <w:webHidden/>
          </w:rPr>
          <w:t>9</w:t>
        </w:r>
        <w:r>
          <w:rPr>
            <w:noProof/>
            <w:webHidden/>
          </w:rPr>
          <w:fldChar w:fldCharType="end"/>
        </w:r>
      </w:hyperlink>
    </w:p>
    <w:p w14:paraId="0E3DC8E8" w14:textId="1255951F"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82" w:history="1">
        <w:r w:rsidRPr="0011223F">
          <w:rPr>
            <w:rStyle w:val="Hipervnculo"/>
            <w:noProof/>
          </w:rPr>
          <w:t>2.3 Tipo de cambio y exposición de empresas exportadoras</w:t>
        </w:r>
        <w:r>
          <w:rPr>
            <w:noProof/>
            <w:webHidden/>
          </w:rPr>
          <w:tab/>
        </w:r>
        <w:r>
          <w:rPr>
            <w:noProof/>
            <w:webHidden/>
          </w:rPr>
          <w:fldChar w:fldCharType="begin"/>
        </w:r>
        <w:r>
          <w:rPr>
            <w:noProof/>
            <w:webHidden/>
          </w:rPr>
          <w:instrText xml:space="preserve"> PAGEREF _Toc231082782 \h </w:instrText>
        </w:r>
        <w:r>
          <w:rPr>
            <w:noProof/>
            <w:webHidden/>
          </w:rPr>
        </w:r>
        <w:r>
          <w:rPr>
            <w:noProof/>
            <w:webHidden/>
          </w:rPr>
          <w:fldChar w:fldCharType="separate"/>
        </w:r>
        <w:r>
          <w:rPr>
            <w:noProof/>
            <w:webHidden/>
          </w:rPr>
          <w:t>11</w:t>
        </w:r>
        <w:r>
          <w:rPr>
            <w:noProof/>
            <w:webHidden/>
          </w:rPr>
          <w:fldChar w:fldCharType="end"/>
        </w:r>
      </w:hyperlink>
    </w:p>
    <w:p w14:paraId="7351218D" w14:textId="167395AD"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83" w:history="1">
        <w:r w:rsidRPr="0011223F">
          <w:rPr>
            <w:rStyle w:val="Hipervnculo"/>
            <w:noProof/>
          </w:rPr>
          <w:t>2.4 Cobre, tipo de cambio y la economía chilena</w:t>
        </w:r>
        <w:r>
          <w:rPr>
            <w:noProof/>
            <w:webHidden/>
          </w:rPr>
          <w:tab/>
        </w:r>
        <w:r>
          <w:rPr>
            <w:noProof/>
            <w:webHidden/>
          </w:rPr>
          <w:fldChar w:fldCharType="begin"/>
        </w:r>
        <w:r>
          <w:rPr>
            <w:noProof/>
            <w:webHidden/>
          </w:rPr>
          <w:instrText xml:space="preserve"> PAGEREF _Toc231082783 \h </w:instrText>
        </w:r>
        <w:r>
          <w:rPr>
            <w:noProof/>
            <w:webHidden/>
          </w:rPr>
        </w:r>
        <w:r>
          <w:rPr>
            <w:noProof/>
            <w:webHidden/>
          </w:rPr>
          <w:fldChar w:fldCharType="separate"/>
        </w:r>
        <w:r>
          <w:rPr>
            <w:noProof/>
            <w:webHidden/>
          </w:rPr>
          <w:t>11</w:t>
        </w:r>
        <w:r>
          <w:rPr>
            <w:noProof/>
            <w:webHidden/>
          </w:rPr>
          <w:fldChar w:fldCharType="end"/>
        </w:r>
      </w:hyperlink>
    </w:p>
    <w:p w14:paraId="0A81240C" w14:textId="40D6BFDA"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84" w:history="1">
        <w:r w:rsidRPr="0011223F">
          <w:rPr>
            <w:rStyle w:val="Hipervnculo"/>
            <w:noProof/>
          </w:rPr>
          <w:t>2.5 Eficiencia informacional y segmentación de mercados</w:t>
        </w:r>
        <w:r>
          <w:rPr>
            <w:noProof/>
            <w:webHidden/>
          </w:rPr>
          <w:tab/>
        </w:r>
        <w:r>
          <w:rPr>
            <w:noProof/>
            <w:webHidden/>
          </w:rPr>
          <w:fldChar w:fldCharType="begin"/>
        </w:r>
        <w:r>
          <w:rPr>
            <w:noProof/>
            <w:webHidden/>
          </w:rPr>
          <w:instrText xml:space="preserve"> PAGEREF _Toc231082784 \h </w:instrText>
        </w:r>
        <w:r>
          <w:rPr>
            <w:noProof/>
            <w:webHidden/>
          </w:rPr>
        </w:r>
        <w:r>
          <w:rPr>
            <w:noProof/>
            <w:webHidden/>
          </w:rPr>
          <w:fldChar w:fldCharType="separate"/>
        </w:r>
        <w:r>
          <w:rPr>
            <w:noProof/>
            <w:webHidden/>
          </w:rPr>
          <w:t>14</w:t>
        </w:r>
        <w:r>
          <w:rPr>
            <w:noProof/>
            <w:webHidden/>
          </w:rPr>
          <w:fldChar w:fldCharType="end"/>
        </w:r>
      </w:hyperlink>
    </w:p>
    <w:p w14:paraId="1750A3B9" w14:textId="777F6465"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85" w:history="1">
        <w:r w:rsidRPr="0011223F">
          <w:rPr>
            <w:rStyle w:val="Hipervnculo"/>
            <w:noProof/>
          </w:rPr>
          <w:t>2.6 Enfoques econométricos para la medición de impacto</w:t>
        </w:r>
        <w:r>
          <w:rPr>
            <w:noProof/>
            <w:webHidden/>
          </w:rPr>
          <w:tab/>
        </w:r>
        <w:r>
          <w:rPr>
            <w:noProof/>
            <w:webHidden/>
          </w:rPr>
          <w:fldChar w:fldCharType="begin"/>
        </w:r>
        <w:r>
          <w:rPr>
            <w:noProof/>
            <w:webHidden/>
          </w:rPr>
          <w:instrText xml:space="preserve"> PAGEREF _Toc231082785 \h </w:instrText>
        </w:r>
        <w:r>
          <w:rPr>
            <w:noProof/>
            <w:webHidden/>
          </w:rPr>
        </w:r>
        <w:r>
          <w:rPr>
            <w:noProof/>
            <w:webHidden/>
          </w:rPr>
          <w:fldChar w:fldCharType="separate"/>
        </w:r>
        <w:r>
          <w:rPr>
            <w:noProof/>
            <w:webHidden/>
          </w:rPr>
          <w:t>15</w:t>
        </w:r>
        <w:r>
          <w:rPr>
            <w:noProof/>
            <w:webHidden/>
          </w:rPr>
          <w:fldChar w:fldCharType="end"/>
        </w:r>
      </w:hyperlink>
    </w:p>
    <w:p w14:paraId="0BA5AF00" w14:textId="519D03D7"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86" w:history="1">
        <w:r w:rsidRPr="0011223F">
          <w:rPr>
            <w:rStyle w:val="Hipervnculo"/>
            <w:noProof/>
          </w:rPr>
          <w:t>2.7 Síntesis e identificación del vacío de investigación</w:t>
        </w:r>
        <w:r>
          <w:rPr>
            <w:noProof/>
            <w:webHidden/>
          </w:rPr>
          <w:tab/>
        </w:r>
        <w:r>
          <w:rPr>
            <w:noProof/>
            <w:webHidden/>
          </w:rPr>
          <w:fldChar w:fldCharType="begin"/>
        </w:r>
        <w:r>
          <w:rPr>
            <w:noProof/>
            <w:webHidden/>
          </w:rPr>
          <w:instrText xml:space="preserve"> PAGEREF _Toc231082786 \h </w:instrText>
        </w:r>
        <w:r>
          <w:rPr>
            <w:noProof/>
            <w:webHidden/>
          </w:rPr>
        </w:r>
        <w:r>
          <w:rPr>
            <w:noProof/>
            <w:webHidden/>
          </w:rPr>
          <w:fldChar w:fldCharType="separate"/>
        </w:r>
        <w:r>
          <w:rPr>
            <w:noProof/>
            <w:webHidden/>
          </w:rPr>
          <w:t>16</w:t>
        </w:r>
        <w:r>
          <w:rPr>
            <w:noProof/>
            <w:webHidden/>
          </w:rPr>
          <w:fldChar w:fldCharType="end"/>
        </w:r>
      </w:hyperlink>
    </w:p>
    <w:p w14:paraId="6E374EB7" w14:textId="167FD4C5" w:rsidR="00CA5D84" w:rsidRDefault="00CA5D84">
      <w:pPr>
        <w:pStyle w:val="TDC3"/>
        <w:tabs>
          <w:tab w:val="right" w:leader="dot" w:pos="8832"/>
        </w:tabs>
        <w:rPr>
          <w:rFonts w:asciiTheme="minorHAnsi" w:hAnsiTheme="minorHAnsi"/>
          <w:noProof/>
          <w:kern w:val="2"/>
          <w:szCs w:val="24"/>
          <w:lang w:val="es-CL" w:eastAsia="es-CL"/>
          <w14:ligatures w14:val="standardContextual"/>
        </w:rPr>
      </w:pPr>
      <w:hyperlink w:anchor="_Toc231082787" w:history="1">
        <w:r w:rsidRPr="0011223F">
          <w:rPr>
            <w:rStyle w:val="Hipervnculo"/>
            <w:noProof/>
          </w:rPr>
          <w:t>Nota sobre la tabla de literatura</w:t>
        </w:r>
        <w:r>
          <w:rPr>
            <w:noProof/>
            <w:webHidden/>
          </w:rPr>
          <w:tab/>
        </w:r>
        <w:r>
          <w:rPr>
            <w:noProof/>
            <w:webHidden/>
          </w:rPr>
          <w:fldChar w:fldCharType="begin"/>
        </w:r>
        <w:r>
          <w:rPr>
            <w:noProof/>
            <w:webHidden/>
          </w:rPr>
          <w:instrText xml:space="preserve"> PAGEREF _Toc231082787 \h </w:instrText>
        </w:r>
        <w:r>
          <w:rPr>
            <w:noProof/>
            <w:webHidden/>
          </w:rPr>
        </w:r>
        <w:r>
          <w:rPr>
            <w:noProof/>
            <w:webHidden/>
          </w:rPr>
          <w:fldChar w:fldCharType="separate"/>
        </w:r>
        <w:r>
          <w:rPr>
            <w:noProof/>
            <w:webHidden/>
          </w:rPr>
          <w:t>17</w:t>
        </w:r>
        <w:r>
          <w:rPr>
            <w:noProof/>
            <w:webHidden/>
          </w:rPr>
          <w:fldChar w:fldCharType="end"/>
        </w:r>
      </w:hyperlink>
    </w:p>
    <w:p w14:paraId="5AD3B9C4" w14:textId="72C963EC" w:rsidR="00CA5D84" w:rsidRDefault="00CA5D84">
      <w:pPr>
        <w:pStyle w:val="TDC1"/>
        <w:tabs>
          <w:tab w:val="right" w:leader="dot" w:pos="8832"/>
        </w:tabs>
        <w:rPr>
          <w:rFonts w:asciiTheme="minorHAnsi" w:hAnsiTheme="minorHAnsi"/>
          <w:noProof/>
          <w:kern w:val="2"/>
          <w:szCs w:val="24"/>
          <w:lang w:val="es-CL" w:eastAsia="es-CL"/>
          <w14:ligatures w14:val="standardContextual"/>
        </w:rPr>
      </w:pPr>
      <w:hyperlink w:anchor="_Toc231082788" w:history="1">
        <w:r w:rsidRPr="0011223F">
          <w:rPr>
            <w:rStyle w:val="Hipervnculo"/>
            <w:noProof/>
          </w:rPr>
          <w:t>Capítulo 3 — Datos y metodología</w:t>
        </w:r>
        <w:r>
          <w:rPr>
            <w:noProof/>
            <w:webHidden/>
          </w:rPr>
          <w:tab/>
        </w:r>
        <w:r>
          <w:rPr>
            <w:noProof/>
            <w:webHidden/>
          </w:rPr>
          <w:fldChar w:fldCharType="begin"/>
        </w:r>
        <w:r>
          <w:rPr>
            <w:noProof/>
            <w:webHidden/>
          </w:rPr>
          <w:instrText xml:space="preserve"> PAGEREF _Toc231082788 \h </w:instrText>
        </w:r>
        <w:r>
          <w:rPr>
            <w:noProof/>
            <w:webHidden/>
          </w:rPr>
        </w:r>
        <w:r>
          <w:rPr>
            <w:noProof/>
            <w:webHidden/>
          </w:rPr>
          <w:fldChar w:fldCharType="separate"/>
        </w:r>
        <w:r>
          <w:rPr>
            <w:noProof/>
            <w:webHidden/>
          </w:rPr>
          <w:t>19</w:t>
        </w:r>
        <w:r>
          <w:rPr>
            <w:noProof/>
            <w:webHidden/>
          </w:rPr>
          <w:fldChar w:fldCharType="end"/>
        </w:r>
      </w:hyperlink>
    </w:p>
    <w:p w14:paraId="078A74A4" w14:textId="644EFE0E"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89" w:history="1">
        <w:r w:rsidRPr="0011223F">
          <w:rPr>
            <w:rStyle w:val="Hipervnculo"/>
            <w:noProof/>
          </w:rPr>
          <w:t>3.1 Definición del universo de empresas y período</w:t>
        </w:r>
        <w:r>
          <w:rPr>
            <w:noProof/>
            <w:webHidden/>
          </w:rPr>
          <w:tab/>
        </w:r>
        <w:r>
          <w:rPr>
            <w:noProof/>
            <w:webHidden/>
          </w:rPr>
          <w:fldChar w:fldCharType="begin"/>
        </w:r>
        <w:r>
          <w:rPr>
            <w:noProof/>
            <w:webHidden/>
          </w:rPr>
          <w:instrText xml:space="preserve"> PAGEREF _Toc231082789 \h </w:instrText>
        </w:r>
        <w:r>
          <w:rPr>
            <w:noProof/>
            <w:webHidden/>
          </w:rPr>
        </w:r>
        <w:r>
          <w:rPr>
            <w:noProof/>
            <w:webHidden/>
          </w:rPr>
          <w:fldChar w:fldCharType="separate"/>
        </w:r>
        <w:r>
          <w:rPr>
            <w:noProof/>
            <w:webHidden/>
          </w:rPr>
          <w:t>19</w:t>
        </w:r>
        <w:r>
          <w:rPr>
            <w:noProof/>
            <w:webHidden/>
          </w:rPr>
          <w:fldChar w:fldCharType="end"/>
        </w:r>
      </w:hyperlink>
    </w:p>
    <w:p w14:paraId="65A96249" w14:textId="5FC8974F"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90" w:history="1">
        <w:r w:rsidRPr="0011223F">
          <w:rPr>
            <w:rStyle w:val="Hipervnculo"/>
            <w:noProof/>
          </w:rPr>
          <w:t>3.2 Variable dependiente</w:t>
        </w:r>
        <w:r>
          <w:rPr>
            <w:noProof/>
            <w:webHidden/>
          </w:rPr>
          <w:tab/>
        </w:r>
        <w:r>
          <w:rPr>
            <w:noProof/>
            <w:webHidden/>
          </w:rPr>
          <w:fldChar w:fldCharType="begin"/>
        </w:r>
        <w:r>
          <w:rPr>
            <w:noProof/>
            <w:webHidden/>
          </w:rPr>
          <w:instrText xml:space="preserve"> PAGEREF _Toc231082790 \h </w:instrText>
        </w:r>
        <w:r>
          <w:rPr>
            <w:noProof/>
            <w:webHidden/>
          </w:rPr>
        </w:r>
        <w:r>
          <w:rPr>
            <w:noProof/>
            <w:webHidden/>
          </w:rPr>
          <w:fldChar w:fldCharType="separate"/>
        </w:r>
        <w:r>
          <w:rPr>
            <w:noProof/>
            <w:webHidden/>
          </w:rPr>
          <w:t>20</w:t>
        </w:r>
        <w:r>
          <w:rPr>
            <w:noProof/>
            <w:webHidden/>
          </w:rPr>
          <w:fldChar w:fldCharType="end"/>
        </w:r>
      </w:hyperlink>
    </w:p>
    <w:p w14:paraId="2E2C78E4" w14:textId="376E2DE7"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91" w:history="1">
        <w:r w:rsidRPr="0011223F">
          <w:rPr>
            <w:rStyle w:val="Hipervnculo"/>
            <w:noProof/>
          </w:rPr>
          <w:t>3.3 Variables explicativas</w:t>
        </w:r>
        <w:r>
          <w:rPr>
            <w:noProof/>
            <w:webHidden/>
          </w:rPr>
          <w:tab/>
        </w:r>
        <w:r>
          <w:rPr>
            <w:noProof/>
            <w:webHidden/>
          </w:rPr>
          <w:fldChar w:fldCharType="begin"/>
        </w:r>
        <w:r>
          <w:rPr>
            <w:noProof/>
            <w:webHidden/>
          </w:rPr>
          <w:instrText xml:space="preserve"> PAGEREF _Toc231082791 \h </w:instrText>
        </w:r>
        <w:r>
          <w:rPr>
            <w:noProof/>
            <w:webHidden/>
          </w:rPr>
        </w:r>
        <w:r>
          <w:rPr>
            <w:noProof/>
            <w:webHidden/>
          </w:rPr>
          <w:fldChar w:fldCharType="separate"/>
        </w:r>
        <w:r>
          <w:rPr>
            <w:noProof/>
            <w:webHidden/>
          </w:rPr>
          <w:t>20</w:t>
        </w:r>
        <w:r>
          <w:rPr>
            <w:noProof/>
            <w:webHidden/>
          </w:rPr>
          <w:fldChar w:fldCharType="end"/>
        </w:r>
      </w:hyperlink>
    </w:p>
    <w:p w14:paraId="7B268BA8" w14:textId="7143B881"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92" w:history="1">
        <w:r w:rsidRPr="0011223F">
          <w:rPr>
            <w:rStyle w:val="Hipervnculo"/>
            <w:noProof/>
          </w:rPr>
          <w:t>3.4 Tratamiento de datos y frecuencias mixtas</w:t>
        </w:r>
        <w:r>
          <w:rPr>
            <w:noProof/>
            <w:webHidden/>
          </w:rPr>
          <w:tab/>
        </w:r>
        <w:r>
          <w:rPr>
            <w:noProof/>
            <w:webHidden/>
          </w:rPr>
          <w:fldChar w:fldCharType="begin"/>
        </w:r>
        <w:r>
          <w:rPr>
            <w:noProof/>
            <w:webHidden/>
          </w:rPr>
          <w:instrText xml:space="preserve"> PAGEREF _Toc231082792 \h </w:instrText>
        </w:r>
        <w:r>
          <w:rPr>
            <w:noProof/>
            <w:webHidden/>
          </w:rPr>
        </w:r>
        <w:r>
          <w:rPr>
            <w:noProof/>
            <w:webHidden/>
          </w:rPr>
          <w:fldChar w:fldCharType="separate"/>
        </w:r>
        <w:r>
          <w:rPr>
            <w:noProof/>
            <w:webHidden/>
          </w:rPr>
          <w:t>21</w:t>
        </w:r>
        <w:r>
          <w:rPr>
            <w:noProof/>
            <w:webHidden/>
          </w:rPr>
          <w:fldChar w:fldCharType="end"/>
        </w:r>
      </w:hyperlink>
    </w:p>
    <w:p w14:paraId="10C89B27" w14:textId="64ECD77D"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93" w:history="1">
        <w:r w:rsidRPr="0011223F">
          <w:rPr>
            <w:rStyle w:val="Hipervnculo"/>
            <w:noProof/>
          </w:rPr>
          <w:t>3.5 Datación de las fases del ciclo del cobre</w:t>
        </w:r>
        <w:r>
          <w:rPr>
            <w:noProof/>
            <w:webHidden/>
          </w:rPr>
          <w:tab/>
        </w:r>
        <w:r>
          <w:rPr>
            <w:noProof/>
            <w:webHidden/>
          </w:rPr>
          <w:fldChar w:fldCharType="begin"/>
        </w:r>
        <w:r>
          <w:rPr>
            <w:noProof/>
            <w:webHidden/>
          </w:rPr>
          <w:instrText xml:space="preserve"> PAGEREF _Toc231082793 \h </w:instrText>
        </w:r>
        <w:r>
          <w:rPr>
            <w:noProof/>
            <w:webHidden/>
          </w:rPr>
        </w:r>
        <w:r>
          <w:rPr>
            <w:noProof/>
            <w:webHidden/>
          </w:rPr>
          <w:fldChar w:fldCharType="separate"/>
        </w:r>
        <w:r>
          <w:rPr>
            <w:noProof/>
            <w:webHidden/>
          </w:rPr>
          <w:t>21</w:t>
        </w:r>
        <w:r>
          <w:rPr>
            <w:noProof/>
            <w:webHidden/>
          </w:rPr>
          <w:fldChar w:fldCharType="end"/>
        </w:r>
      </w:hyperlink>
    </w:p>
    <w:p w14:paraId="7AF4E907" w14:textId="09931349"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794" w:history="1">
        <w:r w:rsidRPr="0011223F">
          <w:rPr>
            <w:rStyle w:val="Hipervnculo"/>
            <w:noProof/>
          </w:rPr>
          <w:t>3.6 Estrategia econométrica</w:t>
        </w:r>
        <w:r>
          <w:rPr>
            <w:noProof/>
            <w:webHidden/>
          </w:rPr>
          <w:tab/>
        </w:r>
        <w:r>
          <w:rPr>
            <w:noProof/>
            <w:webHidden/>
          </w:rPr>
          <w:fldChar w:fldCharType="begin"/>
        </w:r>
        <w:r>
          <w:rPr>
            <w:noProof/>
            <w:webHidden/>
          </w:rPr>
          <w:instrText xml:space="preserve"> PAGEREF _Toc231082794 \h </w:instrText>
        </w:r>
        <w:r>
          <w:rPr>
            <w:noProof/>
            <w:webHidden/>
          </w:rPr>
        </w:r>
        <w:r>
          <w:rPr>
            <w:noProof/>
            <w:webHidden/>
          </w:rPr>
          <w:fldChar w:fldCharType="separate"/>
        </w:r>
        <w:r>
          <w:rPr>
            <w:noProof/>
            <w:webHidden/>
          </w:rPr>
          <w:t>22</w:t>
        </w:r>
        <w:r>
          <w:rPr>
            <w:noProof/>
            <w:webHidden/>
          </w:rPr>
          <w:fldChar w:fldCharType="end"/>
        </w:r>
      </w:hyperlink>
    </w:p>
    <w:p w14:paraId="209CA4C9" w14:textId="4660A8B5" w:rsidR="00CA5D84" w:rsidRDefault="00CA5D84">
      <w:pPr>
        <w:pStyle w:val="TDC3"/>
        <w:tabs>
          <w:tab w:val="right" w:leader="dot" w:pos="8832"/>
        </w:tabs>
        <w:rPr>
          <w:rFonts w:asciiTheme="minorHAnsi" w:hAnsiTheme="minorHAnsi"/>
          <w:noProof/>
          <w:kern w:val="2"/>
          <w:szCs w:val="24"/>
          <w:lang w:val="es-CL" w:eastAsia="es-CL"/>
          <w14:ligatures w14:val="standardContextual"/>
        </w:rPr>
      </w:pPr>
      <w:hyperlink w:anchor="_Toc231082795" w:history="1">
        <w:r w:rsidRPr="0011223F">
          <w:rPr>
            <w:rStyle w:val="Hipervnculo"/>
            <w:noProof/>
          </w:rPr>
          <w:t>3.6.1 Estacionariedad y orden de integración (OE1)</w:t>
        </w:r>
        <w:r>
          <w:rPr>
            <w:noProof/>
            <w:webHidden/>
          </w:rPr>
          <w:tab/>
        </w:r>
        <w:r>
          <w:rPr>
            <w:noProof/>
            <w:webHidden/>
          </w:rPr>
          <w:fldChar w:fldCharType="begin"/>
        </w:r>
        <w:r>
          <w:rPr>
            <w:noProof/>
            <w:webHidden/>
          </w:rPr>
          <w:instrText xml:space="preserve"> PAGEREF _Toc231082795 \h </w:instrText>
        </w:r>
        <w:r>
          <w:rPr>
            <w:noProof/>
            <w:webHidden/>
          </w:rPr>
        </w:r>
        <w:r>
          <w:rPr>
            <w:noProof/>
            <w:webHidden/>
          </w:rPr>
          <w:fldChar w:fldCharType="separate"/>
        </w:r>
        <w:r>
          <w:rPr>
            <w:noProof/>
            <w:webHidden/>
          </w:rPr>
          <w:t>22</w:t>
        </w:r>
        <w:r>
          <w:rPr>
            <w:noProof/>
            <w:webHidden/>
          </w:rPr>
          <w:fldChar w:fldCharType="end"/>
        </w:r>
      </w:hyperlink>
    </w:p>
    <w:p w14:paraId="346A7495" w14:textId="7D71E939" w:rsidR="00CA5D84" w:rsidRDefault="00CA5D84">
      <w:pPr>
        <w:pStyle w:val="TDC3"/>
        <w:tabs>
          <w:tab w:val="right" w:leader="dot" w:pos="8832"/>
        </w:tabs>
        <w:rPr>
          <w:rFonts w:asciiTheme="minorHAnsi" w:hAnsiTheme="minorHAnsi"/>
          <w:noProof/>
          <w:kern w:val="2"/>
          <w:szCs w:val="24"/>
          <w:lang w:val="es-CL" w:eastAsia="es-CL"/>
          <w14:ligatures w14:val="standardContextual"/>
        </w:rPr>
      </w:pPr>
      <w:hyperlink w:anchor="_Toc231082796" w:history="1">
        <w:r w:rsidRPr="0011223F">
          <w:rPr>
            <w:rStyle w:val="Hipervnculo"/>
            <w:noProof/>
          </w:rPr>
          <w:t>3.6.2 Modelo de impacto: panel de efectos fijos (OE2)</w:t>
        </w:r>
        <w:r>
          <w:rPr>
            <w:noProof/>
            <w:webHidden/>
          </w:rPr>
          <w:tab/>
        </w:r>
        <w:r>
          <w:rPr>
            <w:noProof/>
            <w:webHidden/>
          </w:rPr>
          <w:fldChar w:fldCharType="begin"/>
        </w:r>
        <w:r>
          <w:rPr>
            <w:noProof/>
            <w:webHidden/>
          </w:rPr>
          <w:instrText xml:space="preserve"> PAGEREF _Toc231082796 \h </w:instrText>
        </w:r>
        <w:r>
          <w:rPr>
            <w:noProof/>
            <w:webHidden/>
          </w:rPr>
        </w:r>
        <w:r>
          <w:rPr>
            <w:noProof/>
            <w:webHidden/>
          </w:rPr>
          <w:fldChar w:fldCharType="separate"/>
        </w:r>
        <w:r>
          <w:rPr>
            <w:noProof/>
            <w:webHidden/>
          </w:rPr>
          <w:t>22</w:t>
        </w:r>
        <w:r>
          <w:rPr>
            <w:noProof/>
            <w:webHidden/>
          </w:rPr>
          <w:fldChar w:fldCharType="end"/>
        </w:r>
      </w:hyperlink>
    </w:p>
    <w:p w14:paraId="73074F7E" w14:textId="302CF6C6" w:rsidR="00CA5D84" w:rsidRDefault="00CA5D84">
      <w:pPr>
        <w:pStyle w:val="TDC3"/>
        <w:tabs>
          <w:tab w:val="right" w:leader="dot" w:pos="8832"/>
        </w:tabs>
        <w:rPr>
          <w:rFonts w:asciiTheme="minorHAnsi" w:hAnsiTheme="minorHAnsi"/>
          <w:noProof/>
          <w:kern w:val="2"/>
          <w:szCs w:val="24"/>
          <w:lang w:val="es-CL" w:eastAsia="es-CL"/>
          <w14:ligatures w14:val="standardContextual"/>
        </w:rPr>
      </w:pPr>
      <w:hyperlink w:anchor="_Toc231082797" w:history="1">
        <w:r w:rsidRPr="0011223F">
          <w:rPr>
            <w:rStyle w:val="Hipervnculo"/>
            <w:noProof/>
          </w:rPr>
          <w:t>3.6.3 Relaciones de largo plazo: cointegración (OE3)</w:t>
        </w:r>
        <w:r>
          <w:rPr>
            <w:noProof/>
            <w:webHidden/>
          </w:rPr>
          <w:tab/>
        </w:r>
        <w:r>
          <w:rPr>
            <w:noProof/>
            <w:webHidden/>
          </w:rPr>
          <w:fldChar w:fldCharType="begin"/>
        </w:r>
        <w:r>
          <w:rPr>
            <w:noProof/>
            <w:webHidden/>
          </w:rPr>
          <w:instrText xml:space="preserve"> PAGEREF _Toc231082797 \h </w:instrText>
        </w:r>
        <w:r>
          <w:rPr>
            <w:noProof/>
            <w:webHidden/>
          </w:rPr>
        </w:r>
        <w:r>
          <w:rPr>
            <w:noProof/>
            <w:webHidden/>
          </w:rPr>
          <w:fldChar w:fldCharType="separate"/>
        </w:r>
        <w:r>
          <w:rPr>
            <w:noProof/>
            <w:webHidden/>
          </w:rPr>
          <w:t>22</w:t>
        </w:r>
        <w:r>
          <w:rPr>
            <w:noProof/>
            <w:webHidden/>
          </w:rPr>
          <w:fldChar w:fldCharType="end"/>
        </w:r>
      </w:hyperlink>
    </w:p>
    <w:p w14:paraId="7A818D08" w14:textId="4076D143" w:rsidR="00CA5D84" w:rsidRDefault="00CA5D84">
      <w:pPr>
        <w:pStyle w:val="TDC3"/>
        <w:tabs>
          <w:tab w:val="right" w:leader="dot" w:pos="8832"/>
        </w:tabs>
        <w:rPr>
          <w:rFonts w:asciiTheme="minorHAnsi" w:hAnsiTheme="minorHAnsi"/>
          <w:noProof/>
          <w:kern w:val="2"/>
          <w:szCs w:val="24"/>
          <w:lang w:val="es-CL" w:eastAsia="es-CL"/>
          <w14:ligatures w14:val="standardContextual"/>
        </w:rPr>
      </w:pPr>
      <w:hyperlink w:anchor="_Toc231082798" w:history="1">
        <w:r w:rsidRPr="0011223F">
          <w:rPr>
            <w:rStyle w:val="Hipervnculo"/>
            <w:noProof/>
          </w:rPr>
          <w:t>3.6.4 Dinámica de shocks: VAR, impulso-respuesta y descomposición de varianza (OE4)</w:t>
        </w:r>
        <w:r>
          <w:rPr>
            <w:noProof/>
            <w:webHidden/>
          </w:rPr>
          <w:tab/>
        </w:r>
        <w:r>
          <w:rPr>
            <w:noProof/>
            <w:webHidden/>
          </w:rPr>
          <w:fldChar w:fldCharType="begin"/>
        </w:r>
        <w:r>
          <w:rPr>
            <w:noProof/>
            <w:webHidden/>
          </w:rPr>
          <w:instrText xml:space="preserve"> PAGEREF _Toc231082798 \h </w:instrText>
        </w:r>
        <w:r>
          <w:rPr>
            <w:noProof/>
            <w:webHidden/>
          </w:rPr>
        </w:r>
        <w:r>
          <w:rPr>
            <w:noProof/>
            <w:webHidden/>
          </w:rPr>
          <w:fldChar w:fldCharType="separate"/>
        </w:r>
        <w:r>
          <w:rPr>
            <w:noProof/>
            <w:webHidden/>
          </w:rPr>
          <w:t>23</w:t>
        </w:r>
        <w:r>
          <w:rPr>
            <w:noProof/>
            <w:webHidden/>
          </w:rPr>
          <w:fldChar w:fldCharType="end"/>
        </w:r>
      </w:hyperlink>
    </w:p>
    <w:p w14:paraId="570C5A46" w14:textId="686A278A" w:rsidR="00CA5D84" w:rsidRDefault="00CA5D84">
      <w:pPr>
        <w:pStyle w:val="TDC3"/>
        <w:tabs>
          <w:tab w:val="right" w:leader="dot" w:pos="8832"/>
        </w:tabs>
        <w:rPr>
          <w:rFonts w:asciiTheme="minorHAnsi" w:hAnsiTheme="minorHAnsi"/>
          <w:noProof/>
          <w:kern w:val="2"/>
          <w:szCs w:val="24"/>
          <w:lang w:val="es-CL" w:eastAsia="es-CL"/>
          <w14:ligatures w14:val="standardContextual"/>
        </w:rPr>
      </w:pPr>
      <w:hyperlink w:anchor="_Toc231082799" w:history="1">
        <w:r w:rsidRPr="0011223F">
          <w:rPr>
            <w:rStyle w:val="Hipervnculo"/>
            <w:noProof/>
          </w:rPr>
          <w:t>3.6.5 Estabilidad por fases del ciclo (OE5)</w:t>
        </w:r>
        <w:r>
          <w:rPr>
            <w:noProof/>
            <w:webHidden/>
          </w:rPr>
          <w:tab/>
        </w:r>
        <w:r>
          <w:rPr>
            <w:noProof/>
            <w:webHidden/>
          </w:rPr>
          <w:fldChar w:fldCharType="begin"/>
        </w:r>
        <w:r>
          <w:rPr>
            <w:noProof/>
            <w:webHidden/>
          </w:rPr>
          <w:instrText xml:space="preserve"> PAGEREF _Toc231082799 \h </w:instrText>
        </w:r>
        <w:r>
          <w:rPr>
            <w:noProof/>
            <w:webHidden/>
          </w:rPr>
        </w:r>
        <w:r>
          <w:rPr>
            <w:noProof/>
            <w:webHidden/>
          </w:rPr>
          <w:fldChar w:fldCharType="separate"/>
        </w:r>
        <w:r>
          <w:rPr>
            <w:noProof/>
            <w:webHidden/>
          </w:rPr>
          <w:t>24</w:t>
        </w:r>
        <w:r>
          <w:rPr>
            <w:noProof/>
            <w:webHidden/>
          </w:rPr>
          <w:fldChar w:fldCharType="end"/>
        </w:r>
      </w:hyperlink>
    </w:p>
    <w:p w14:paraId="0FF01EB4" w14:textId="205ED013" w:rsidR="00CA5D84" w:rsidRDefault="00CA5D84">
      <w:pPr>
        <w:pStyle w:val="TDC3"/>
        <w:tabs>
          <w:tab w:val="right" w:leader="dot" w:pos="8832"/>
        </w:tabs>
        <w:rPr>
          <w:rFonts w:asciiTheme="minorHAnsi" w:hAnsiTheme="minorHAnsi"/>
          <w:noProof/>
          <w:kern w:val="2"/>
          <w:szCs w:val="24"/>
          <w:lang w:val="es-CL" w:eastAsia="es-CL"/>
          <w14:ligatures w14:val="standardContextual"/>
        </w:rPr>
      </w:pPr>
      <w:hyperlink w:anchor="_Toc231082800" w:history="1">
        <w:r w:rsidRPr="0011223F">
          <w:rPr>
            <w:rStyle w:val="Hipervnculo"/>
            <w:noProof/>
          </w:rPr>
          <w:t>3.6.6 Comparación entre mercados: triangulación (OE6)</w:t>
        </w:r>
        <w:r>
          <w:rPr>
            <w:noProof/>
            <w:webHidden/>
          </w:rPr>
          <w:tab/>
        </w:r>
        <w:r>
          <w:rPr>
            <w:noProof/>
            <w:webHidden/>
          </w:rPr>
          <w:fldChar w:fldCharType="begin"/>
        </w:r>
        <w:r>
          <w:rPr>
            <w:noProof/>
            <w:webHidden/>
          </w:rPr>
          <w:instrText xml:space="preserve"> PAGEREF _Toc231082800 \h </w:instrText>
        </w:r>
        <w:r>
          <w:rPr>
            <w:noProof/>
            <w:webHidden/>
          </w:rPr>
        </w:r>
        <w:r>
          <w:rPr>
            <w:noProof/>
            <w:webHidden/>
          </w:rPr>
          <w:fldChar w:fldCharType="separate"/>
        </w:r>
        <w:r>
          <w:rPr>
            <w:noProof/>
            <w:webHidden/>
          </w:rPr>
          <w:t>24</w:t>
        </w:r>
        <w:r>
          <w:rPr>
            <w:noProof/>
            <w:webHidden/>
          </w:rPr>
          <w:fldChar w:fldCharType="end"/>
        </w:r>
      </w:hyperlink>
    </w:p>
    <w:p w14:paraId="09D688C1" w14:textId="0C7A1881"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01" w:history="1">
        <w:r w:rsidRPr="0011223F">
          <w:rPr>
            <w:rStyle w:val="Hipervnculo"/>
            <w:noProof/>
          </w:rPr>
          <w:t>3.7 Validación de supuestos y robustez</w:t>
        </w:r>
        <w:r>
          <w:rPr>
            <w:noProof/>
            <w:webHidden/>
          </w:rPr>
          <w:tab/>
        </w:r>
        <w:r>
          <w:rPr>
            <w:noProof/>
            <w:webHidden/>
          </w:rPr>
          <w:fldChar w:fldCharType="begin"/>
        </w:r>
        <w:r>
          <w:rPr>
            <w:noProof/>
            <w:webHidden/>
          </w:rPr>
          <w:instrText xml:space="preserve"> PAGEREF _Toc231082801 \h </w:instrText>
        </w:r>
        <w:r>
          <w:rPr>
            <w:noProof/>
            <w:webHidden/>
          </w:rPr>
        </w:r>
        <w:r>
          <w:rPr>
            <w:noProof/>
            <w:webHidden/>
          </w:rPr>
          <w:fldChar w:fldCharType="separate"/>
        </w:r>
        <w:r>
          <w:rPr>
            <w:noProof/>
            <w:webHidden/>
          </w:rPr>
          <w:t>25</w:t>
        </w:r>
        <w:r>
          <w:rPr>
            <w:noProof/>
            <w:webHidden/>
          </w:rPr>
          <w:fldChar w:fldCharType="end"/>
        </w:r>
      </w:hyperlink>
    </w:p>
    <w:p w14:paraId="064911C8" w14:textId="7B8366EB" w:rsidR="00CA5D84" w:rsidRDefault="00CA5D84">
      <w:pPr>
        <w:pStyle w:val="TDC3"/>
        <w:tabs>
          <w:tab w:val="right" w:leader="dot" w:pos="8832"/>
        </w:tabs>
        <w:rPr>
          <w:rFonts w:asciiTheme="minorHAnsi" w:hAnsiTheme="minorHAnsi"/>
          <w:noProof/>
          <w:kern w:val="2"/>
          <w:szCs w:val="24"/>
          <w:lang w:val="es-CL" w:eastAsia="es-CL"/>
          <w14:ligatures w14:val="standardContextual"/>
        </w:rPr>
      </w:pPr>
      <w:hyperlink w:anchor="_Toc231082802" w:history="1">
        <w:r w:rsidRPr="0011223F">
          <w:rPr>
            <w:rStyle w:val="Hipervnculo"/>
            <w:noProof/>
          </w:rPr>
          <w:t>Tabla 3.1 — Definición operativa de variables (resumen)</w:t>
        </w:r>
        <w:r>
          <w:rPr>
            <w:noProof/>
            <w:webHidden/>
          </w:rPr>
          <w:tab/>
        </w:r>
        <w:r>
          <w:rPr>
            <w:noProof/>
            <w:webHidden/>
          </w:rPr>
          <w:fldChar w:fldCharType="begin"/>
        </w:r>
        <w:r>
          <w:rPr>
            <w:noProof/>
            <w:webHidden/>
          </w:rPr>
          <w:instrText xml:space="preserve"> PAGEREF _Toc231082802 \h </w:instrText>
        </w:r>
        <w:r>
          <w:rPr>
            <w:noProof/>
            <w:webHidden/>
          </w:rPr>
        </w:r>
        <w:r>
          <w:rPr>
            <w:noProof/>
            <w:webHidden/>
          </w:rPr>
          <w:fldChar w:fldCharType="separate"/>
        </w:r>
        <w:r>
          <w:rPr>
            <w:noProof/>
            <w:webHidden/>
          </w:rPr>
          <w:t>26</w:t>
        </w:r>
        <w:r>
          <w:rPr>
            <w:noProof/>
            <w:webHidden/>
          </w:rPr>
          <w:fldChar w:fldCharType="end"/>
        </w:r>
      </w:hyperlink>
    </w:p>
    <w:p w14:paraId="3C3BEBF1" w14:textId="46D9B4DB" w:rsidR="00CA5D84" w:rsidRDefault="00CA5D84">
      <w:pPr>
        <w:pStyle w:val="TDC1"/>
        <w:tabs>
          <w:tab w:val="right" w:leader="dot" w:pos="8832"/>
        </w:tabs>
        <w:rPr>
          <w:rFonts w:asciiTheme="minorHAnsi" w:hAnsiTheme="minorHAnsi"/>
          <w:noProof/>
          <w:kern w:val="2"/>
          <w:szCs w:val="24"/>
          <w:lang w:val="es-CL" w:eastAsia="es-CL"/>
          <w14:ligatures w14:val="standardContextual"/>
        </w:rPr>
      </w:pPr>
      <w:hyperlink w:anchor="_Toc231082803" w:history="1">
        <w:r w:rsidRPr="0011223F">
          <w:rPr>
            <w:rStyle w:val="Hipervnculo"/>
            <w:noProof/>
          </w:rPr>
          <w:t>Capítulo 4 — Resultados y discusión</w:t>
        </w:r>
        <w:r>
          <w:rPr>
            <w:noProof/>
            <w:webHidden/>
          </w:rPr>
          <w:tab/>
        </w:r>
        <w:r>
          <w:rPr>
            <w:noProof/>
            <w:webHidden/>
          </w:rPr>
          <w:fldChar w:fldCharType="begin"/>
        </w:r>
        <w:r>
          <w:rPr>
            <w:noProof/>
            <w:webHidden/>
          </w:rPr>
          <w:instrText xml:space="preserve"> PAGEREF _Toc231082803 \h </w:instrText>
        </w:r>
        <w:r>
          <w:rPr>
            <w:noProof/>
            <w:webHidden/>
          </w:rPr>
        </w:r>
        <w:r>
          <w:rPr>
            <w:noProof/>
            <w:webHidden/>
          </w:rPr>
          <w:fldChar w:fldCharType="separate"/>
        </w:r>
        <w:r>
          <w:rPr>
            <w:noProof/>
            <w:webHidden/>
          </w:rPr>
          <w:t>27</w:t>
        </w:r>
        <w:r>
          <w:rPr>
            <w:noProof/>
            <w:webHidden/>
          </w:rPr>
          <w:fldChar w:fldCharType="end"/>
        </w:r>
      </w:hyperlink>
    </w:p>
    <w:p w14:paraId="61D73E90" w14:textId="68A3BFE3"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04" w:history="1">
        <w:r w:rsidRPr="0011223F">
          <w:rPr>
            <w:rStyle w:val="Hipervnculo"/>
            <w:noProof/>
          </w:rPr>
          <w:t>4.1 Análisis descriptivo y propiedades de las series (OE1)</w:t>
        </w:r>
        <w:r>
          <w:rPr>
            <w:noProof/>
            <w:webHidden/>
          </w:rPr>
          <w:tab/>
        </w:r>
        <w:r>
          <w:rPr>
            <w:noProof/>
            <w:webHidden/>
          </w:rPr>
          <w:fldChar w:fldCharType="begin"/>
        </w:r>
        <w:r>
          <w:rPr>
            <w:noProof/>
            <w:webHidden/>
          </w:rPr>
          <w:instrText xml:space="preserve"> PAGEREF _Toc231082804 \h </w:instrText>
        </w:r>
        <w:r>
          <w:rPr>
            <w:noProof/>
            <w:webHidden/>
          </w:rPr>
        </w:r>
        <w:r>
          <w:rPr>
            <w:noProof/>
            <w:webHidden/>
          </w:rPr>
          <w:fldChar w:fldCharType="separate"/>
        </w:r>
        <w:r>
          <w:rPr>
            <w:noProof/>
            <w:webHidden/>
          </w:rPr>
          <w:t>27</w:t>
        </w:r>
        <w:r>
          <w:rPr>
            <w:noProof/>
            <w:webHidden/>
          </w:rPr>
          <w:fldChar w:fldCharType="end"/>
        </w:r>
      </w:hyperlink>
    </w:p>
    <w:p w14:paraId="1987F521" w14:textId="5A1189D4"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05" w:history="1">
        <w:r w:rsidRPr="0011223F">
          <w:rPr>
            <w:rStyle w:val="Hipervnculo"/>
            <w:noProof/>
          </w:rPr>
          <w:t>4.2 Determinantes de los retornos: global vs local (OE2)</w:t>
        </w:r>
        <w:r>
          <w:rPr>
            <w:noProof/>
            <w:webHidden/>
          </w:rPr>
          <w:tab/>
        </w:r>
        <w:r>
          <w:rPr>
            <w:noProof/>
            <w:webHidden/>
          </w:rPr>
          <w:fldChar w:fldCharType="begin"/>
        </w:r>
        <w:r>
          <w:rPr>
            <w:noProof/>
            <w:webHidden/>
          </w:rPr>
          <w:instrText xml:space="preserve"> PAGEREF _Toc231082805 \h </w:instrText>
        </w:r>
        <w:r>
          <w:rPr>
            <w:noProof/>
            <w:webHidden/>
          </w:rPr>
        </w:r>
        <w:r>
          <w:rPr>
            <w:noProof/>
            <w:webHidden/>
          </w:rPr>
          <w:fldChar w:fldCharType="separate"/>
        </w:r>
        <w:r>
          <w:rPr>
            <w:noProof/>
            <w:webHidden/>
          </w:rPr>
          <w:t>28</w:t>
        </w:r>
        <w:r>
          <w:rPr>
            <w:noProof/>
            <w:webHidden/>
          </w:rPr>
          <w:fldChar w:fldCharType="end"/>
        </w:r>
      </w:hyperlink>
    </w:p>
    <w:p w14:paraId="0FD3AC29" w14:textId="083B824E"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06" w:history="1">
        <w:r w:rsidRPr="0011223F">
          <w:rPr>
            <w:rStyle w:val="Hipervnculo"/>
            <w:noProof/>
          </w:rPr>
          <w:t>4.3 Relaciones de largo plazo (OE3)</w:t>
        </w:r>
        <w:r>
          <w:rPr>
            <w:noProof/>
            <w:webHidden/>
          </w:rPr>
          <w:tab/>
        </w:r>
        <w:r>
          <w:rPr>
            <w:noProof/>
            <w:webHidden/>
          </w:rPr>
          <w:fldChar w:fldCharType="begin"/>
        </w:r>
        <w:r>
          <w:rPr>
            <w:noProof/>
            <w:webHidden/>
          </w:rPr>
          <w:instrText xml:space="preserve"> PAGEREF _Toc231082806 \h </w:instrText>
        </w:r>
        <w:r>
          <w:rPr>
            <w:noProof/>
            <w:webHidden/>
          </w:rPr>
        </w:r>
        <w:r>
          <w:rPr>
            <w:noProof/>
            <w:webHidden/>
          </w:rPr>
          <w:fldChar w:fldCharType="separate"/>
        </w:r>
        <w:r>
          <w:rPr>
            <w:noProof/>
            <w:webHidden/>
          </w:rPr>
          <w:t>30</w:t>
        </w:r>
        <w:r>
          <w:rPr>
            <w:noProof/>
            <w:webHidden/>
          </w:rPr>
          <w:fldChar w:fldCharType="end"/>
        </w:r>
      </w:hyperlink>
    </w:p>
    <w:p w14:paraId="46806B13" w14:textId="3FAC7E65"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07" w:history="1">
        <w:r w:rsidRPr="0011223F">
          <w:rPr>
            <w:rStyle w:val="Hipervnculo"/>
            <w:noProof/>
          </w:rPr>
          <w:t>4.4 Dinámica de shocks (OE4)</w:t>
        </w:r>
        <w:r>
          <w:rPr>
            <w:noProof/>
            <w:webHidden/>
          </w:rPr>
          <w:tab/>
        </w:r>
        <w:r>
          <w:rPr>
            <w:noProof/>
            <w:webHidden/>
          </w:rPr>
          <w:fldChar w:fldCharType="begin"/>
        </w:r>
        <w:r>
          <w:rPr>
            <w:noProof/>
            <w:webHidden/>
          </w:rPr>
          <w:instrText xml:space="preserve"> PAGEREF _Toc231082807 \h </w:instrText>
        </w:r>
        <w:r>
          <w:rPr>
            <w:noProof/>
            <w:webHidden/>
          </w:rPr>
        </w:r>
        <w:r>
          <w:rPr>
            <w:noProof/>
            <w:webHidden/>
          </w:rPr>
          <w:fldChar w:fldCharType="separate"/>
        </w:r>
        <w:r>
          <w:rPr>
            <w:noProof/>
            <w:webHidden/>
          </w:rPr>
          <w:t>31</w:t>
        </w:r>
        <w:r>
          <w:rPr>
            <w:noProof/>
            <w:webHidden/>
          </w:rPr>
          <w:fldChar w:fldCharType="end"/>
        </w:r>
      </w:hyperlink>
    </w:p>
    <w:p w14:paraId="47988AFF" w14:textId="0B9B1376"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08" w:history="1">
        <w:r w:rsidRPr="0011223F">
          <w:rPr>
            <w:rStyle w:val="Hipervnculo"/>
            <w:noProof/>
          </w:rPr>
          <w:t>4.5 Estabilidad por fases del ciclo del cobre (OE5)</w:t>
        </w:r>
        <w:r>
          <w:rPr>
            <w:noProof/>
            <w:webHidden/>
          </w:rPr>
          <w:tab/>
        </w:r>
        <w:r>
          <w:rPr>
            <w:noProof/>
            <w:webHidden/>
          </w:rPr>
          <w:fldChar w:fldCharType="begin"/>
        </w:r>
        <w:r>
          <w:rPr>
            <w:noProof/>
            <w:webHidden/>
          </w:rPr>
          <w:instrText xml:space="preserve"> PAGEREF _Toc231082808 \h </w:instrText>
        </w:r>
        <w:r>
          <w:rPr>
            <w:noProof/>
            <w:webHidden/>
          </w:rPr>
        </w:r>
        <w:r>
          <w:rPr>
            <w:noProof/>
            <w:webHidden/>
          </w:rPr>
          <w:fldChar w:fldCharType="separate"/>
        </w:r>
        <w:r>
          <w:rPr>
            <w:noProof/>
            <w:webHidden/>
          </w:rPr>
          <w:t>33</w:t>
        </w:r>
        <w:r>
          <w:rPr>
            <w:noProof/>
            <w:webHidden/>
          </w:rPr>
          <w:fldChar w:fldCharType="end"/>
        </w:r>
      </w:hyperlink>
    </w:p>
    <w:p w14:paraId="42194356" w14:textId="3461A8E2"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09" w:history="1">
        <w:r w:rsidRPr="0011223F">
          <w:rPr>
            <w:rStyle w:val="Hipervnculo"/>
            <w:noProof/>
          </w:rPr>
          <w:t>4.6 Comparación entre mercados: triangulación (OE6)</w:t>
        </w:r>
        <w:r>
          <w:rPr>
            <w:noProof/>
            <w:webHidden/>
          </w:rPr>
          <w:tab/>
        </w:r>
        <w:r>
          <w:rPr>
            <w:noProof/>
            <w:webHidden/>
          </w:rPr>
          <w:fldChar w:fldCharType="begin"/>
        </w:r>
        <w:r>
          <w:rPr>
            <w:noProof/>
            <w:webHidden/>
          </w:rPr>
          <w:instrText xml:space="preserve"> PAGEREF _Toc231082809 \h </w:instrText>
        </w:r>
        <w:r>
          <w:rPr>
            <w:noProof/>
            <w:webHidden/>
          </w:rPr>
        </w:r>
        <w:r>
          <w:rPr>
            <w:noProof/>
            <w:webHidden/>
          </w:rPr>
          <w:fldChar w:fldCharType="separate"/>
        </w:r>
        <w:r>
          <w:rPr>
            <w:noProof/>
            <w:webHidden/>
          </w:rPr>
          <w:t>34</w:t>
        </w:r>
        <w:r>
          <w:rPr>
            <w:noProof/>
            <w:webHidden/>
          </w:rPr>
          <w:fldChar w:fldCharType="end"/>
        </w:r>
      </w:hyperlink>
    </w:p>
    <w:p w14:paraId="5E3906E4" w14:textId="19CB4694"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10" w:history="1">
        <w:r w:rsidRPr="0011223F">
          <w:rPr>
            <w:rStyle w:val="Hipervnculo"/>
            <w:noProof/>
          </w:rPr>
          <w:t>4.7 Diagnósticos y robustez</w:t>
        </w:r>
        <w:r>
          <w:rPr>
            <w:noProof/>
            <w:webHidden/>
          </w:rPr>
          <w:tab/>
        </w:r>
        <w:r>
          <w:rPr>
            <w:noProof/>
            <w:webHidden/>
          </w:rPr>
          <w:fldChar w:fldCharType="begin"/>
        </w:r>
        <w:r>
          <w:rPr>
            <w:noProof/>
            <w:webHidden/>
          </w:rPr>
          <w:instrText xml:space="preserve"> PAGEREF _Toc231082810 \h </w:instrText>
        </w:r>
        <w:r>
          <w:rPr>
            <w:noProof/>
            <w:webHidden/>
          </w:rPr>
        </w:r>
        <w:r>
          <w:rPr>
            <w:noProof/>
            <w:webHidden/>
          </w:rPr>
          <w:fldChar w:fldCharType="separate"/>
        </w:r>
        <w:r>
          <w:rPr>
            <w:noProof/>
            <w:webHidden/>
          </w:rPr>
          <w:t>36</w:t>
        </w:r>
        <w:r>
          <w:rPr>
            <w:noProof/>
            <w:webHidden/>
          </w:rPr>
          <w:fldChar w:fldCharType="end"/>
        </w:r>
      </w:hyperlink>
    </w:p>
    <w:p w14:paraId="4CCA5210" w14:textId="000677EF"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11" w:history="1">
        <w:r w:rsidRPr="0011223F">
          <w:rPr>
            <w:rStyle w:val="Hipervnculo"/>
            <w:noProof/>
          </w:rPr>
          <w:t>4.8 Discusión integrada</w:t>
        </w:r>
        <w:r>
          <w:rPr>
            <w:noProof/>
            <w:webHidden/>
          </w:rPr>
          <w:tab/>
        </w:r>
        <w:r>
          <w:rPr>
            <w:noProof/>
            <w:webHidden/>
          </w:rPr>
          <w:fldChar w:fldCharType="begin"/>
        </w:r>
        <w:r>
          <w:rPr>
            <w:noProof/>
            <w:webHidden/>
          </w:rPr>
          <w:instrText xml:space="preserve"> PAGEREF _Toc231082811 \h </w:instrText>
        </w:r>
        <w:r>
          <w:rPr>
            <w:noProof/>
            <w:webHidden/>
          </w:rPr>
        </w:r>
        <w:r>
          <w:rPr>
            <w:noProof/>
            <w:webHidden/>
          </w:rPr>
          <w:fldChar w:fldCharType="separate"/>
        </w:r>
        <w:r>
          <w:rPr>
            <w:noProof/>
            <w:webHidden/>
          </w:rPr>
          <w:t>39</w:t>
        </w:r>
        <w:r>
          <w:rPr>
            <w:noProof/>
            <w:webHidden/>
          </w:rPr>
          <w:fldChar w:fldCharType="end"/>
        </w:r>
      </w:hyperlink>
    </w:p>
    <w:p w14:paraId="08BB059C" w14:textId="45842CD0" w:rsidR="00CA5D84" w:rsidRDefault="00CA5D84">
      <w:pPr>
        <w:pStyle w:val="TDC1"/>
        <w:tabs>
          <w:tab w:val="right" w:leader="dot" w:pos="8832"/>
        </w:tabs>
        <w:rPr>
          <w:rFonts w:asciiTheme="minorHAnsi" w:hAnsiTheme="minorHAnsi"/>
          <w:noProof/>
          <w:kern w:val="2"/>
          <w:szCs w:val="24"/>
          <w:lang w:val="es-CL" w:eastAsia="es-CL"/>
          <w14:ligatures w14:val="standardContextual"/>
        </w:rPr>
      </w:pPr>
      <w:hyperlink w:anchor="_Toc231082812" w:history="1">
        <w:r w:rsidRPr="0011223F">
          <w:rPr>
            <w:rStyle w:val="Hipervnculo"/>
            <w:noProof/>
          </w:rPr>
          <w:t>Capítulo 5 — Conclusiones</w:t>
        </w:r>
        <w:r>
          <w:rPr>
            <w:noProof/>
            <w:webHidden/>
          </w:rPr>
          <w:tab/>
        </w:r>
        <w:r>
          <w:rPr>
            <w:noProof/>
            <w:webHidden/>
          </w:rPr>
          <w:fldChar w:fldCharType="begin"/>
        </w:r>
        <w:r>
          <w:rPr>
            <w:noProof/>
            <w:webHidden/>
          </w:rPr>
          <w:instrText xml:space="preserve"> PAGEREF _Toc231082812 \h </w:instrText>
        </w:r>
        <w:r>
          <w:rPr>
            <w:noProof/>
            <w:webHidden/>
          </w:rPr>
        </w:r>
        <w:r>
          <w:rPr>
            <w:noProof/>
            <w:webHidden/>
          </w:rPr>
          <w:fldChar w:fldCharType="separate"/>
        </w:r>
        <w:r>
          <w:rPr>
            <w:noProof/>
            <w:webHidden/>
          </w:rPr>
          <w:t>41</w:t>
        </w:r>
        <w:r>
          <w:rPr>
            <w:noProof/>
            <w:webHidden/>
          </w:rPr>
          <w:fldChar w:fldCharType="end"/>
        </w:r>
      </w:hyperlink>
    </w:p>
    <w:p w14:paraId="09D2E454" w14:textId="2F9DF41F"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13" w:history="1">
        <w:r w:rsidRPr="0011223F">
          <w:rPr>
            <w:rStyle w:val="Hipervnculo"/>
            <w:noProof/>
          </w:rPr>
          <w:t>5.1 Síntesis de los hallazgos</w:t>
        </w:r>
        <w:r>
          <w:rPr>
            <w:noProof/>
            <w:webHidden/>
          </w:rPr>
          <w:tab/>
        </w:r>
        <w:r>
          <w:rPr>
            <w:noProof/>
            <w:webHidden/>
          </w:rPr>
          <w:fldChar w:fldCharType="begin"/>
        </w:r>
        <w:r>
          <w:rPr>
            <w:noProof/>
            <w:webHidden/>
          </w:rPr>
          <w:instrText xml:space="preserve"> PAGEREF _Toc231082813 \h </w:instrText>
        </w:r>
        <w:r>
          <w:rPr>
            <w:noProof/>
            <w:webHidden/>
          </w:rPr>
        </w:r>
        <w:r>
          <w:rPr>
            <w:noProof/>
            <w:webHidden/>
          </w:rPr>
          <w:fldChar w:fldCharType="separate"/>
        </w:r>
        <w:r>
          <w:rPr>
            <w:noProof/>
            <w:webHidden/>
          </w:rPr>
          <w:t>41</w:t>
        </w:r>
        <w:r>
          <w:rPr>
            <w:noProof/>
            <w:webHidden/>
          </w:rPr>
          <w:fldChar w:fldCharType="end"/>
        </w:r>
      </w:hyperlink>
    </w:p>
    <w:p w14:paraId="7A8E15E5" w14:textId="7D8268BC"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14" w:history="1">
        <w:r w:rsidRPr="0011223F">
          <w:rPr>
            <w:rStyle w:val="Hipervnculo"/>
            <w:noProof/>
          </w:rPr>
          <w:t>5.2 Implicancias</w:t>
        </w:r>
        <w:r>
          <w:rPr>
            <w:noProof/>
            <w:webHidden/>
          </w:rPr>
          <w:tab/>
        </w:r>
        <w:r>
          <w:rPr>
            <w:noProof/>
            <w:webHidden/>
          </w:rPr>
          <w:fldChar w:fldCharType="begin"/>
        </w:r>
        <w:r>
          <w:rPr>
            <w:noProof/>
            <w:webHidden/>
          </w:rPr>
          <w:instrText xml:space="preserve"> PAGEREF _Toc231082814 \h </w:instrText>
        </w:r>
        <w:r>
          <w:rPr>
            <w:noProof/>
            <w:webHidden/>
          </w:rPr>
        </w:r>
        <w:r>
          <w:rPr>
            <w:noProof/>
            <w:webHidden/>
          </w:rPr>
          <w:fldChar w:fldCharType="separate"/>
        </w:r>
        <w:r>
          <w:rPr>
            <w:noProof/>
            <w:webHidden/>
          </w:rPr>
          <w:t>42</w:t>
        </w:r>
        <w:r>
          <w:rPr>
            <w:noProof/>
            <w:webHidden/>
          </w:rPr>
          <w:fldChar w:fldCharType="end"/>
        </w:r>
      </w:hyperlink>
    </w:p>
    <w:p w14:paraId="37EAF8EA" w14:textId="37C485D6"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15" w:history="1">
        <w:r w:rsidRPr="0011223F">
          <w:rPr>
            <w:rStyle w:val="Hipervnculo"/>
            <w:noProof/>
          </w:rPr>
          <w:t>5.3 Limitaciones</w:t>
        </w:r>
        <w:r>
          <w:rPr>
            <w:noProof/>
            <w:webHidden/>
          </w:rPr>
          <w:tab/>
        </w:r>
        <w:r>
          <w:rPr>
            <w:noProof/>
            <w:webHidden/>
          </w:rPr>
          <w:fldChar w:fldCharType="begin"/>
        </w:r>
        <w:r>
          <w:rPr>
            <w:noProof/>
            <w:webHidden/>
          </w:rPr>
          <w:instrText xml:space="preserve"> PAGEREF _Toc231082815 \h </w:instrText>
        </w:r>
        <w:r>
          <w:rPr>
            <w:noProof/>
            <w:webHidden/>
          </w:rPr>
        </w:r>
        <w:r>
          <w:rPr>
            <w:noProof/>
            <w:webHidden/>
          </w:rPr>
          <w:fldChar w:fldCharType="separate"/>
        </w:r>
        <w:r>
          <w:rPr>
            <w:noProof/>
            <w:webHidden/>
          </w:rPr>
          <w:t>42</w:t>
        </w:r>
        <w:r>
          <w:rPr>
            <w:noProof/>
            <w:webHidden/>
          </w:rPr>
          <w:fldChar w:fldCharType="end"/>
        </w:r>
      </w:hyperlink>
    </w:p>
    <w:p w14:paraId="4C5BF343" w14:textId="623E2CCD"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16" w:history="1">
        <w:r w:rsidRPr="0011223F">
          <w:rPr>
            <w:rStyle w:val="Hipervnculo"/>
            <w:noProof/>
          </w:rPr>
          <w:t>5.4 Líneas futuras de investigación</w:t>
        </w:r>
        <w:r>
          <w:rPr>
            <w:noProof/>
            <w:webHidden/>
          </w:rPr>
          <w:tab/>
        </w:r>
        <w:r>
          <w:rPr>
            <w:noProof/>
            <w:webHidden/>
          </w:rPr>
          <w:fldChar w:fldCharType="begin"/>
        </w:r>
        <w:r>
          <w:rPr>
            <w:noProof/>
            <w:webHidden/>
          </w:rPr>
          <w:instrText xml:space="preserve"> PAGEREF _Toc231082816 \h </w:instrText>
        </w:r>
        <w:r>
          <w:rPr>
            <w:noProof/>
            <w:webHidden/>
          </w:rPr>
        </w:r>
        <w:r>
          <w:rPr>
            <w:noProof/>
            <w:webHidden/>
          </w:rPr>
          <w:fldChar w:fldCharType="separate"/>
        </w:r>
        <w:r>
          <w:rPr>
            <w:noProof/>
            <w:webHidden/>
          </w:rPr>
          <w:t>42</w:t>
        </w:r>
        <w:r>
          <w:rPr>
            <w:noProof/>
            <w:webHidden/>
          </w:rPr>
          <w:fldChar w:fldCharType="end"/>
        </w:r>
      </w:hyperlink>
    </w:p>
    <w:p w14:paraId="7E902B66" w14:textId="333A8257" w:rsidR="00CA5D84" w:rsidRDefault="00CA5D84">
      <w:pPr>
        <w:pStyle w:val="TDC1"/>
        <w:tabs>
          <w:tab w:val="right" w:leader="dot" w:pos="8832"/>
        </w:tabs>
        <w:rPr>
          <w:rFonts w:asciiTheme="minorHAnsi" w:hAnsiTheme="minorHAnsi"/>
          <w:noProof/>
          <w:kern w:val="2"/>
          <w:szCs w:val="24"/>
          <w:lang w:val="es-CL" w:eastAsia="es-CL"/>
          <w14:ligatures w14:val="standardContextual"/>
        </w:rPr>
      </w:pPr>
      <w:hyperlink w:anchor="_Toc231082817" w:history="1">
        <w:r w:rsidRPr="0011223F">
          <w:rPr>
            <w:rStyle w:val="Hipervnculo"/>
            <w:noProof/>
          </w:rPr>
          <w:t>Referencias</w:t>
        </w:r>
        <w:r>
          <w:rPr>
            <w:noProof/>
            <w:webHidden/>
          </w:rPr>
          <w:tab/>
        </w:r>
        <w:r>
          <w:rPr>
            <w:noProof/>
            <w:webHidden/>
          </w:rPr>
          <w:fldChar w:fldCharType="begin"/>
        </w:r>
        <w:r>
          <w:rPr>
            <w:noProof/>
            <w:webHidden/>
          </w:rPr>
          <w:instrText xml:space="preserve"> PAGEREF _Toc231082817 \h </w:instrText>
        </w:r>
        <w:r>
          <w:rPr>
            <w:noProof/>
            <w:webHidden/>
          </w:rPr>
        </w:r>
        <w:r>
          <w:rPr>
            <w:noProof/>
            <w:webHidden/>
          </w:rPr>
          <w:fldChar w:fldCharType="separate"/>
        </w:r>
        <w:r>
          <w:rPr>
            <w:noProof/>
            <w:webHidden/>
          </w:rPr>
          <w:t>44</w:t>
        </w:r>
        <w:r>
          <w:rPr>
            <w:noProof/>
            <w:webHidden/>
          </w:rPr>
          <w:fldChar w:fldCharType="end"/>
        </w:r>
      </w:hyperlink>
    </w:p>
    <w:p w14:paraId="7BDDF4FE" w14:textId="002D2B89" w:rsidR="00CA5D84" w:rsidRDefault="00CA5D84">
      <w:pPr>
        <w:pStyle w:val="TDC1"/>
        <w:tabs>
          <w:tab w:val="right" w:leader="dot" w:pos="8832"/>
        </w:tabs>
        <w:rPr>
          <w:rFonts w:asciiTheme="minorHAnsi" w:hAnsiTheme="minorHAnsi"/>
          <w:noProof/>
          <w:kern w:val="2"/>
          <w:szCs w:val="24"/>
          <w:lang w:val="es-CL" w:eastAsia="es-CL"/>
          <w14:ligatures w14:val="standardContextual"/>
        </w:rPr>
      </w:pPr>
      <w:hyperlink w:anchor="_Toc231082818" w:history="1">
        <w:r w:rsidRPr="0011223F">
          <w:rPr>
            <w:rStyle w:val="Hipervnculo"/>
            <w:noProof/>
          </w:rPr>
          <w:t>Anexos</w:t>
        </w:r>
        <w:r>
          <w:rPr>
            <w:noProof/>
            <w:webHidden/>
          </w:rPr>
          <w:tab/>
        </w:r>
        <w:r>
          <w:rPr>
            <w:noProof/>
            <w:webHidden/>
          </w:rPr>
          <w:fldChar w:fldCharType="begin"/>
        </w:r>
        <w:r>
          <w:rPr>
            <w:noProof/>
            <w:webHidden/>
          </w:rPr>
          <w:instrText xml:space="preserve"> PAGEREF _Toc231082818 \h </w:instrText>
        </w:r>
        <w:r>
          <w:rPr>
            <w:noProof/>
            <w:webHidden/>
          </w:rPr>
        </w:r>
        <w:r>
          <w:rPr>
            <w:noProof/>
            <w:webHidden/>
          </w:rPr>
          <w:fldChar w:fldCharType="separate"/>
        </w:r>
        <w:r>
          <w:rPr>
            <w:noProof/>
            <w:webHidden/>
          </w:rPr>
          <w:t>48</w:t>
        </w:r>
        <w:r>
          <w:rPr>
            <w:noProof/>
            <w:webHidden/>
          </w:rPr>
          <w:fldChar w:fldCharType="end"/>
        </w:r>
      </w:hyperlink>
    </w:p>
    <w:p w14:paraId="0D0CA7BE" w14:textId="22DE9B76"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19" w:history="1">
        <w:r w:rsidRPr="0011223F">
          <w:rPr>
            <w:rStyle w:val="Hipervnculo"/>
            <w:noProof/>
          </w:rPr>
          <w:t>Anexo A. Estadística descriptiva</w:t>
        </w:r>
        <w:r>
          <w:rPr>
            <w:noProof/>
            <w:webHidden/>
          </w:rPr>
          <w:tab/>
        </w:r>
        <w:r>
          <w:rPr>
            <w:noProof/>
            <w:webHidden/>
          </w:rPr>
          <w:fldChar w:fldCharType="begin"/>
        </w:r>
        <w:r>
          <w:rPr>
            <w:noProof/>
            <w:webHidden/>
          </w:rPr>
          <w:instrText xml:space="preserve"> PAGEREF _Toc231082819 \h </w:instrText>
        </w:r>
        <w:r>
          <w:rPr>
            <w:noProof/>
            <w:webHidden/>
          </w:rPr>
        </w:r>
        <w:r>
          <w:rPr>
            <w:noProof/>
            <w:webHidden/>
          </w:rPr>
          <w:fldChar w:fldCharType="separate"/>
        </w:r>
        <w:r>
          <w:rPr>
            <w:noProof/>
            <w:webHidden/>
          </w:rPr>
          <w:t>48</w:t>
        </w:r>
        <w:r>
          <w:rPr>
            <w:noProof/>
            <w:webHidden/>
          </w:rPr>
          <w:fldChar w:fldCharType="end"/>
        </w:r>
      </w:hyperlink>
    </w:p>
    <w:p w14:paraId="398BD40E" w14:textId="359D9D9D"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20" w:history="1">
        <w:r w:rsidRPr="0011223F">
          <w:rPr>
            <w:rStyle w:val="Hipervnculo"/>
            <w:noProof/>
          </w:rPr>
          <w:t>Anexo B. Matriz de correlación de los factores</w:t>
        </w:r>
        <w:r>
          <w:rPr>
            <w:noProof/>
            <w:webHidden/>
          </w:rPr>
          <w:tab/>
        </w:r>
        <w:r>
          <w:rPr>
            <w:noProof/>
            <w:webHidden/>
          </w:rPr>
          <w:fldChar w:fldCharType="begin"/>
        </w:r>
        <w:r>
          <w:rPr>
            <w:noProof/>
            <w:webHidden/>
          </w:rPr>
          <w:instrText xml:space="preserve"> PAGEREF _Toc231082820 \h </w:instrText>
        </w:r>
        <w:r>
          <w:rPr>
            <w:noProof/>
            <w:webHidden/>
          </w:rPr>
        </w:r>
        <w:r>
          <w:rPr>
            <w:noProof/>
            <w:webHidden/>
          </w:rPr>
          <w:fldChar w:fldCharType="separate"/>
        </w:r>
        <w:r>
          <w:rPr>
            <w:noProof/>
            <w:webHidden/>
          </w:rPr>
          <w:t>48</w:t>
        </w:r>
        <w:r>
          <w:rPr>
            <w:noProof/>
            <w:webHidden/>
          </w:rPr>
          <w:fldChar w:fldCharType="end"/>
        </w:r>
      </w:hyperlink>
    </w:p>
    <w:p w14:paraId="4452E11F" w14:textId="48224DE4"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21" w:history="1">
        <w:r w:rsidRPr="0011223F">
          <w:rPr>
            <w:rStyle w:val="Hipervnculo"/>
            <w:noProof/>
          </w:rPr>
          <w:t>Anexo C. Pruebas de raíz unitaria y orden de integración</w:t>
        </w:r>
        <w:r>
          <w:rPr>
            <w:noProof/>
            <w:webHidden/>
          </w:rPr>
          <w:tab/>
        </w:r>
        <w:r>
          <w:rPr>
            <w:noProof/>
            <w:webHidden/>
          </w:rPr>
          <w:fldChar w:fldCharType="begin"/>
        </w:r>
        <w:r>
          <w:rPr>
            <w:noProof/>
            <w:webHidden/>
          </w:rPr>
          <w:instrText xml:space="preserve"> PAGEREF _Toc231082821 \h </w:instrText>
        </w:r>
        <w:r>
          <w:rPr>
            <w:noProof/>
            <w:webHidden/>
          </w:rPr>
        </w:r>
        <w:r>
          <w:rPr>
            <w:noProof/>
            <w:webHidden/>
          </w:rPr>
          <w:fldChar w:fldCharType="separate"/>
        </w:r>
        <w:r>
          <w:rPr>
            <w:noProof/>
            <w:webHidden/>
          </w:rPr>
          <w:t>49</w:t>
        </w:r>
        <w:r>
          <w:rPr>
            <w:noProof/>
            <w:webHidden/>
          </w:rPr>
          <w:fldChar w:fldCharType="end"/>
        </w:r>
      </w:hyperlink>
    </w:p>
    <w:p w14:paraId="3A933967" w14:textId="761B5433"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22" w:history="1">
        <w:r w:rsidRPr="0011223F">
          <w:rPr>
            <w:rStyle w:val="Hipervnculo"/>
            <w:noProof/>
          </w:rPr>
          <w:t>Anexo D. Resultados completos del modelo de panel</w:t>
        </w:r>
        <w:r>
          <w:rPr>
            <w:noProof/>
            <w:webHidden/>
          </w:rPr>
          <w:tab/>
        </w:r>
        <w:r>
          <w:rPr>
            <w:noProof/>
            <w:webHidden/>
          </w:rPr>
          <w:fldChar w:fldCharType="begin"/>
        </w:r>
        <w:r>
          <w:rPr>
            <w:noProof/>
            <w:webHidden/>
          </w:rPr>
          <w:instrText xml:space="preserve"> PAGEREF _Toc231082822 \h </w:instrText>
        </w:r>
        <w:r>
          <w:rPr>
            <w:noProof/>
            <w:webHidden/>
          </w:rPr>
        </w:r>
        <w:r>
          <w:rPr>
            <w:noProof/>
            <w:webHidden/>
          </w:rPr>
          <w:fldChar w:fldCharType="separate"/>
        </w:r>
        <w:r>
          <w:rPr>
            <w:noProof/>
            <w:webHidden/>
          </w:rPr>
          <w:t>50</w:t>
        </w:r>
        <w:r>
          <w:rPr>
            <w:noProof/>
            <w:webHidden/>
          </w:rPr>
          <w:fldChar w:fldCharType="end"/>
        </w:r>
      </w:hyperlink>
    </w:p>
    <w:p w14:paraId="3D0E07C6" w14:textId="596682F5" w:rsidR="00CA5D84" w:rsidRDefault="00CA5D84">
      <w:pPr>
        <w:pStyle w:val="TDC3"/>
        <w:tabs>
          <w:tab w:val="right" w:leader="dot" w:pos="8832"/>
        </w:tabs>
        <w:rPr>
          <w:rFonts w:asciiTheme="minorHAnsi" w:hAnsiTheme="minorHAnsi"/>
          <w:noProof/>
          <w:kern w:val="2"/>
          <w:szCs w:val="24"/>
          <w:lang w:val="es-CL" w:eastAsia="es-CL"/>
          <w14:ligatures w14:val="standardContextual"/>
        </w:rPr>
      </w:pPr>
      <w:hyperlink w:anchor="_Toc231082823" w:history="1">
        <w:r w:rsidRPr="0011223F">
          <w:rPr>
            <w:rStyle w:val="Hipervnculo"/>
            <w:noProof/>
          </w:rPr>
          <w:t>D.1 Muestra B — cobre, mercado internacional</w:t>
        </w:r>
        <w:r>
          <w:rPr>
            <w:noProof/>
            <w:webHidden/>
          </w:rPr>
          <w:tab/>
        </w:r>
        <w:r>
          <w:rPr>
            <w:noProof/>
            <w:webHidden/>
          </w:rPr>
          <w:fldChar w:fldCharType="begin"/>
        </w:r>
        <w:r>
          <w:rPr>
            <w:noProof/>
            <w:webHidden/>
          </w:rPr>
          <w:instrText xml:space="preserve"> PAGEREF _Toc231082823 \h </w:instrText>
        </w:r>
        <w:r>
          <w:rPr>
            <w:noProof/>
            <w:webHidden/>
          </w:rPr>
        </w:r>
        <w:r>
          <w:rPr>
            <w:noProof/>
            <w:webHidden/>
          </w:rPr>
          <w:fldChar w:fldCharType="separate"/>
        </w:r>
        <w:r>
          <w:rPr>
            <w:noProof/>
            <w:webHidden/>
          </w:rPr>
          <w:t>50</w:t>
        </w:r>
        <w:r>
          <w:rPr>
            <w:noProof/>
            <w:webHidden/>
          </w:rPr>
          <w:fldChar w:fldCharType="end"/>
        </w:r>
      </w:hyperlink>
    </w:p>
    <w:p w14:paraId="5E4D0B39" w14:textId="30C158C0" w:rsidR="00CA5D84" w:rsidRDefault="00CA5D84">
      <w:pPr>
        <w:pStyle w:val="TDC3"/>
        <w:tabs>
          <w:tab w:val="right" w:leader="dot" w:pos="8832"/>
        </w:tabs>
        <w:rPr>
          <w:rFonts w:asciiTheme="minorHAnsi" w:hAnsiTheme="minorHAnsi"/>
          <w:noProof/>
          <w:kern w:val="2"/>
          <w:szCs w:val="24"/>
          <w:lang w:val="es-CL" w:eastAsia="es-CL"/>
          <w14:ligatures w14:val="standardContextual"/>
        </w:rPr>
      </w:pPr>
      <w:hyperlink w:anchor="_Toc231082824" w:history="1">
        <w:r w:rsidRPr="0011223F">
          <w:rPr>
            <w:rStyle w:val="Hipervnculo"/>
            <w:noProof/>
          </w:rPr>
          <w:t>D.2 Muestra A — cobre, mercado chileno (Pucobre)</w:t>
        </w:r>
        <w:r>
          <w:rPr>
            <w:noProof/>
            <w:webHidden/>
          </w:rPr>
          <w:tab/>
        </w:r>
        <w:r>
          <w:rPr>
            <w:noProof/>
            <w:webHidden/>
          </w:rPr>
          <w:fldChar w:fldCharType="begin"/>
        </w:r>
        <w:r>
          <w:rPr>
            <w:noProof/>
            <w:webHidden/>
          </w:rPr>
          <w:instrText xml:space="preserve"> PAGEREF _Toc231082824 \h </w:instrText>
        </w:r>
        <w:r>
          <w:rPr>
            <w:noProof/>
            <w:webHidden/>
          </w:rPr>
        </w:r>
        <w:r>
          <w:rPr>
            <w:noProof/>
            <w:webHidden/>
          </w:rPr>
          <w:fldChar w:fldCharType="separate"/>
        </w:r>
        <w:r>
          <w:rPr>
            <w:noProof/>
            <w:webHidden/>
          </w:rPr>
          <w:t>50</w:t>
        </w:r>
        <w:r>
          <w:rPr>
            <w:noProof/>
            <w:webHidden/>
          </w:rPr>
          <w:fldChar w:fldCharType="end"/>
        </w:r>
      </w:hyperlink>
    </w:p>
    <w:p w14:paraId="4CB470CF" w14:textId="67A541CA" w:rsidR="00CA5D84" w:rsidRDefault="00CA5D84">
      <w:pPr>
        <w:pStyle w:val="TDC3"/>
        <w:tabs>
          <w:tab w:val="right" w:leader="dot" w:pos="8832"/>
        </w:tabs>
        <w:rPr>
          <w:rFonts w:asciiTheme="minorHAnsi" w:hAnsiTheme="minorHAnsi"/>
          <w:noProof/>
          <w:kern w:val="2"/>
          <w:szCs w:val="24"/>
          <w:lang w:val="es-CL" w:eastAsia="es-CL"/>
          <w14:ligatures w14:val="standardContextual"/>
        </w:rPr>
      </w:pPr>
      <w:hyperlink w:anchor="_Toc231082825" w:history="1">
        <w:r w:rsidRPr="0011223F">
          <w:rPr>
            <w:rStyle w:val="Hipervnculo"/>
            <w:noProof/>
          </w:rPr>
          <w:t>D.3 Muestra C — sector minero, mercado chileno</w:t>
        </w:r>
        <w:r>
          <w:rPr>
            <w:noProof/>
            <w:webHidden/>
          </w:rPr>
          <w:tab/>
        </w:r>
        <w:r>
          <w:rPr>
            <w:noProof/>
            <w:webHidden/>
          </w:rPr>
          <w:fldChar w:fldCharType="begin"/>
        </w:r>
        <w:r>
          <w:rPr>
            <w:noProof/>
            <w:webHidden/>
          </w:rPr>
          <w:instrText xml:space="preserve"> PAGEREF _Toc231082825 \h </w:instrText>
        </w:r>
        <w:r>
          <w:rPr>
            <w:noProof/>
            <w:webHidden/>
          </w:rPr>
        </w:r>
        <w:r>
          <w:rPr>
            <w:noProof/>
            <w:webHidden/>
          </w:rPr>
          <w:fldChar w:fldCharType="separate"/>
        </w:r>
        <w:r>
          <w:rPr>
            <w:noProof/>
            <w:webHidden/>
          </w:rPr>
          <w:t>51</w:t>
        </w:r>
        <w:r>
          <w:rPr>
            <w:noProof/>
            <w:webHidden/>
          </w:rPr>
          <w:fldChar w:fldCharType="end"/>
        </w:r>
      </w:hyperlink>
    </w:p>
    <w:p w14:paraId="41588CA4" w14:textId="34191B65"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26" w:history="1">
        <w:r w:rsidRPr="0011223F">
          <w:rPr>
            <w:rStyle w:val="Hipervnculo"/>
            <w:noProof/>
          </w:rPr>
          <w:t>Anexo E. Cointegración (test de Johansen)</w:t>
        </w:r>
        <w:r>
          <w:rPr>
            <w:noProof/>
            <w:webHidden/>
          </w:rPr>
          <w:tab/>
        </w:r>
        <w:r>
          <w:rPr>
            <w:noProof/>
            <w:webHidden/>
          </w:rPr>
          <w:fldChar w:fldCharType="begin"/>
        </w:r>
        <w:r>
          <w:rPr>
            <w:noProof/>
            <w:webHidden/>
          </w:rPr>
          <w:instrText xml:space="preserve"> PAGEREF _Toc231082826 \h </w:instrText>
        </w:r>
        <w:r>
          <w:rPr>
            <w:noProof/>
            <w:webHidden/>
          </w:rPr>
        </w:r>
        <w:r>
          <w:rPr>
            <w:noProof/>
            <w:webHidden/>
          </w:rPr>
          <w:fldChar w:fldCharType="separate"/>
        </w:r>
        <w:r>
          <w:rPr>
            <w:noProof/>
            <w:webHidden/>
          </w:rPr>
          <w:t>51</w:t>
        </w:r>
        <w:r>
          <w:rPr>
            <w:noProof/>
            <w:webHidden/>
          </w:rPr>
          <w:fldChar w:fldCharType="end"/>
        </w:r>
      </w:hyperlink>
    </w:p>
    <w:p w14:paraId="7D184871" w14:textId="3677F95C"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27" w:history="1">
        <w:r w:rsidRPr="0011223F">
          <w:rPr>
            <w:rStyle w:val="Hipervnculo"/>
            <w:noProof/>
          </w:rPr>
          <w:t>Anexo F. Descomposición de varianza (FEVD) por horizonte — muestra B</w:t>
        </w:r>
        <w:r>
          <w:rPr>
            <w:noProof/>
            <w:webHidden/>
          </w:rPr>
          <w:tab/>
        </w:r>
        <w:r>
          <w:rPr>
            <w:noProof/>
            <w:webHidden/>
          </w:rPr>
          <w:fldChar w:fldCharType="begin"/>
        </w:r>
        <w:r>
          <w:rPr>
            <w:noProof/>
            <w:webHidden/>
          </w:rPr>
          <w:instrText xml:space="preserve"> PAGEREF _Toc231082827 \h </w:instrText>
        </w:r>
        <w:r>
          <w:rPr>
            <w:noProof/>
            <w:webHidden/>
          </w:rPr>
        </w:r>
        <w:r>
          <w:rPr>
            <w:noProof/>
            <w:webHidden/>
          </w:rPr>
          <w:fldChar w:fldCharType="separate"/>
        </w:r>
        <w:r>
          <w:rPr>
            <w:noProof/>
            <w:webHidden/>
          </w:rPr>
          <w:t>51</w:t>
        </w:r>
        <w:r>
          <w:rPr>
            <w:noProof/>
            <w:webHidden/>
          </w:rPr>
          <w:fldChar w:fldCharType="end"/>
        </w:r>
      </w:hyperlink>
    </w:p>
    <w:p w14:paraId="27A0013A" w14:textId="0A5F04F0"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28" w:history="1">
        <w:r w:rsidRPr="0011223F">
          <w:rPr>
            <w:rStyle w:val="Hipervnculo"/>
            <w:noProof/>
          </w:rPr>
          <w:t>Anexo G. Fuentes de datos</w:t>
        </w:r>
        <w:r>
          <w:rPr>
            <w:noProof/>
            <w:webHidden/>
          </w:rPr>
          <w:tab/>
        </w:r>
        <w:r>
          <w:rPr>
            <w:noProof/>
            <w:webHidden/>
          </w:rPr>
          <w:fldChar w:fldCharType="begin"/>
        </w:r>
        <w:r>
          <w:rPr>
            <w:noProof/>
            <w:webHidden/>
          </w:rPr>
          <w:instrText xml:space="preserve"> PAGEREF _Toc231082828 \h </w:instrText>
        </w:r>
        <w:r>
          <w:rPr>
            <w:noProof/>
            <w:webHidden/>
          </w:rPr>
        </w:r>
        <w:r>
          <w:rPr>
            <w:noProof/>
            <w:webHidden/>
          </w:rPr>
          <w:fldChar w:fldCharType="separate"/>
        </w:r>
        <w:r>
          <w:rPr>
            <w:noProof/>
            <w:webHidden/>
          </w:rPr>
          <w:t>52</w:t>
        </w:r>
        <w:r>
          <w:rPr>
            <w:noProof/>
            <w:webHidden/>
          </w:rPr>
          <w:fldChar w:fldCharType="end"/>
        </w:r>
      </w:hyperlink>
    </w:p>
    <w:p w14:paraId="405BD062" w14:textId="08210816"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29" w:history="1">
        <w:r w:rsidRPr="0011223F">
          <w:rPr>
            <w:rStyle w:val="Hipervnculo"/>
            <w:noProof/>
          </w:rPr>
          <w:t>Anexo H. Disponibilidad del código</w:t>
        </w:r>
        <w:r>
          <w:rPr>
            <w:noProof/>
            <w:webHidden/>
          </w:rPr>
          <w:tab/>
        </w:r>
        <w:r>
          <w:rPr>
            <w:noProof/>
            <w:webHidden/>
          </w:rPr>
          <w:fldChar w:fldCharType="begin"/>
        </w:r>
        <w:r>
          <w:rPr>
            <w:noProof/>
            <w:webHidden/>
          </w:rPr>
          <w:instrText xml:space="preserve"> PAGEREF _Toc231082829 \h </w:instrText>
        </w:r>
        <w:r>
          <w:rPr>
            <w:noProof/>
            <w:webHidden/>
          </w:rPr>
        </w:r>
        <w:r>
          <w:rPr>
            <w:noProof/>
            <w:webHidden/>
          </w:rPr>
          <w:fldChar w:fldCharType="separate"/>
        </w:r>
        <w:r>
          <w:rPr>
            <w:noProof/>
            <w:webHidden/>
          </w:rPr>
          <w:t>53</w:t>
        </w:r>
        <w:r>
          <w:rPr>
            <w:noProof/>
            <w:webHidden/>
          </w:rPr>
          <w:fldChar w:fldCharType="end"/>
        </w:r>
      </w:hyperlink>
    </w:p>
    <w:p w14:paraId="1D560FED" w14:textId="79B004F1" w:rsidR="00CA5D84" w:rsidRDefault="00CA5D84">
      <w:pPr>
        <w:pStyle w:val="TDC2"/>
        <w:tabs>
          <w:tab w:val="right" w:leader="dot" w:pos="8832"/>
        </w:tabs>
        <w:rPr>
          <w:rFonts w:asciiTheme="minorHAnsi" w:hAnsiTheme="minorHAnsi"/>
          <w:noProof/>
          <w:kern w:val="2"/>
          <w:szCs w:val="24"/>
          <w:lang w:val="es-CL" w:eastAsia="es-CL"/>
          <w14:ligatures w14:val="standardContextual"/>
        </w:rPr>
      </w:pPr>
      <w:hyperlink w:anchor="_Toc231082830" w:history="1">
        <w:r w:rsidRPr="0011223F">
          <w:rPr>
            <w:rStyle w:val="Hipervnculo"/>
            <w:noProof/>
          </w:rPr>
          <w:t>Anexo I. Extensión predictiva: ¿explican o anticipan?</w:t>
        </w:r>
        <w:r>
          <w:rPr>
            <w:noProof/>
            <w:webHidden/>
          </w:rPr>
          <w:tab/>
        </w:r>
        <w:r>
          <w:rPr>
            <w:noProof/>
            <w:webHidden/>
          </w:rPr>
          <w:fldChar w:fldCharType="begin"/>
        </w:r>
        <w:r>
          <w:rPr>
            <w:noProof/>
            <w:webHidden/>
          </w:rPr>
          <w:instrText xml:space="preserve"> PAGEREF _Toc231082830 \h </w:instrText>
        </w:r>
        <w:r>
          <w:rPr>
            <w:noProof/>
            <w:webHidden/>
          </w:rPr>
        </w:r>
        <w:r>
          <w:rPr>
            <w:noProof/>
            <w:webHidden/>
          </w:rPr>
          <w:fldChar w:fldCharType="separate"/>
        </w:r>
        <w:r>
          <w:rPr>
            <w:noProof/>
            <w:webHidden/>
          </w:rPr>
          <w:t>53</w:t>
        </w:r>
        <w:r>
          <w:rPr>
            <w:noProof/>
            <w:webHidden/>
          </w:rPr>
          <w:fldChar w:fldCharType="end"/>
        </w:r>
      </w:hyperlink>
    </w:p>
    <w:p w14:paraId="09ADC627" w14:textId="1BF73B66" w:rsidR="00CA5D84" w:rsidRDefault="00CA5D84">
      <w:pPr>
        <w:pStyle w:val="TDC1"/>
        <w:tabs>
          <w:tab w:val="right" w:leader="dot" w:pos="8832"/>
        </w:tabs>
        <w:rPr>
          <w:rFonts w:asciiTheme="minorHAnsi" w:hAnsiTheme="minorHAnsi"/>
          <w:noProof/>
          <w:kern w:val="2"/>
          <w:szCs w:val="24"/>
          <w:lang w:val="es-CL" w:eastAsia="es-CL"/>
          <w14:ligatures w14:val="standardContextual"/>
        </w:rPr>
      </w:pPr>
      <w:hyperlink w:anchor="_Toc231082831" w:history="1">
        <w:r w:rsidRPr="0011223F">
          <w:rPr>
            <w:rStyle w:val="Hipervnculo"/>
            <w:noProof/>
          </w:rPr>
          <w:t>Glosario de términos econométricos</w:t>
        </w:r>
        <w:r>
          <w:rPr>
            <w:noProof/>
            <w:webHidden/>
          </w:rPr>
          <w:tab/>
        </w:r>
        <w:r>
          <w:rPr>
            <w:noProof/>
            <w:webHidden/>
          </w:rPr>
          <w:fldChar w:fldCharType="begin"/>
        </w:r>
        <w:r>
          <w:rPr>
            <w:noProof/>
            <w:webHidden/>
          </w:rPr>
          <w:instrText xml:space="preserve"> PAGEREF _Toc231082831 \h </w:instrText>
        </w:r>
        <w:r>
          <w:rPr>
            <w:noProof/>
            <w:webHidden/>
          </w:rPr>
        </w:r>
        <w:r>
          <w:rPr>
            <w:noProof/>
            <w:webHidden/>
          </w:rPr>
          <w:fldChar w:fldCharType="separate"/>
        </w:r>
        <w:r>
          <w:rPr>
            <w:noProof/>
            <w:webHidden/>
          </w:rPr>
          <w:t>54</w:t>
        </w:r>
        <w:r>
          <w:rPr>
            <w:noProof/>
            <w:webHidden/>
          </w:rPr>
          <w:fldChar w:fldCharType="end"/>
        </w:r>
      </w:hyperlink>
    </w:p>
    <w:p w14:paraId="46779F99" w14:textId="6A976B7B" w:rsidR="00BE3F39" w:rsidRDefault="00CA5D84">
      <w:r>
        <w:fldChar w:fldCharType="end"/>
      </w:r>
    </w:p>
    <w:p w14:paraId="76329DF9" w14:textId="77777777" w:rsidR="00BE3F39" w:rsidRDefault="00CA5D84">
      <w:r>
        <w:br w:type="page"/>
      </w:r>
    </w:p>
    <w:p w14:paraId="0EE36128" w14:textId="77777777" w:rsidR="00BE3F39" w:rsidRDefault="00CA5D84">
      <w:pPr>
        <w:pStyle w:val="Ttulo1"/>
      </w:pPr>
      <w:bookmarkStart w:id="7" w:name="_Toc231082768"/>
      <w:r>
        <w:lastRenderedPageBreak/>
        <w:t>Índice de tablas</w:t>
      </w:r>
      <w:bookmarkEnd w:id="7"/>
    </w:p>
    <w:p w14:paraId="6BED463E" w14:textId="32D8A4C7"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r>
        <w:fldChar w:fldCharType="begin"/>
      </w:r>
      <w:r>
        <w:instrText>TOC \h \z \c "Tabla"</w:instrText>
      </w:r>
      <w:r>
        <w:fldChar w:fldCharType="separate"/>
      </w:r>
      <w:hyperlink w:anchor="_Toc231082832" w:history="1">
        <w:r w:rsidRPr="00D221C8">
          <w:rPr>
            <w:rStyle w:val="Hipervnculo"/>
            <w:noProof/>
          </w:rPr>
          <w:t>Tabla 1.</w:t>
        </w:r>
        <w:r>
          <w:rPr>
            <w:noProof/>
            <w:webHidden/>
          </w:rPr>
          <w:tab/>
        </w:r>
        <w:r>
          <w:rPr>
            <w:noProof/>
            <w:webHidden/>
          </w:rPr>
          <w:fldChar w:fldCharType="begin"/>
        </w:r>
        <w:r>
          <w:rPr>
            <w:noProof/>
            <w:webHidden/>
          </w:rPr>
          <w:instrText xml:space="preserve"> PAGEREF _Toc231082832 \h </w:instrText>
        </w:r>
        <w:r>
          <w:rPr>
            <w:noProof/>
            <w:webHidden/>
          </w:rPr>
        </w:r>
        <w:r>
          <w:rPr>
            <w:noProof/>
            <w:webHidden/>
          </w:rPr>
          <w:fldChar w:fldCharType="separate"/>
        </w:r>
        <w:r>
          <w:rPr>
            <w:noProof/>
            <w:webHidden/>
          </w:rPr>
          <w:t>26</w:t>
        </w:r>
        <w:r>
          <w:rPr>
            <w:noProof/>
            <w:webHidden/>
          </w:rPr>
          <w:fldChar w:fldCharType="end"/>
        </w:r>
      </w:hyperlink>
    </w:p>
    <w:p w14:paraId="08AC9776" w14:textId="6ED2223D"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833" w:history="1">
        <w:r w:rsidRPr="00D221C8">
          <w:rPr>
            <w:rStyle w:val="Hipervnculo"/>
            <w:noProof/>
          </w:rPr>
          <w:t>Tabla 2.</w:t>
        </w:r>
        <w:r>
          <w:rPr>
            <w:noProof/>
            <w:webHidden/>
          </w:rPr>
          <w:tab/>
        </w:r>
        <w:r>
          <w:rPr>
            <w:noProof/>
            <w:webHidden/>
          </w:rPr>
          <w:fldChar w:fldCharType="begin"/>
        </w:r>
        <w:r>
          <w:rPr>
            <w:noProof/>
            <w:webHidden/>
          </w:rPr>
          <w:instrText xml:space="preserve"> PAGEREF _Toc231082833 \h </w:instrText>
        </w:r>
        <w:r>
          <w:rPr>
            <w:noProof/>
            <w:webHidden/>
          </w:rPr>
        </w:r>
        <w:r>
          <w:rPr>
            <w:noProof/>
            <w:webHidden/>
          </w:rPr>
          <w:fldChar w:fldCharType="separate"/>
        </w:r>
        <w:r>
          <w:rPr>
            <w:noProof/>
            <w:webHidden/>
          </w:rPr>
          <w:t>28</w:t>
        </w:r>
        <w:r>
          <w:rPr>
            <w:noProof/>
            <w:webHidden/>
          </w:rPr>
          <w:fldChar w:fldCharType="end"/>
        </w:r>
      </w:hyperlink>
    </w:p>
    <w:p w14:paraId="603B42BC" w14:textId="77311348"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834" w:history="1">
        <w:r w:rsidRPr="00D221C8">
          <w:rPr>
            <w:rStyle w:val="Hipervnculo"/>
            <w:noProof/>
          </w:rPr>
          <w:t>Tabla 3.</w:t>
        </w:r>
        <w:r>
          <w:rPr>
            <w:noProof/>
            <w:webHidden/>
          </w:rPr>
          <w:tab/>
        </w:r>
        <w:r>
          <w:rPr>
            <w:noProof/>
            <w:webHidden/>
          </w:rPr>
          <w:fldChar w:fldCharType="begin"/>
        </w:r>
        <w:r>
          <w:rPr>
            <w:noProof/>
            <w:webHidden/>
          </w:rPr>
          <w:instrText xml:space="preserve"> PAGEREF _Toc231082834 \h </w:instrText>
        </w:r>
        <w:r>
          <w:rPr>
            <w:noProof/>
            <w:webHidden/>
          </w:rPr>
        </w:r>
        <w:r>
          <w:rPr>
            <w:noProof/>
            <w:webHidden/>
          </w:rPr>
          <w:fldChar w:fldCharType="separate"/>
        </w:r>
        <w:r>
          <w:rPr>
            <w:noProof/>
            <w:webHidden/>
          </w:rPr>
          <w:t>31</w:t>
        </w:r>
        <w:r>
          <w:rPr>
            <w:noProof/>
            <w:webHidden/>
          </w:rPr>
          <w:fldChar w:fldCharType="end"/>
        </w:r>
      </w:hyperlink>
    </w:p>
    <w:p w14:paraId="5C7C2154" w14:textId="151CBCE3"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835" w:history="1">
        <w:r w:rsidRPr="00D221C8">
          <w:rPr>
            <w:rStyle w:val="Hipervnculo"/>
            <w:noProof/>
          </w:rPr>
          <w:t>Tabla 4.</w:t>
        </w:r>
        <w:r>
          <w:rPr>
            <w:noProof/>
            <w:webHidden/>
          </w:rPr>
          <w:tab/>
        </w:r>
        <w:r>
          <w:rPr>
            <w:noProof/>
            <w:webHidden/>
          </w:rPr>
          <w:fldChar w:fldCharType="begin"/>
        </w:r>
        <w:r>
          <w:rPr>
            <w:noProof/>
            <w:webHidden/>
          </w:rPr>
          <w:instrText xml:space="preserve"> PAGEREF _Toc231082835 \h </w:instrText>
        </w:r>
        <w:r>
          <w:rPr>
            <w:noProof/>
            <w:webHidden/>
          </w:rPr>
        </w:r>
        <w:r>
          <w:rPr>
            <w:noProof/>
            <w:webHidden/>
          </w:rPr>
          <w:fldChar w:fldCharType="separate"/>
        </w:r>
        <w:r>
          <w:rPr>
            <w:noProof/>
            <w:webHidden/>
          </w:rPr>
          <w:t>34</w:t>
        </w:r>
        <w:r>
          <w:rPr>
            <w:noProof/>
            <w:webHidden/>
          </w:rPr>
          <w:fldChar w:fldCharType="end"/>
        </w:r>
      </w:hyperlink>
    </w:p>
    <w:p w14:paraId="21177719" w14:textId="0E602B9D"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836" w:history="1">
        <w:r w:rsidRPr="00D221C8">
          <w:rPr>
            <w:rStyle w:val="Hipervnculo"/>
            <w:noProof/>
          </w:rPr>
          <w:t>Tabla 5.</w:t>
        </w:r>
        <w:r>
          <w:rPr>
            <w:noProof/>
            <w:webHidden/>
          </w:rPr>
          <w:tab/>
        </w:r>
        <w:r>
          <w:rPr>
            <w:noProof/>
            <w:webHidden/>
          </w:rPr>
          <w:fldChar w:fldCharType="begin"/>
        </w:r>
        <w:r>
          <w:rPr>
            <w:noProof/>
            <w:webHidden/>
          </w:rPr>
          <w:instrText xml:space="preserve"> PAGEREF _Toc231082836 \h </w:instrText>
        </w:r>
        <w:r>
          <w:rPr>
            <w:noProof/>
            <w:webHidden/>
          </w:rPr>
        </w:r>
        <w:r>
          <w:rPr>
            <w:noProof/>
            <w:webHidden/>
          </w:rPr>
          <w:fldChar w:fldCharType="separate"/>
        </w:r>
        <w:r>
          <w:rPr>
            <w:noProof/>
            <w:webHidden/>
          </w:rPr>
          <w:t>48</w:t>
        </w:r>
        <w:r>
          <w:rPr>
            <w:noProof/>
            <w:webHidden/>
          </w:rPr>
          <w:fldChar w:fldCharType="end"/>
        </w:r>
      </w:hyperlink>
    </w:p>
    <w:p w14:paraId="1C40BCEC" w14:textId="1CF00014"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837" w:history="1">
        <w:r w:rsidRPr="00D221C8">
          <w:rPr>
            <w:rStyle w:val="Hipervnculo"/>
            <w:noProof/>
          </w:rPr>
          <w:t>Tabla 6.</w:t>
        </w:r>
        <w:r>
          <w:rPr>
            <w:noProof/>
            <w:webHidden/>
          </w:rPr>
          <w:tab/>
        </w:r>
        <w:r>
          <w:rPr>
            <w:noProof/>
            <w:webHidden/>
          </w:rPr>
          <w:fldChar w:fldCharType="begin"/>
        </w:r>
        <w:r>
          <w:rPr>
            <w:noProof/>
            <w:webHidden/>
          </w:rPr>
          <w:instrText xml:space="preserve"> PAGEREF _Toc231082837 \h </w:instrText>
        </w:r>
        <w:r>
          <w:rPr>
            <w:noProof/>
            <w:webHidden/>
          </w:rPr>
        </w:r>
        <w:r>
          <w:rPr>
            <w:noProof/>
            <w:webHidden/>
          </w:rPr>
          <w:fldChar w:fldCharType="separate"/>
        </w:r>
        <w:r>
          <w:rPr>
            <w:noProof/>
            <w:webHidden/>
          </w:rPr>
          <w:t>48</w:t>
        </w:r>
        <w:r>
          <w:rPr>
            <w:noProof/>
            <w:webHidden/>
          </w:rPr>
          <w:fldChar w:fldCharType="end"/>
        </w:r>
      </w:hyperlink>
    </w:p>
    <w:p w14:paraId="7A9C5E1B" w14:textId="4E32D2BB"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838" w:history="1">
        <w:r w:rsidRPr="00D221C8">
          <w:rPr>
            <w:rStyle w:val="Hipervnculo"/>
            <w:noProof/>
          </w:rPr>
          <w:t>Tabla 7.</w:t>
        </w:r>
        <w:r>
          <w:rPr>
            <w:noProof/>
            <w:webHidden/>
          </w:rPr>
          <w:tab/>
        </w:r>
        <w:r>
          <w:rPr>
            <w:noProof/>
            <w:webHidden/>
          </w:rPr>
          <w:fldChar w:fldCharType="begin"/>
        </w:r>
        <w:r>
          <w:rPr>
            <w:noProof/>
            <w:webHidden/>
          </w:rPr>
          <w:instrText xml:space="preserve"> PAGEREF _Toc231082838 \h </w:instrText>
        </w:r>
        <w:r>
          <w:rPr>
            <w:noProof/>
            <w:webHidden/>
          </w:rPr>
        </w:r>
        <w:r>
          <w:rPr>
            <w:noProof/>
            <w:webHidden/>
          </w:rPr>
          <w:fldChar w:fldCharType="separate"/>
        </w:r>
        <w:r>
          <w:rPr>
            <w:noProof/>
            <w:webHidden/>
          </w:rPr>
          <w:t>49</w:t>
        </w:r>
        <w:r>
          <w:rPr>
            <w:noProof/>
            <w:webHidden/>
          </w:rPr>
          <w:fldChar w:fldCharType="end"/>
        </w:r>
      </w:hyperlink>
    </w:p>
    <w:p w14:paraId="5BD330BC" w14:textId="26A0EDA9"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839" w:history="1">
        <w:r w:rsidRPr="00D221C8">
          <w:rPr>
            <w:rStyle w:val="Hipervnculo"/>
            <w:noProof/>
          </w:rPr>
          <w:t>Tabla 8.</w:t>
        </w:r>
        <w:r>
          <w:rPr>
            <w:noProof/>
            <w:webHidden/>
          </w:rPr>
          <w:tab/>
        </w:r>
        <w:r>
          <w:rPr>
            <w:noProof/>
            <w:webHidden/>
          </w:rPr>
          <w:fldChar w:fldCharType="begin"/>
        </w:r>
        <w:r>
          <w:rPr>
            <w:noProof/>
            <w:webHidden/>
          </w:rPr>
          <w:instrText xml:space="preserve"> PAGEREF _Toc231082839 \h </w:instrText>
        </w:r>
        <w:r>
          <w:rPr>
            <w:noProof/>
            <w:webHidden/>
          </w:rPr>
        </w:r>
        <w:r>
          <w:rPr>
            <w:noProof/>
            <w:webHidden/>
          </w:rPr>
          <w:fldChar w:fldCharType="separate"/>
        </w:r>
        <w:r>
          <w:rPr>
            <w:noProof/>
            <w:webHidden/>
          </w:rPr>
          <w:t>50</w:t>
        </w:r>
        <w:r>
          <w:rPr>
            <w:noProof/>
            <w:webHidden/>
          </w:rPr>
          <w:fldChar w:fldCharType="end"/>
        </w:r>
      </w:hyperlink>
    </w:p>
    <w:p w14:paraId="5001911C" w14:textId="07BB887F"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840" w:history="1">
        <w:r w:rsidRPr="00D221C8">
          <w:rPr>
            <w:rStyle w:val="Hipervnculo"/>
            <w:noProof/>
          </w:rPr>
          <w:t>Tabla 9.</w:t>
        </w:r>
        <w:r>
          <w:rPr>
            <w:noProof/>
            <w:webHidden/>
          </w:rPr>
          <w:tab/>
        </w:r>
        <w:r>
          <w:rPr>
            <w:noProof/>
            <w:webHidden/>
          </w:rPr>
          <w:fldChar w:fldCharType="begin"/>
        </w:r>
        <w:r>
          <w:rPr>
            <w:noProof/>
            <w:webHidden/>
          </w:rPr>
          <w:instrText xml:space="preserve"> PAGEREF _Toc231082840 \h </w:instrText>
        </w:r>
        <w:r>
          <w:rPr>
            <w:noProof/>
            <w:webHidden/>
          </w:rPr>
        </w:r>
        <w:r>
          <w:rPr>
            <w:noProof/>
            <w:webHidden/>
          </w:rPr>
          <w:fldChar w:fldCharType="separate"/>
        </w:r>
        <w:r>
          <w:rPr>
            <w:noProof/>
            <w:webHidden/>
          </w:rPr>
          <w:t>50</w:t>
        </w:r>
        <w:r>
          <w:rPr>
            <w:noProof/>
            <w:webHidden/>
          </w:rPr>
          <w:fldChar w:fldCharType="end"/>
        </w:r>
      </w:hyperlink>
    </w:p>
    <w:p w14:paraId="6728BFD4" w14:textId="76A993AD"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841" w:history="1">
        <w:r w:rsidRPr="00D221C8">
          <w:rPr>
            <w:rStyle w:val="Hipervnculo"/>
            <w:noProof/>
          </w:rPr>
          <w:t>Tabla 10.</w:t>
        </w:r>
        <w:r>
          <w:rPr>
            <w:noProof/>
            <w:webHidden/>
          </w:rPr>
          <w:tab/>
        </w:r>
        <w:r>
          <w:rPr>
            <w:noProof/>
            <w:webHidden/>
          </w:rPr>
          <w:fldChar w:fldCharType="begin"/>
        </w:r>
        <w:r>
          <w:rPr>
            <w:noProof/>
            <w:webHidden/>
          </w:rPr>
          <w:instrText xml:space="preserve"> PAGEREF _Toc231082841 \h </w:instrText>
        </w:r>
        <w:r>
          <w:rPr>
            <w:noProof/>
            <w:webHidden/>
          </w:rPr>
        </w:r>
        <w:r>
          <w:rPr>
            <w:noProof/>
            <w:webHidden/>
          </w:rPr>
          <w:fldChar w:fldCharType="separate"/>
        </w:r>
        <w:r>
          <w:rPr>
            <w:noProof/>
            <w:webHidden/>
          </w:rPr>
          <w:t>51</w:t>
        </w:r>
        <w:r>
          <w:rPr>
            <w:noProof/>
            <w:webHidden/>
          </w:rPr>
          <w:fldChar w:fldCharType="end"/>
        </w:r>
      </w:hyperlink>
    </w:p>
    <w:p w14:paraId="21540DFF" w14:textId="2E99C46E"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842" w:history="1">
        <w:r w:rsidRPr="00D221C8">
          <w:rPr>
            <w:rStyle w:val="Hipervnculo"/>
            <w:noProof/>
          </w:rPr>
          <w:t>Tabla 11.</w:t>
        </w:r>
        <w:r>
          <w:rPr>
            <w:noProof/>
            <w:webHidden/>
          </w:rPr>
          <w:tab/>
        </w:r>
        <w:r>
          <w:rPr>
            <w:noProof/>
            <w:webHidden/>
          </w:rPr>
          <w:fldChar w:fldCharType="begin"/>
        </w:r>
        <w:r>
          <w:rPr>
            <w:noProof/>
            <w:webHidden/>
          </w:rPr>
          <w:instrText xml:space="preserve"> PAGEREF _Toc231082842 \h </w:instrText>
        </w:r>
        <w:r>
          <w:rPr>
            <w:noProof/>
            <w:webHidden/>
          </w:rPr>
        </w:r>
        <w:r>
          <w:rPr>
            <w:noProof/>
            <w:webHidden/>
          </w:rPr>
          <w:fldChar w:fldCharType="separate"/>
        </w:r>
        <w:r>
          <w:rPr>
            <w:noProof/>
            <w:webHidden/>
          </w:rPr>
          <w:t>51</w:t>
        </w:r>
        <w:r>
          <w:rPr>
            <w:noProof/>
            <w:webHidden/>
          </w:rPr>
          <w:fldChar w:fldCharType="end"/>
        </w:r>
      </w:hyperlink>
    </w:p>
    <w:p w14:paraId="30A9AB48" w14:textId="5DD2A5DA"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843" w:history="1">
        <w:r w:rsidRPr="00D221C8">
          <w:rPr>
            <w:rStyle w:val="Hipervnculo"/>
            <w:noProof/>
          </w:rPr>
          <w:t>Tabla 12.</w:t>
        </w:r>
        <w:r>
          <w:rPr>
            <w:noProof/>
            <w:webHidden/>
          </w:rPr>
          <w:tab/>
        </w:r>
        <w:r>
          <w:rPr>
            <w:noProof/>
            <w:webHidden/>
          </w:rPr>
          <w:fldChar w:fldCharType="begin"/>
        </w:r>
        <w:r>
          <w:rPr>
            <w:noProof/>
            <w:webHidden/>
          </w:rPr>
          <w:instrText xml:space="preserve"> PAGEREF _Toc231082843 \h </w:instrText>
        </w:r>
        <w:r>
          <w:rPr>
            <w:noProof/>
            <w:webHidden/>
          </w:rPr>
        </w:r>
        <w:r>
          <w:rPr>
            <w:noProof/>
            <w:webHidden/>
          </w:rPr>
          <w:fldChar w:fldCharType="separate"/>
        </w:r>
        <w:r>
          <w:rPr>
            <w:noProof/>
            <w:webHidden/>
          </w:rPr>
          <w:t>51</w:t>
        </w:r>
        <w:r>
          <w:rPr>
            <w:noProof/>
            <w:webHidden/>
          </w:rPr>
          <w:fldChar w:fldCharType="end"/>
        </w:r>
      </w:hyperlink>
    </w:p>
    <w:p w14:paraId="781CB31B" w14:textId="620EE021"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844" w:history="1">
        <w:r w:rsidRPr="00D221C8">
          <w:rPr>
            <w:rStyle w:val="Hipervnculo"/>
            <w:noProof/>
          </w:rPr>
          <w:t>Tabla 13.</w:t>
        </w:r>
        <w:r>
          <w:rPr>
            <w:noProof/>
            <w:webHidden/>
          </w:rPr>
          <w:tab/>
        </w:r>
        <w:r>
          <w:rPr>
            <w:noProof/>
            <w:webHidden/>
          </w:rPr>
          <w:fldChar w:fldCharType="begin"/>
        </w:r>
        <w:r>
          <w:rPr>
            <w:noProof/>
            <w:webHidden/>
          </w:rPr>
          <w:instrText xml:space="preserve"> PAGEREF _Toc231082844 \h </w:instrText>
        </w:r>
        <w:r>
          <w:rPr>
            <w:noProof/>
            <w:webHidden/>
          </w:rPr>
        </w:r>
        <w:r>
          <w:rPr>
            <w:noProof/>
            <w:webHidden/>
          </w:rPr>
          <w:fldChar w:fldCharType="separate"/>
        </w:r>
        <w:r>
          <w:rPr>
            <w:noProof/>
            <w:webHidden/>
          </w:rPr>
          <w:t>52</w:t>
        </w:r>
        <w:r>
          <w:rPr>
            <w:noProof/>
            <w:webHidden/>
          </w:rPr>
          <w:fldChar w:fldCharType="end"/>
        </w:r>
      </w:hyperlink>
    </w:p>
    <w:p w14:paraId="00101DBB" w14:textId="398B12BF"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845" w:history="1">
        <w:r w:rsidRPr="00D221C8">
          <w:rPr>
            <w:rStyle w:val="Hipervnculo"/>
            <w:noProof/>
          </w:rPr>
          <w:t>Tabla 14.</w:t>
        </w:r>
        <w:r>
          <w:rPr>
            <w:noProof/>
            <w:webHidden/>
          </w:rPr>
          <w:tab/>
        </w:r>
        <w:r>
          <w:rPr>
            <w:noProof/>
            <w:webHidden/>
          </w:rPr>
          <w:fldChar w:fldCharType="begin"/>
        </w:r>
        <w:r>
          <w:rPr>
            <w:noProof/>
            <w:webHidden/>
          </w:rPr>
          <w:instrText xml:space="preserve"> PAGEREF _Toc231082845 \h </w:instrText>
        </w:r>
        <w:r>
          <w:rPr>
            <w:noProof/>
            <w:webHidden/>
          </w:rPr>
        </w:r>
        <w:r>
          <w:rPr>
            <w:noProof/>
            <w:webHidden/>
          </w:rPr>
          <w:fldChar w:fldCharType="separate"/>
        </w:r>
        <w:r>
          <w:rPr>
            <w:noProof/>
            <w:webHidden/>
          </w:rPr>
          <w:t>53</w:t>
        </w:r>
        <w:r>
          <w:rPr>
            <w:noProof/>
            <w:webHidden/>
          </w:rPr>
          <w:fldChar w:fldCharType="end"/>
        </w:r>
      </w:hyperlink>
    </w:p>
    <w:p w14:paraId="4412ED35" w14:textId="0551396C" w:rsidR="00BE3F39" w:rsidRDefault="00CA5D84">
      <w:r>
        <w:fldChar w:fldCharType="end"/>
      </w:r>
    </w:p>
    <w:p w14:paraId="2522F481" w14:textId="77777777" w:rsidR="00BE3F39" w:rsidRDefault="00CA5D84">
      <w:r>
        <w:br w:type="page"/>
      </w:r>
    </w:p>
    <w:p w14:paraId="490AC211" w14:textId="77777777" w:rsidR="00BE3F39" w:rsidRDefault="00CA5D84">
      <w:pPr>
        <w:pStyle w:val="Ttulo1"/>
      </w:pPr>
      <w:bookmarkStart w:id="8" w:name="_Toc231082769"/>
      <w:r>
        <w:lastRenderedPageBreak/>
        <w:t>Índice de figuras</w:t>
      </w:r>
      <w:bookmarkEnd w:id="8"/>
    </w:p>
    <w:p w14:paraId="085390A7" w14:textId="4C920F93"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r>
        <w:fldChar w:fldCharType="begin"/>
      </w:r>
      <w:r>
        <w:instrText>TOC \h \z \c "Figura"</w:instrText>
      </w:r>
      <w:r>
        <w:fldChar w:fldCharType="separate"/>
      </w:r>
      <w:hyperlink w:anchor="_Toc231082846" w:history="1">
        <w:r w:rsidRPr="002A0561">
          <w:rPr>
            <w:rStyle w:val="Hipervnculo"/>
            <w:noProof/>
          </w:rPr>
          <w:t>Figura 1. Sensibilidad de los retornos a cada factor macro-financiero (muestra B).</w:t>
        </w:r>
        <w:r>
          <w:rPr>
            <w:noProof/>
            <w:webHidden/>
          </w:rPr>
          <w:tab/>
        </w:r>
        <w:r>
          <w:rPr>
            <w:noProof/>
            <w:webHidden/>
          </w:rPr>
          <w:fldChar w:fldCharType="begin"/>
        </w:r>
        <w:r>
          <w:rPr>
            <w:noProof/>
            <w:webHidden/>
          </w:rPr>
          <w:instrText xml:space="preserve"> PAGEREF _Toc231082846 \h </w:instrText>
        </w:r>
        <w:r>
          <w:rPr>
            <w:noProof/>
            <w:webHidden/>
          </w:rPr>
        </w:r>
        <w:r>
          <w:rPr>
            <w:noProof/>
            <w:webHidden/>
          </w:rPr>
          <w:fldChar w:fldCharType="separate"/>
        </w:r>
        <w:r>
          <w:rPr>
            <w:noProof/>
            <w:webHidden/>
          </w:rPr>
          <w:t>30</w:t>
        </w:r>
        <w:r>
          <w:rPr>
            <w:noProof/>
            <w:webHidden/>
          </w:rPr>
          <w:fldChar w:fldCharType="end"/>
        </w:r>
      </w:hyperlink>
    </w:p>
    <w:p w14:paraId="08E11589" w14:textId="71870B44"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847" w:history="1">
        <w:r w:rsidRPr="002A0561">
          <w:rPr>
            <w:rStyle w:val="Hipervnculo"/>
            <w:noProof/>
          </w:rPr>
          <w:t>Figura 2. Descomposición de la varianza del error de pronóstico del retorno (FEVD, horizonte 12 meses).</w:t>
        </w:r>
        <w:r>
          <w:rPr>
            <w:noProof/>
            <w:webHidden/>
          </w:rPr>
          <w:tab/>
        </w:r>
        <w:r>
          <w:rPr>
            <w:noProof/>
            <w:webHidden/>
          </w:rPr>
          <w:fldChar w:fldCharType="begin"/>
        </w:r>
        <w:r>
          <w:rPr>
            <w:noProof/>
            <w:webHidden/>
          </w:rPr>
          <w:instrText xml:space="preserve"> PAGEREF _Toc231082847 \h </w:instrText>
        </w:r>
        <w:r>
          <w:rPr>
            <w:noProof/>
            <w:webHidden/>
          </w:rPr>
        </w:r>
        <w:r>
          <w:rPr>
            <w:noProof/>
            <w:webHidden/>
          </w:rPr>
          <w:fldChar w:fldCharType="separate"/>
        </w:r>
        <w:r>
          <w:rPr>
            <w:noProof/>
            <w:webHidden/>
          </w:rPr>
          <w:t>32</w:t>
        </w:r>
        <w:r>
          <w:rPr>
            <w:noProof/>
            <w:webHidden/>
          </w:rPr>
          <w:fldChar w:fldCharType="end"/>
        </w:r>
      </w:hyperlink>
    </w:p>
    <w:p w14:paraId="3E03EB75" w14:textId="3850BF5C"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848" w:history="1">
        <w:r w:rsidRPr="002A0561">
          <w:rPr>
            <w:rStyle w:val="Hipervnculo"/>
            <w:noProof/>
          </w:rPr>
          <w:t>Figura 3. Impulso-respuesta del retorno del sector ante un shock del precio del cobre (±2 errores estándar).</w:t>
        </w:r>
        <w:r>
          <w:rPr>
            <w:noProof/>
            <w:webHidden/>
          </w:rPr>
          <w:tab/>
        </w:r>
        <w:r>
          <w:rPr>
            <w:noProof/>
            <w:webHidden/>
          </w:rPr>
          <w:fldChar w:fldCharType="begin"/>
        </w:r>
        <w:r>
          <w:rPr>
            <w:noProof/>
            <w:webHidden/>
          </w:rPr>
          <w:instrText xml:space="preserve"> PAGEREF _Toc231082848 \h </w:instrText>
        </w:r>
        <w:r>
          <w:rPr>
            <w:noProof/>
            <w:webHidden/>
          </w:rPr>
        </w:r>
        <w:r>
          <w:rPr>
            <w:noProof/>
            <w:webHidden/>
          </w:rPr>
          <w:fldChar w:fldCharType="separate"/>
        </w:r>
        <w:r>
          <w:rPr>
            <w:noProof/>
            <w:webHidden/>
          </w:rPr>
          <w:t>33</w:t>
        </w:r>
        <w:r>
          <w:rPr>
            <w:noProof/>
            <w:webHidden/>
          </w:rPr>
          <w:fldChar w:fldCharType="end"/>
        </w:r>
      </w:hyperlink>
    </w:p>
    <w:p w14:paraId="376CB44E" w14:textId="21F38CC9"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849" w:history="1">
        <w:r w:rsidRPr="002A0561">
          <w:rPr>
            <w:rStyle w:val="Hipervnculo"/>
            <w:noProof/>
          </w:rPr>
          <w:t>Figura 4. Precio del cobre y fases del ciclo (expansión/contracción) fechadas con Bry-Boschan.</w:t>
        </w:r>
        <w:r>
          <w:rPr>
            <w:noProof/>
            <w:webHidden/>
          </w:rPr>
          <w:tab/>
        </w:r>
        <w:r>
          <w:rPr>
            <w:noProof/>
            <w:webHidden/>
          </w:rPr>
          <w:fldChar w:fldCharType="begin"/>
        </w:r>
        <w:r>
          <w:rPr>
            <w:noProof/>
            <w:webHidden/>
          </w:rPr>
          <w:instrText xml:space="preserve"> PAGEREF _Toc231082849 \h </w:instrText>
        </w:r>
        <w:r>
          <w:rPr>
            <w:noProof/>
            <w:webHidden/>
          </w:rPr>
        </w:r>
        <w:r>
          <w:rPr>
            <w:noProof/>
            <w:webHidden/>
          </w:rPr>
          <w:fldChar w:fldCharType="separate"/>
        </w:r>
        <w:r>
          <w:rPr>
            <w:noProof/>
            <w:webHidden/>
          </w:rPr>
          <w:t>34</w:t>
        </w:r>
        <w:r>
          <w:rPr>
            <w:noProof/>
            <w:webHidden/>
          </w:rPr>
          <w:fldChar w:fldCharType="end"/>
        </w:r>
      </w:hyperlink>
    </w:p>
    <w:p w14:paraId="604DF524" w14:textId="2409A41F"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850" w:history="1">
        <w:r w:rsidRPr="002A0561">
          <w:rPr>
            <w:rStyle w:val="Hipervnculo"/>
            <w:noProof/>
          </w:rPr>
          <w:t>Figura 5. Triangulación: sensibilidad al cobre y dominancia global por muestra (B, A, C).</w:t>
        </w:r>
        <w:r>
          <w:rPr>
            <w:noProof/>
            <w:webHidden/>
          </w:rPr>
          <w:tab/>
        </w:r>
        <w:r>
          <w:rPr>
            <w:noProof/>
            <w:webHidden/>
          </w:rPr>
          <w:fldChar w:fldCharType="begin"/>
        </w:r>
        <w:r>
          <w:rPr>
            <w:noProof/>
            <w:webHidden/>
          </w:rPr>
          <w:instrText xml:space="preserve"> PAGEREF _Toc231082850 \h </w:instrText>
        </w:r>
        <w:r>
          <w:rPr>
            <w:noProof/>
            <w:webHidden/>
          </w:rPr>
        </w:r>
        <w:r>
          <w:rPr>
            <w:noProof/>
            <w:webHidden/>
          </w:rPr>
          <w:fldChar w:fldCharType="separate"/>
        </w:r>
        <w:r>
          <w:rPr>
            <w:noProof/>
            <w:webHidden/>
          </w:rPr>
          <w:t>35</w:t>
        </w:r>
        <w:r>
          <w:rPr>
            <w:noProof/>
            <w:webHidden/>
          </w:rPr>
          <w:fldChar w:fldCharType="end"/>
        </w:r>
      </w:hyperlink>
    </w:p>
    <w:p w14:paraId="29C259FE" w14:textId="4EA51DCE" w:rsidR="00CA5D84" w:rsidRDefault="00CA5D8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851" w:history="1">
        <w:r w:rsidRPr="002A0561">
          <w:rPr>
            <w:rStyle w:val="Hipervnculo"/>
            <w:noProof/>
          </w:rPr>
          <w:t>Figura 6. Respuesta del retorno a un shock del cobre mediante proyecciones locales (Jordà, 2005), IC 95%.</w:t>
        </w:r>
        <w:r>
          <w:rPr>
            <w:noProof/>
            <w:webHidden/>
          </w:rPr>
          <w:tab/>
        </w:r>
        <w:r>
          <w:rPr>
            <w:noProof/>
            <w:webHidden/>
          </w:rPr>
          <w:fldChar w:fldCharType="begin"/>
        </w:r>
        <w:r>
          <w:rPr>
            <w:noProof/>
            <w:webHidden/>
          </w:rPr>
          <w:instrText xml:space="preserve"> PAGEREF _Toc231082851 \h </w:instrText>
        </w:r>
        <w:r>
          <w:rPr>
            <w:noProof/>
            <w:webHidden/>
          </w:rPr>
        </w:r>
        <w:r>
          <w:rPr>
            <w:noProof/>
            <w:webHidden/>
          </w:rPr>
          <w:fldChar w:fldCharType="separate"/>
        </w:r>
        <w:r>
          <w:rPr>
            <w:noProof/>
            <w:webHidden/>
          </w:rPr>
          <w:t>38</w:t>
        </w:r>
        <w:r>
          <w:rPr>
            <w:noProof/>
            <w:webHidden/>
          </w:rPr>
          <w:fldChar w:fldCharType="end"/>
        </w:r>
      </w:hyperlink>
    </w:p>
    <w:p w14:paraId="3CC3F1C6" w14:textId="20033F0A" w:rsidR="00BE3F39" w:rsidRDefault="00CA5D84">
      <w:r>
        <w:fldChar w:fldCharType="end"/>
      </w:r>
    </w:p>
    <w:p w14:paraId="441F0C7A" w14:textId="77777777" w:rsidR="00BE3F39" w:rsidRDefault="00CA5D84">
      <w:r>
        <w:br w:type="page"/>
      </w:r>
    </w:p>
    <w:p w14:paraId="762E6C19" w14:textId="77777777" w:rsidR="00BE3F39" w:rsidRDefault="00CA5D84">
      <w:pPr>
        <w:pStyle w:val="Ttulo1"/>
      </w:pPr>
      <w:bookmarkStart w:id="9" w:name="_Toc231082770"/>
      <w:r>
        <w:lastRenderedPageBreak/>
        <w:t xml:space="preserve">Lista de </w:t>
      </w:r>
      <w:r>
        <w:t>abreviaturas y siglas</w:t>
      </w:r>
      <w:bookmarkEnd w:id="9"/>
    </w:p>
    <w:tbl>
      <w:tblPr>
        <w:tblStyle w:val="Listaclara-nfasis1"/>
        <w:tblW w:w="0" w:type="auto"/>
        <w:tblLook w:val="04A0" w:firstRow="1" w:lastRow="0" w:firstColumn="1" w:lastColumn="0" w:noHBand="0" w:noVBand="1"/>
      </w:tblPr>
      <w:tblGrid>
        <w:gridCol w:w="4421"/>
        <w:gridCol w:w="4421"/>
      </w:tblGrid>
      <w:tr w:rsidR="00BE3F39" w14:paraId="449C197B" w14:textId="77777777" w:rsidTr="00BE3F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6DF5FBBB" w14:textId="77777777" w:rsidR="00BE3F39" w:rsidRDefault="00CA5D84">
            <w:r>
              <w:rPr>
                <w:sz w:val="22"/>
              </w:rPr>
              <w:t>APT</w:t>
            </w:r>
          </w:p>
        </w:tc>
        <w:tc>
          <w:tcPr>
            <w:tcW w:w="4421" w:type="dxa"/>
          </w:tcPr>
          <w:p w14:paraId="10C7307E"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2"/>
              </w:rPr>
              <w:t>Arbitrage Pricing Theory (teoría de valoración por arbitraje)</w:t>
            </w:r>
          </w:p>
        </w:tc>
      </w:tr>
      <w:tr w:rsidR="00BE3F39" w14:paraId="5F8FEC98"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338A5701" w14:textId="77777777" w:rsidR="00BE3F39" w:rsidRDefault="00CA5D84">
            <w:r>
              <w:rPr>
                <w:sz w:val="22"/>
              </w:rPr>
              <w:t>ADF</w:t>
            </w:r>
          </w:p>
        </w:tc>
        <w:tc>
          <w:tcPr>
            <w:tcW w:w="4421" w:type="dxa"/>
          </w:tcPr>
          <w:p w14:paraId="5D389A9A"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2"/>
              </w:rPr>
              <w:t>Augmented Dickey-Fuller (prueba de raíz unitaria)</w:t>
            </w:r>
          </w:p>
        </w:tc>
      </w:tr>
      <w:tr w:rsidR="00BE3F39" w14:paraId="2D763533" w14:textId="77777777" w:rsidTr="00BE3F39">
        <w:tc>
          <w:tcPr>
            <w:cnfStyle w:val="001000000000" w:firstRow="0" w:lastRow="0" w:firstColumn="1" w:lastColumn="0" w:oddVBand="0" w:evenVBand="0" w:oddHBand="0" w:evenHBand="0" w:firstRowFirstColumn="0" w:firstRowLastColumn="0" w:lastRowFirstColumn="0" w:lastRowLastColumn="0"/>
            <w:tcW w:w="4421" w:type="dxa"/>
          </w:tcPr>
          <w:p w14:paraId="2F747D94" w14:textId="77777777" w:rsidR="00BE3F39" w:rsidRDefault="00CA5D84">
            <w:r>
              <w:rPr>
                <w:sz w:val="22"/>
              </w:rPr>
              <w:t>ARDL</w:t>
            </w:r>
          </w:p>
        </w:tc>
        <w:tc>
          <w:tcPr>
            <w:tcW w:w="4421" w:type="dxa"/>
          </w:tcPr>
          <w:p w14:paraId="230261FF" w14:textId="77777777" w:rsidR="00BE3F39" w:rsidRDefault="00CA5D84">
            <w:pPr>
              <w:cnfStyle w:val="000000000000" w:firstRow="0" w:lastRow="0" w:firstColumn="0" w:lastColumn="0" w:oddVBand="0" w:evenVBand="0" w:oddHBand="0" w:evenHBand="0" w:firstRowFirstColumn="0" w:firstRowLastColumn="0" w:lastRowFirstColumn="0" w:lastRowLastColumn="0"/>
            </w:pPr>
            <w:r>
              <w:rPr>
                <w:sz w:val="22"/>
              </w:rPr>
              <w:t>Autoregressive Distributed Lag (modelo de rezagos distribuidos)</w:t>
            </w:r>
          </w:p>
        </w:tc>
      </w:tr>
      <w:tr w:rsidR="00BE3F39" w14:paraId="0CFC8D4A"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2AE3BCE5" w14:textId="77777777" w:rsidR="00BE3F39" w:rsidRDefault="00CA5D84">
            <w:r>
              <w:rPr>
                <w:sz w:val="22"/>
              </w:rPr>
              <w:t>BCCh</w:t>
            </w:r>
          </w:p>
        </w:tc>
        <w:tc>
          <w:tcPr>
            <w:tcW w:w="4421" w:type="dxa"/>
          </w:tcPr>
          <w:p w14:paraId="7DD26F16"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2"/>
              </w:rPr>
              <w:t>Banco Central de Chile</w:t>
            </w:r>
          </w:p>
        </w:tc>
      </w:tr>
      <w:tr w:rsidR="00BE3F39" w14:paraId="6D72871D" w14:textId="77777777" w:rsidTr="00BE3F39">
        <w:tc>
          <w:tcPr>
            <w:cnfStyle w:val="001000000000" w:firstRow="0" w:lastRow="0" w:firstColumn="1" w:lastColumn="0" w:oddVBand="0" w:evenVBand="0" w:oddHBand="0" w:evenHBand="0" w:firstRowFirstColumn="0" w:firstRowLastColumn="0" w:lastRowFirstColumn="0" w:lastRowLastColumn="0"/>
            <w:tcW w:w="4421" w:type="dxa"/>
          </w:tcPr>
          <w:p w14:paraId="4FC511BF" w14:textId="77777777" w:rsidR="00BE3F39" w:rsidRDefault="00CA5D84">
            <w:r>
              <w:rPr>
                <w:sz w:val="22"/>
              </w:rPr>
              <w:t>CD</w:t>
            </w:r>
          </w:p>
        </w:tc>
        <w:tc>
          <w:tcPr>
            <w:tcW w:w="4421" w:type="dxa"/>
          </w:tcPr>
          <w:p w14:paraId="56469943" w14:textId="77777777" w:rsidR="00BE3F39" w:rsidRDefault="00CA5D84">
            <w:pPr>
              <w:cnfStyle w:val="000000000000" w:firstRow="0" w:lastRow="0" w:firstColumn="0" w:lastColumn="0" w:oddVBand="0" w:evenVBand="0" w:oddHBand="0" w:evenHBand="0" w:firstRowFirstColumn="0" w:firstRowLastColumn="0" w:lastRowFirstColumn="0" w:lastRowLastColumn="0"/>
            </w:pPr>
            <w:r>
              <w:rPr>
                <w:sz w:val="22"/>
              </w:rPr>
              <w:t>Cross-section Dependence (prueba de Pesaran)</w:t>
            </w:r>
          </w:p>
        </w:tc>
      </w:tr>
      <w:tr w:rsidR="00BE3F39" w14:paraId="5671CF36"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5DB65354" w14:textId="77777777" w:rsidR="00BE3F39" w:rsidRDefault="00CA5D84">
            <w:r>
              <w:rPr>
                <w:sz w:val="22"/>
              </w:rPr>
              <w:t>CMF</w:t>
            </w:r>
          </w:p>
        </w:tc>
        <w:tc>
          <w:tcPr>
            <w:tcW w:w="4421" w:type="dxa"/>
          </w:tcPr>
          <w:p w14:paraId="36A797A8"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2"/>
              </w:rPr>
              <w:t>Comisión para el Mercado Financiero</w:t>
            </w:r>
          </w:p>
        </w:tc>
      </w:tr>
      <w:tr w:rsidR="00BE3F39" w14:paraId="686FDA77" w14:textId="77777777" w:rsidTr="00BE3F39">
        <w:tc>
          <w:tcPr>
            <w:cnfStyle w:val="001000000000" w:firstRow="0" w:lastRow="0" w:firstColumn="1" w:lastColumn="0" w:oddVBand="0" w:evenVBand="0" w:oddHBand="0" w:evenHBand="0" w:firstRowFirstColumn="0" w:firstRowLastColumn="0" w:lastRowFirstColumn="0" w:lastRowLastColumn="0"/>
            <w:tcW w:w="4421" w:type="dxa"/>
          </w:tcPr>
          <w:p w14:paraId="672739E2" w14:textId="77777777" w:rsidR="00BE3F39" w:rsidRDefault="00CA5D84">
            <w:r>
              <w:rPr>
                <w:sz w:val="22"/>
              </w:rPr>
              <w:t>EMBI</w:t>
            </w:r>
          </w:p>
        </w:tc>
        <w:tc>
          <w:tcPr>
            <w:tcW w:w="4421" w:type="dxa"/>
          </w:tcPr>
          <w:p w14:paraId="66E48930" w14:textId="77777777" w:rsidR="00BE3F39" w:rsidRDefault="00CA5D84">
            <w:pPr>
              <w:cnfStyle w:val="000000000000" w:firstRow="0" w:lastRow="0" w:firstColumn="0" w:lastColumn="0" w:oddVBand="0" w:evenVBand="0" w:oddHBand="0" w:evenHBand="0" w:firstRowFirstColumn="0" w:firstRowLastColumn="0" w:lastRowFirstColumn="0" w:lastRowLastColumn="0"/>
            </w:pPr>
            <w:r>
              <w:rPr>
                <w:sz w:val="22"/>
              </w:rPr>
              <w:t>Emerging Markets Bond Index (índice de riesgo soberano)</w:t>
            </w:r>
          </w:p>
        </w:tc>
      </w:tr>
      <w:tr w:rsidR="00BE3F39" w14:paraId="7A23608F"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261CF3E1" w14:textId="77777777" w:rsidR="00BE3F39" w:rsidRDefault="00CA5D84">
            <w:r>
              <w:rPr>
                <w:sz w:val="22"/>
              </w:rPr>
              <w:t>FEVD</w:t>
            </w:r>
          </w:p>
        </w:tc>
        <w:tc>
          <w:tcPr>
            <w:tcW w:w="4421" w:type="dxa"/>
          </w:tcPr>
          <w:p w14:paraId="3FC4C0C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2"/>
              </w:rPr>
              <w:t>Forecast Error Variance Decomposition</w:t>
            </w:r>
          </w:p>
        </w:tc>
      </w:tr>
      <w:tr w:rsidR="00BE3F39" w14:paraId="63E4040E" w14:textId="77777777" w:rsidTr="00BE3F39">
        <w:tc>
          <w:tcPr>
            <w:cnfStyle w:val="001000000000" w:firstRow="0" w:lastRow="0" w:firstColumn="1" w:lastColumn="0" w:oddVBand="0" w:evenVBand="0" w:oddHBand="0" w:evenHBand="0" w:firstRowFirstColumn="0" w:firstRowLastColumn="0" w:lastRowFirstColumn="0" w:lastRowLastColumn="0"/>
            <w:tcW w:w="4421" w:type="dxa"/>
          </w:tcPr>
          <w:p w14:paraId="3A3C53D9" w14:textId="77777777" w:rsidR="00BE3F39" w:rsidRDefault="00CA5D84">
            <w:r>
              <w:rPr>
                <w:sz w:val="22"/>
              </w:rPr>
              <w:t>FE</w:t>
            </w:r>
          </w:p>
        </w:tc>
        <w:tc>
          <w:tcPr>
            <w:tcW w:w="4421" w:type="dxa"/>
          </w:tcPr>
          <w:p w14:paraId="37697616" w14:textId="77777777" w:rsidR="00BE3F39" w:rsidRDefault="00CA5D84">
            <w:pPr>
              <w:cnfStyle w:val="000000000000" w:firstRow="0" w:lastRow="0" w:firstColumn="0" w:lastColumn="0" w:oddVBand="0" w:evenVBand="0" w:oddHBand="0" w:evenHBand="0" w:firstRowFirstColumn="0" w:firstRowLastColumn="0" w:lastRowFirstColumn="0" w:lastRowLastColumn="0"/>
            </w:pPr>
            <w:r>
              <w:rPr>
                <w:sz w:val="22"/>
              </w:rPr>
              <w:t>Fixed Effects (efectos fijos)</w:t>
            </w:r>
          </w:p>
        </w:tc>
      </w:tr>
      <w:tr w:rsidR="00BE3F39" w14:paraId="1B13A75F"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3D7C73AA" w14:textId="77777777" w:rsidR="00BE3F39" w:rsidRDefault="00CA5D84">
            <w:r>
              <w:rPr>
                <w:sz w:val="22"/>
              </w:rPr>
              <w:t>FRED</w:t>
            </w:r>
          </w:p>
        </w:tc>
        <w:tc>
          <w:tcPr>
            <w:tcW w:w="4421" w:type="dxa"/>
          </w:tcPr>
          <w:p w14:paraId="6A6E0DC8"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2"/>
              </w:rPr>
              <w:t>Federal Reserve Economic Data</w:t>
            </w:r>
          </w:p>
        </w:tc>
      </w:tr>
      <w:tr w:rsidR="00BE3F39" w14:paraId="5B1BB882" w14:textId="77777777" w:rsidTr="00BE3F39">
        <w:tc>
          <w:tcPr>
            <w:cnfStyle w:val="001000000000" w:firstRow="0" w:lastRow="0" w:firstColumn="1" w:lastColumn="0" w:oddVBand="0" w:evenVBand="0" w:oddHBand="0" w:evenHBand="0" w:firstRowFirstColumn="0" w:firstRowLastColumn="0" w:lastRowFirstColumn="0" w:lastRowLastColumn="0"/>
            <w:tcW w:w="4421" w:type="dxa"/>
          </w:tcPr>
          <w:p w14:paraId="5C08A8B3" w14:textId="77777777" w:rsidR="00BE3F39" w:rsidRDefault="00CA5D84">
            <w:r>
              <w:rPr>
                <w:sz w:val="22"/>
              </w:rPr>
              <w:t>IMACEC</w:t>
            </w:r>
          </w:p>
        </w:tc>
        <w:tc>
          <w:tcPr>
            <w:tcW w:w="4421" w:type="dxa"/>
          </w:tcPr>
          <w:p w14:paraId="533CB5EA" w14:textId="77777777" w:rsidR="00BE3F39" w:rsidRDefault="00CA5D84">
            <w:pPr>
              <w:cnfStyle w:val="000000000000" w:firstRow="0" w:lastRow="0" w:firstColumn="0" w:lastColumn="0" w:oddVBand="0" w:evenVBand="0" w:oddHBand="0" w:evenHBand="0" w:firstRowFirstColumn="0" w:firstRowLastColumn="0" w:lastRowFirstColumn="0" w:lastRowLastColumn="0"/>
            </w:pPr>
            <w:r>
              <w:rPr>
                <w:sz w:val="22"/>
              </w:rPr>
              <w:t>Índice Mensual de Actividad Económica</w:t>
            </w:r>
          </w:p>
        </w:tc>
      </w:tr>
      <w:tr w:rsidR="00BE3F39" w14:paraId="3935111B"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51823FA6" w14:textId="77777777" w:rsidR="00BE3F39" w:rsidRDefault="00CA5D84">
            <w:r>
              <w:rPr>
                <w:sz w:val="22"/>
              </w:rPr>
              <w:t>IPSA</w:t>
            </w:r>
          </w:p>
        </w:tc>
        <w:tc>
          <w:tcPr>
            <w:tcW w:w="4421" w:type="dxa"/>
          </w:tcPr>
          <w:p w14:paraId="0CD096C7"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2"/>
              </w:rPr>
              <w:t>Índice de Precios Selectivo de Acciones</w:t>
            </w:r>
          </w:p>
        </w:tc>
      </w:tr>
      <w:tr w:rsidR="00BE3F39" w14:paraId="0196FA8B" w14:textId="77777777" w:rsidTr="00BE3F39">
        <w:tc>
          <w:tcPr>
            <w:cnfStyle w:val="001000000000" w:firstRow="0" w:lastRow="0" w:firstColumn="1" w:lastColumn="0" w:oddVBand="0" w:evenVBand="0" w:oddHBand="0" w:evenHBand="0" w:firstRowFirstColumn="0" w:firstRowLastColumn="0" w:lastRowFirstColumn="0" w:lastRowLastColumn="0"/>
            <w:tcW w:w="4421" w:type="dxa"/>
          </w:tcPr>
          <w:p w14:paraId="43DE1738" w14:textId="77777777" w:rsidR="00BE3F39" w:rsidRDefault="00CA5D84">
            <w:r>
              <w:rPr>
                <w:sz w:val="22"/>
              </w:rPr>
              <w:t>KPSS</w:t>
            </w:r>
          </w:p>
        </w:tc>
        <w:tc>
          <w:tcPr>
            <w:tcW w:w="4421" w:type="dxa"/>
          </w:tcPr>
          <w:p w14:paraId="3A2D9417" w14:textId="77777777" w:rsidR="00BE3F39" w:rsidRDefault="00CA5D84">
            <w:pPr>
              <w:cnfStyle w:val="000000000000" w:firstRow="0" w:lastRow="0" w:firstColumn="0" w:lastColumn="0" w:oddVBand="0" w:evenVBand="0" w:oddHBand="0" w:evenHBand="0" w:firstRowFirstColumn="0" w:firstRowLastColumn="0" w:lastRowFirstColumn="0" w:lastRowLastColumn="0"/>
            </w:pPr>
            <w:r>
              <w:rPr>
                <w:sz w:val="22"/>
              </w:rPr>
              <w:t>Kwiatkowski-Phillips-Schmidt-Shin (prueba de estacionariedad)</w:t>
            </w:r>
          </w:p>
        </w:tc>
      </w:tr>
      <w:tr w:rsidR="00BE3F39" w14:paraId="5AD71D7A"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18166537" w14:textId="77777777" w:rsidR="00BE3F39" w:rsidRDefault="00CA5D84">
            <w:r>
              <w:rPr>
                <w:sz w:val="22"/>
              </w:rPr>
              <w:t>TPM</w:t>
            </w:r>
          </w:p>
        </w:tc>
        <w:tc>
          <w:tcPr>
            <w:tcW w:w="4421" w:type="dxa"/>
          </w:tcPr>
          <w:p w14:paraId="2E35A3BC"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2"/>
              </w:rPr>
              <w:t>Tasa de Política Monetaria</w:t>
            </w:r>
          </w:p>
        </w:tc>
      </w:tr>
      <w:tr w:rsidR="00BE3F39" w14:paraId="1A89F7AF" w14:textId="77777777" w:rsidTr="00BE3F39">
        <w:tc>
          <w:tcPr>
            <w:cnfStyle w:val="001000000000" w:firstRow="0" w:lastRow="0" w:firstColumn="1" w:lastColumn="0" w:oddVBand="0" w:evenVBand="0" w:oddHBand="0" w:evenHBand="0" w:firstRowFirstColumn="0" w:firstRowLastColumn="0" w:lastRowFirstColumn="0" w:lastRowLastColumn="0"/>
            <w:tcW w:w="4421" w:type="dxa"/>
          </w:tcPr>
          <w:p w14:paraId="0992C008" w14:textId="77777777" w:rsidR="00BE3F39" w:rsidRDefault="00CA5D84">
            <w:r>
              <w:rPr>
                <w:sz w:val="22"/>
              </w:rPr>
              <w:t>VAR</w:t>
            </w:r>
          </w:p>
        </w:tc>
        <w:tc>
          <w:tcPr>
            <w:tcW w:w="4421" w:type="dxa"/>
          </w:tcPr>
          <w:p w14:paraId="5DDDA183" w14:textId="77777777" w:rsidR="00BE3F39" w:rsidRDefault="00CA5D84">
            <w:pPr>
              <w:cnfStyle w:val="000000000000" w:firstRow="0" w:lastRow="0" w:firstColumn="0" w:lastColumn="0" w:oddVBand="0" w:evenVBand="0" w:oddHBand="0" w:evenHBand="0" w:firstRowFirstColumn="0" w:firstRowLastColumn="0" w:lastRowFirstColumn="0" w:lastRowLastColumn="0"/>
            </w:pPr>
            <w:r>
              <w:rPr>
                <w:sz w:val="22"/>
              </w:rPr>
              <w:t>Vector Autoregression (vector autorregresivo)</w:t>
            </w:r>
          </w:p>
        </w:tc>
      </w:tr>
      <w:tr w:rsidR="00BE3F39" w14:paraId="6EA3E3B8"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39EFA6ED" w14:textId="77777777" w:rsidR="00BE3F39" w:rsidRDefault="00CA5D84">
            <w:r>
              <w:rPr>
                <w:sz w:val="22"/>
              </w:rPr>
              <w:t>VECM</w:t>
            </w:r>
          </w:p>
        </w:tc>
        <w:tc>
          <w:tcPr>
            <w:tcW w:w="4421" w:type="dxa"/>
          </w:tcPr>
          <w:p w14:paraId="39E3AE56"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2"/>
              </w:rPr>
              <w:t>Vector Error Correction Model</w:t>
            </w:r>
          </w:p>
        </w:tc>
      </w:tr>
      <w:tr w:rsidR="00BE3F39" w14:paraId="477F0950" w14:textId="77777777" w:rsidTr="00BE3F39">
        <w:tc>
          <w:tcPr>
            <w:cnfStyle w:val="001000000000" w:firstRow="0" w:lastRow="0" w:firstColumn="1" w:lastColumn="0" w:oddVBand="0" w:evenVBand="0" w:oddHBand="0" w:evenHBand="0" w:firstRowFirstColumn="0" w:firstRowLastColumn="0" w:lastRowFirstColumn="0" w:lastRowLastColumn="0"/>
            <w:tcW w:w="4421" w:type="dxa"/>
          </w:tcPr>
          <w:p w14:paraId="2063F8D1" w14:textId="77777777" w:rsidR="00BE3F39" w:rsidRDefault="00CA5D84">
            <w:r>
              <w:rPr>
                <w:sz w:val="22"/>
              </w:rPr>
              <w:t>VIX</w:t>
            </w:r>
          </w:p>
        </w:tc>
        <w:tc>
          <w:tcPr>
            <w:tcW w:w="4421" w:type="dxa"/>
          </w:tcPr>
          <w:p w14:paraId="364D1DDA" w14:textId="77777777" w:rsidR="00BE3F39" w:rsidRDefault="00CA5D84">
            <w:pPr>
              <w:cnfStyle w:val="000000000000" w:firstRow="0" w:lastRow="0" w:firstColumn="0" w:lastColumn="0" w:oddVBand="0" w:evenVBand="0" w:oddHBand="0" w:evenHBand="0" w:firstRowFirstColumn="0" w:firstRowLastColumn="0" w:lastRowFirstColumn="0" w:lastRowLastColumn="0"/>
            </w:pPr>
            <w:r>
              <w:rPr>
                <w:sz w:val="22"/>
              </w:rPr>
              <w:t>CBOE Volatility Index</w:t>
            </w:r>
          </w:p>
        </w:tc>
      </w:tr>
    </w:tbl>
    <w:p w14:paraId="6F952916" w14:textId="77777777" w:rsidR="00BE3F39" w:rsidRDefault="00BE3F39">
      <w:pPr>
        <w:sectPr w:rsidR="00BE3F39">
          <w:footerReference w:type="default" r:id="rId8"/>
          <w:pgSz w:w="12240" w:h="15840"/>
          <w:pgMar w:top="1440" w:right="1699" w:bottom="1440" w:left="1699" w:header="720" w:footer="720" w:gutter="0"/>
          <w:pgNumType w:fmt="lowerRoman" w:start="1"/>
          <w:cols w:space="720"/>
          <w:titlePg/>
          <w:docGrid w:linePitch="360"/>
        </w:sectPr>
      </w:pPr>
    </w:p>
    <w:p w14:paraId="485627D4" w14:textId="77777777" w:rsidR="00BE3F39" w:rsidRDefault="00CA5D84">
      <w:pPr>
        <w:pStyle w:val="Ttulo1"/>
      </w:pPr>
      <w:bookmarkStart w:id="10" w:name="_Toc231082771"/>
      <w:r>
        <w:lastRenderedPageBreak/>
        <w:t>Capítulo 1 — Introducción</w:t>
      </w:r>
      <w:bookmarkEnd w:id="10"/>
    </w:p>
    <w:p w14:paraId="2C42CD27" w14:textId="77777777" w:rsidR="00BE3F39" w:rsidRDefault="00CA5D84">
      <w:pPr>
        <w:pStyle w:val="Ttulo2"/>
      </w:pPr>
      <w:bookmarkStart w:id="11" w:name="_Toc231082772"/>
      <w:r>
        <w:t>1.1 Contextualización</w:t>
      </w:r>
      <w:bookmarkEnd w:id="11"/>
    </w:p>
    <w:p w14:paraId="19C5228B" w14:textId="77777777" w:rsidR="00BE3F39" w:rsidRDefault="00CA5D84">
      <w:r>
        <w:t>El cobre ocupa un lugar estructural en la economía chilena. Chile es el principal productor</w:t>
      </w:r>
    </w:p>
    <w:p w14:paraId="3ACAEC03" w14:textId="77777777" w:rsidR="00BE3F39" w:rsidRDefault="00CA5D84">
      <w:r>
        <w:t>mundial de cobre, y este metal representa una fracción central de sus exportaciones y un aporte</w:t>
      </w:r>
    </w:p>
    <w:p w14:paraId="15CD0DCD" w14:textId="77777777" w:rsidR="00BE3F39" w:rsidRDefault="00CA5D84">
      <w:r>
        <w:t>significativo a los ingresos fiscales y al producto. [COMPLETAR: participación del cobre en las</w:t>
      </w:r>
    </w:p>
    <w:p w14:paraId="76973BB9" w14:textId="77777777" w:rsidR="00BE3F39" w:rsidRDefault="00CA5D84">
      <w:r>
        <w:t>exportaciones totales y en el PIB, con cifra y año, fuente Cochilco / Banco Central de Chile.]</w:t>
      </w:r>
    </w:p>
    <w:p w14:paraId="22DB28A3" w14:textId="77777777" w:rsidR="00BE3F39" w:rsidRDefault="00CA5D84">
      <w:r>
        <w:t>Esta dependencia convierte al precio del cobre en una variable macroeconómica de primer orden</w:t>
      </w:r>
    </w:p>
    <w:p w14:paraId="4CB2B594" w14:textId="77777777" w:rsidR="00BE3F39" w:rsidRDefault="00CA5D84">
      <w:r>
        <w:t>para el país, con efectos documentados sobre el tipo de cambio, las cuentas externas y el ciclo</w:t>
      </w:r>
    </w:p>
    <w:p w14:paraId="7EECC9BA" w14:textId="77777777" w:rsidR="00BE3F39" w:rsidRDefault="00CA5D84">
      <w:r>
        <w:t>económico nacional.</w:t>
      </w:r>
    </w:p>
    <w:p w14:paraId="5D03D20A" w14:textId="77777777" w:rsidR="00BE3F39" w:rsidRDefault="00CA5D84">
      <w:r>
        <w:t>En el plano financiero, las empresas dedicadas a la extracción y procesamiento de cobre</w:t>
      </w:r>
    </w:p>
    <w:p w14:paraId="769DB201" w14:textId="77777777" w:rsidR="00BE3F39" w:rsidRDefault="00CA5D84">
      <w:r>
        <w:t>constituyen un sector cuya valoración bursátil está, en principio, estrechamente ligada a la</w:t>
      </w:r>
    </w:p>
    <w:p w14:paraId="1AC2D18B" w14:textId="77777777" w:rsidR="00BE3F39" w:rsidRDefault="00CA5D84">
      <w:r>
        <w:t>evolución del precio del metal y a las condiciones macroeconómicas globales y locales. Sin</w:t>
      </w:r>
    </w:p>
    <w:p w14:paraId="3EED7AAB" w14:textId="77777777" w:rsidR="00BE3F39" w:rsidRDefault="00CA5D84">
      <w:r>
        <w:t>embargo, la magnitud, el signo y la estabilidad de esa relación no son evidentes a priori:</w:t>
      </w:r>
    </w:p>
    <w:p w14:paraId="3787BC4D" w14:textId="77777777" w:rsidR="00BE3F39" w:rsidRDefault="00CA5D84">
      <w:r>
        <w:t>dependen de la estructura de ingresos y costos de las empresas, de su exposición cambiaria, del</w:t>
      </w:r>
    </w:p>
    <w:p w14:paraId="6D4FA911" w14:textId="77777777" w:rsidR="00BE3F39" w:rsidRDefault="00CA5D84">
      <w:r>
        <w:t>entorno de tasas de interés y del apetito por riesgo de los mercados internacionales. Cuantificar</w:t>
      </w:r>
    </w:p>
    <w:p w14:paraId="2415DBE0" w14:textId="77777777" w:rsidR="00BE3F39" w:rsidRDefault="00CA5D84">
      <w:r>
        <w:t>empíricamente esta relación, para el caso específico de las empresas de minería de cobre con</w:t>
      </w:r>
    </w:p>
    <w:p w14:paraId="75A0ED06" w14:textId="77777777" w:rsidR="00BE3F39" w:rsidRDefault="00CA5D84">
      <w:r>
        <w:t>exposición a Chile, es el propósito de esta investigación.</w:t>
      </w:r>
    </w:p>
    <w:p w14:paraId="39B1F86A" w14:textId="77777777" w:rsidR="00BE3F39" w:rsidRDefault="00CA5D84">
      <w:pPr>
        <w:pStyle w:val="Ttulo2"/>
      </w:pPr>
      <w:bookmarkStart w:id="12" w:name="_Toc231082773"/>
      <w:r>
        <w:lastRenderedPageBreak/>
        <w:t>1.2 Problema de investigación y justificación</w:t>
      </w:r>
      <w:bookmarkEnd w:id="12"/>
    </w:p>
    <w:p w14:paraId="7B93D072" w14:textId="77777777" w:rsidR="00BE3F39" w:rsidRDefault="00CA5D84">
      <w:r>
        <w:t>La literatura financiera ha establecido que las variables macroeconómicas constituyen factores</w:t>
      </w:r>
    </w:p>
    <w:p w14:paraId="70B0B2BA" w14:textId="77777777" w:rsidR="00BE3F39" w:rsidRDefault="00CA5D84">
      <w:r>
        <w:t>de riesgo sistemático que afectan los retornos accionarios. No obstante, la mayor parte de la</w:t>
      </w:r>
    </w:p>
    <w:p w14:paraId="45C57997" w14:textId="77777777" w:rsidR="00BE3F39" w:rsidRDefault="00CA5D84">
      <w:r>
        <w:t>evidencia se concentra en mercados desarrollados, en índices agregados y, en el ámbito de los</w:t>
      </w:r>
    </w:p>
    <w:p w14:paraId="43D65E9C" w14:textId="77777777" w:rsidR="00BE3F39" w:rsidRDefault="00CA5D84">
      <w:r>
        <w:t>commodities, en el sector energético. Para el caso chileno, si bien existe evidencia que vincula</w:t>
      </w:r>
    </w:p>
    <w:p w14:paraId="11F86ED3" w14:textId="77777777" w:rsidR="00BE3F39" w:rsidRDefault="00CA5D84">
      <w:r>
        <w:t>el precio del cobre con variables macroeconómicas agregadas como el tipo de cambio y el</w:t>
      </w:r>
    </w:p>
    <w:p w14:paraId="02C05A91" w14:textId="77777777" w:rsidR="00BE3F39" w:rsidRDefault="00CA5D84">
      <w:r>
        <w:t>crecimiento, son escasos los estudios que analizan su impacto sobre la **valoración bursátil de</w:t>
      </w:r>
    </w:p>
    <w:p w14:paraId="285F0BD9" w14:textId="77777777" w:rsidR="00BE3F39" w:rsidRDefault="00CA5D84">
      <w:r>
        <w:t>las propias empresas mineras**, y prácticamente inexistentes los que evalúan si dicho impacto es</w:t>
      </w:r>
    </w:p>
    <w:p w14:paraId="61564CE3" w14:textId="77777777" w:rsidR="00BE3F39" w:rsidRDefault="00CA5D84">
      <w:r>
        <w:rPr>
          <w:b/>
        </w:rPr>
        <w:t>estable a lo largo de las distintas fases del ciclo del precio del cobre</w:t>
      </w:r>
      <w:r>
        <w:t>.</w:t>
      </w:r>
    </w:p>
    <w:p w14:paraId="46D09521" w14:textId="77777777" w:rsidR="00BE3F39" w:rsidRDefault="00CA5D84">
      <w:r>
        <w:t xml:space="preserve">Este vacío es relevante por tres razones. Primero, desde la perspectiva de los </w:t>
      </w:r>
      <w:r>
        <w:rPr>
          <w:b/>
        </w:rPr>
        <w:t>inversionistas</w:t>
      </w:r>
      <w:r>
        <w:t>,</w:t>
      </w:r>
    </w:p>
    <w:p w14:paraId="4AF5E5B5" w14:textId="77777777" w:rsidR="00BE3F39" w:rsidRDefault="00CA5D84">
      <w:r>
        <w:t>comprender qué factores mueven los retornos del sector y con qué intensidad es esencial para la</w:t>
      </w:r>
    </w:p>
    <w:p w14:paraId="567A3EF9" w14:textId="77777777" w:rsidR="00BE3F39" w:rsidRDefault="00CA5D84">
      <w:r>
        <w:t>valoración y la gestión de riesgos. Segundo, desde la perspectiva de la **política y la gestión</w:t>
      </w:r>
    </w:p>
    <w:p w14:paraId="2ACEB7B7" w14:textId="77777777" w:rsidR="00BE3F39" w:rsidRDefault="00CA5D84">
      <w:r>
        <w:t xml:space="preserve">empresarial**, </w:t>
      </w:r>
      <w:r>
        <w:t>identificar la sensibilidad del valor de las empresas a shocks macroeconómicos</w:t>
      </w:r>
    </w:p>
    <w:p w14:paraId="576AB87A" w14:textId="77777777" w:rsidR="00BE3F39" w:rsidRDefault="00CA5D84">
      <w:r>
        <w:t xml:space="preserve">informa decisiones de cobertura y planificación. Tercero, desde la perspectiva </w:t>
      </w:r>
      <w:r>
        <w:rPr>
          <w:b/>
        </w:rPr>
        <w:t>académica</w:t>
      </w:r>
      <w:r>
        <w:t>, el</w:t>
      </w:r>
    </w:p>
    <w:p w14:paraId="343407B9" w14:textId="77777777" w:rsidR="00BE3F39" w:rsidRDefault="00CA5D84">
      <w:r>
        <w:t>caso chileno ofrece un laboratorio natural para estudiar la transmisión de un precio de commodity</w:t>
      </w:r>
    </w:p>
    <w:p w14:paraId="4B191128" w14:textId="77777777" w:rsidR="00BE3F39" w:rsidRDefault="00CA5D84">
      <w:r>
        <w:t>a la valoración de empresas en una economía pequeña, abierta y exportadora.</w:t>
      </w:r>
    </w:p>
    <w:p w14:paraId="1BB41A47" w14:textId="77777777" w:rsidR="00BE3F39" w:rsidRDefault="00CA5D84">
      <w:pPr>
        <w:pStyle w:val="Ttulo2"/>
      </w:pPr>
      <w:bookmarkStart w:id="13" w:name="_Toc231082774"/>
      <w:r>
        <w:lastRenderedPageBreak/>
        <w:t>1.3 Pregunta y objetivos de investigación</w:t>
      </w:r>
      <w:bookmarkEnd w:id="13"/>
    </w:p>
    <w:p w14:paraId="6760DB19" w14:textId="77777777" w:rsidR="00BE3F39" w:rsidRDefault="00CA5D84">
      <w:r>
        <w:rPr>
          <w:b/>
        </w:rPr>
        <w:t>Pregunta general.</w:t>
      </w:r>
      <w:r>
        <w:t xml:space="preserve"> ¿Cuál es el impacto de las variables macroeconómicas globales y nacionales</w:t>
      </w:r>
    </w:p>
    <w:p w14:paraId="09C24EF6" w14:textId="77777777" w:rsidR="00BE3F39" w:rsidRDefault="00CA5D84">
      <w:r>
        <w:t>sobre los retornos accionarios de las empresas de cobre con exposición a Chile; es dicho impacto</w:t>
      </w:r>
    </w:p>
    <w:p w14:paraId="7E5BF706" w14:textId="77777777" w:rsidR="00BE3F39" w:rsidRDefault="00CA5D84">
      <w:r>
        <w:t>estable a lo largo de las fases del ciclo del precio del cobre; y se transmite de manera</w:t>
      </w:r>
    </w:p>
    <w:p w14:paraId="2920A235" w14:textId="77777777" w:rsidR="00BE3F39" w:rsidRDefault="00CA5D84">
      <w:r>
        <w:t xml:space="preserve">diferenciada en el </w:t>
      </w:r>
      <w:r>
        <w:rPr>
          <w:b/>
        </w:rPr>
        <w:t>mercado bursátil internacional</w:t>
      </w:r>
      <w:r>
        <w:t xml:space="preserve"> frente al </w:t>
      </w:r>
      <w:r>
        <w:rPr>
          <w:b/>
        </w:rPr>
        <w:t>chileno</w:t>
      </w:r>
      <w:r>
        <w:t>?</w:t>
      </w:r>
    </w:p>
    <w:p w14:paraId="63FB9D00" w14:textId="77777777" w:rsidR="00BE3F39" w:rsidRDefault="00CA5D84">
      <w:r>
        <w:rPr>
          <w:b/>
        </w:rPr>
        <w:t>Objetivo general.</w:t>
      </w:r>
      <w:r>
        <w:t xml:space="preserve"> Cuantificar y comparar el impacto de las variables macroeconómicas globales</w:t>
      </w:r>
    </w:p>
    <w:p w14:paraId="46C2E95C" w14:textId="77777777" w:rsidR="00BE3F39" w:rsidRDefault="00CA5D84">
      <w:r>
        <w:t>y nacionales sobre los retornos accionarios de las empresas de cobre con exposición a Chile</w:t>
      </w:r>
    </w:p>
    <w:p w14:paraId="3E7F3887" w14:textId="77777777" w:rsidR="00BE3F39" w:rsidRDefault="00CA5D84">
      <w:r>
        <w:t>durante el período 2004–2024, contrastando su transmisión entre el mercado bursátil internacional</w:t>
      </w:r>
    </w:p>
    <w:p w14:paraId="31A85F2C" w14:textId="77777777" w:rsidR="00BE3F39" w:rsidRDefault="00CA5D84">
      <w:r>
        <w:t>y el chileno, mediante modelos econométricos de series de tiempo y datos de panel.</w:t>
      </w:r>
    </w:p>
    <w:p w14:paraId="2357E371" w14:textId="77777777" w:rsidR="00BE3F39" w:rsidRDefault="00CA5D84">
      <w:r>
        <w:t>*(La estabilidad de las relaciones a lo largo de las fases del ciclo del cobre y la comparación</w:t>
      </w:r>
    </w:p>
    <w:p w14:paraId="7DBD3253" w14:textId="77777777" w:rsidR="00BE3F39" w:rsidRDefault="00CA5D84">
      <w:r>
        <w:t>entre mercados se desarrollan como objetivos específicos OE5 y OE6.)*</w:t>
      </w:r>
    </w:p>
    <w:p w14:paraId="5E4096E8" w14:textId="77777777" w:rsidR="00BE3F39" w:rsidRDefault="00CA5D84">
      <w:r>
        <w:rPr>
          <w:b/>
        </w:rPr>
        <w:t>Objetivos específicos.</w:t>
      </w:r>
    </w:p>
    <w:p w14:paraId="6EEA2CC0" w14:textId="77777777" w:rsidR="00BE3F39" w:rsidRDefault="00CA5D84">
      <w:pPr>
        <w:pStyle w:val="Listaconnmeros"/>
      </w:pPr>
      <w:r>
        <w:t>Caracterizar las propiedades estadísticas de las series de retornos y de las variables</w:t>
      </w:r>
    </w:p>
    <w:p w14:paraId="28C3C63A" w14:textId="77777777" w:rsidR="00BE3F39" w:rsidRDefault="00CA5D84">
      <w:r>
        <w:t xml:space="preserve">   explicativas (estacionariedad, volatilidad y quiebres estructurales).</w:t>
      </w:r>
    </w:p>
    <w:p w14:paraId="799857F0" w14:textId="77777777" w:rsidR="00BE3F39" w:rsidRDefault="00CA5D84">
      <w:pPr>
        <w:pStyle w:val="Listaconnmeros"/>
      </w:pPr>
      <w:r>
        <w:t>Estimar la sensibilidad de los retornos a las variables macro-financieras, distinguiendo</w:t>
      </w:r>
    </w:p>
    <w:p w14:paraId="64728D38" w14:textId="77777777" w:rsidR="00BE3F39" w:rsidRDefault="00CA5D84">
      <w:r>
        <w:t xml:space="preserve">   factores globales de locales.</w:t>
      </w:r>
    </w:p>
    <w:p w14:paraId="19A08113" w14:textId="77777777" w:rsidR="00BE3F39" w:rsidRDefault="00CA5D84">
      <w:pPr>
        <w:pStyle w:val="Listaconnmeros"/>
      </w:pPr>
      <w:r>
        <w:t>Determinar la existencia de relaciones de equilibrio de largo plazo y dinámicas de corto plazo</w:t>
      </w:r>
    </w:p>
    <w:p w14:paraId="3D8486AD" w14:textId="77777777" w:rsidR="00BE3F39" w:rsidRDefault="00CA5D84">
      <w:r>
        <w:t xml:space="preserve">   entre el valor bursátil del sector y sus determinantes macroeconómicos.</w:t>
      </w:r>
    </w:p>
    <w:p w14:paraId="202F6D59" w14:textId="77777777" w:rsidR="00BE3F39" w:rsidRDefault="00CA5D84">
      <w:pPr>
        <w:pStyle w:val="Listaconnmeros"/>
      </w:pPr>
      <w:r>
        <w:t>Cuantificar la respuesta dinámica de los retornos ante shocks en las variables macro clave.</w:t>
      </w:r>
    </w:p>
    <w:p w14:paraId="5682A248" w14:textId="77777777" w:rsidR="00BE3F39" w:rsidRDefault="00CA5D84">
      <w:pPr>
        <w:pStyle w:val="Listaconnmeros"/>
      </w:pPr>
      <w:r>
        <w:lastRenderedPageBreak/>
        <w:t>Evaluar la estabilidad de estas relaciones a lo largo de las fases del ciclo del precio del</w:t>
      </w:r>
    </w:p>
    <w:p w14:paraId="6C9891C6" w14:textId="77777777" w:rsidR="00BE3F39" w:rsidRDefault="00CA5D84">
      <w:r>
        <w:t xml:space="preserve">   cobre.</w:t>
      </w:r>
    </w:p>
    <w:p w14:paraId="341D4F2B" w14:textId="77777777" w:rsidR="00BE3F39" w:rsidRDefault="00CA5D84">
      <w:pPr>
        <w:pStyle w:val="Listaconnmeros"/>
      </w:pPr>
      <w:r>
        <w:t>Comparar la transmisión del impacto macroeconómico entre el mercado bursátil global y el</w:t>
      </w:r>
    </w:p>
    <w:p w14:paraId="6372F05F" w14:textId="77777777" w:rsidR="00BE3F39" w:rsidRDefault="00CA5D84">
      <w:r>
        <w:t xml:space="preserve">   mercado bursátil chileno.</w:t>
      </w:r>
    </w:p>
    <w:p w14:paraId="4B7C5EDA" w14:textId="77777777" w:rsidR="00BE3F39" w:rsidRDefault="00CA5D84">
      <w:r>
        <w:t>*(Las preguntas específicas PI1–PI6 y las hipótesis H1–H7 se presentan en el Capítulo 2 y se</w:t>
      </w:r>
    </w:p>
    <w:p w14:paraId="7D4FB213" w14:textId="77777777" w:rsidR="00BE3F39" w:rsidRDefault="00CA5D84">
      <w:r>
        <w:t>sintetizan en la matriz de consistencia.)*</w:t>
      </w:r>
    </w:p>
    <w:p w14:paraId="756F7DC8" w14:textId="77777777" w:rsidR="00BE3F39" w:rsidRDefault="00CA5D84">
      <w:pPr>
        <w:pStyle w:val="Ttulo2"/>
      </w:pPr>
      <w:bookmarkStart w:id="14" w:name="_Toc231082775"/>
      <w:r>
        <w:t>1.4 Hipótesis general</w:t>
      </w:r>
      <w:bookmarkEnd w:id="14"/>
    </w:p>
    <w:p w14:paraId="51395DA9" w14:textId="77777777" w:rsidR="00BE3F39" w:rsidRDefault="00CA5D84">
      <w:r>
        <w:t xml:space="preserve">Se postula que el precio del cobre constituye el principal </w:t>
      </w:r>
      <w:r>
        <w:t>determinante de los retornos del</w:t>
      </w:r>
    </w:p>
    <w:p w14:paraId="20CB0DEA" w14:textId="77777777" w:rsidR="00BE3F39" w:rsidRDefault="00CA5D84">
      <w:r>
        <w:t>sector, con un efecto positivo y significativo; que los factores globales predominan sobre los</w:t>
      </w:r>
    </w:p>
    <w:p w14:paraId="28E1849A" w14:textId="77777777" w:rsidR="00BE3F39" w:rsidRDefault="00CA5D84">
      <w:r>
        <w:t>locales en la explicación de la varianza de los retornos; que la sensibilidad de los retornos a</w:t>
      </w:r>
    </w:p>
    <w:p w14:paraId="6EA8E36E" w14:textId="77777777" w:rsidR="00BE3F39" w:rsidRDefault="00CA5D84">
      <w:r>
        <w:t>los factores macroeconómicos varía según la fase del ciclo del cobre; y que el mercado bursátil</w:t>
      </w:r>
    </w:p>
    <w:p w14:paraId="6029EAD8" w14:textId="77777777" w:rsidR="00BE3F39" w:rsidRDefault="00CA5D84">
      <w:r>
        <w:t>global incorpora los shocks del cobre de forma más rápida y completa que el mercado chileno. El</w:t>
      </w:r>
    </w:p>
    <w:p w14:paraId="43235249" w14:textId="77777777" w:rsidR="00BE3F39" w:rsidRDefault="00CA5D84">
      <w:r>
        <w:t>detalle y el sustento teórico de cada hipótesis se desarrollan en el Capítulo 2.</w:t>
      </w:r>
    </w:p>
    <w:p w14:paraId="3D1890FD" w14:textId="77777777" w:rsidR="00BE3F39" w:rsidRDefault="00CA5D84">
      <w:pPr>
        <w:pStyle w:val="Ttulo2"/>
      </w:pPr>
      <w:bookmarkStart w:id="15" w:name="_Toc231082776"/>
      <w:r>
        <w:t>1.5 Aspectos metodológicos y alcance</w:t>
      </w:r>
      <w:bookmarkEnd w:id="15"/>
    </w:p>
    <w:p w14:paraId="727F04E9" w14:textId="77777777" w:rsidR="00BE3F39" w:rsidRDefault="00CA5D84">
      <w:r>
        <w:t xml:space="preserve">La investigación adopta un enfoque </w:t>
      </w:r>
      <w:r>
        <w:rPr>
          <w:b/>
        </w:rPr>
        <w:t>explicativo y de medición de impacto</w:t>
      </w:r>
      <w:r>
        <w:t>, no predictivo,</w:t>
      </w:r>
    </w:p>
    <w:p w14:paraId="0DEC5808" w14:textId="77777777" w:rsidR="00BE3F39" w:rsidRDefault="00CA5D84">
      <w:r>
        <w:t>empleando herramientas de econometría de series de tiempo y datos de panel. El universo de</w:t>
      </w:r>
    </w:p>
    <w:p w14:paraId="3EF9E846" w14:textId="77777777" w:rsidR="00BE3F39" w:rsidRDefault="00CA5D84">
      <w:r>
        <w:t xml:space="preserve">estudio se organiza bajo un </w:t>
      </w:r>
      <w:r>
        <w:rPr>
          <w:b/>
        </w:rPr>
        <w:t>diseño de triangulación por tres muestras</w:t>
      </w:r>
      <w:r>
        <w:t>: empresas de cobre que</w:t>
      </w:r>
    </w:p>
    <w:p w14:paraId="14509635" w14:textId="77777777" w:rsidR="00BE3F39" w:rsidRDefault="00CA5D84">
      <w:r>
        <w:t>cotizan en el mercado global con operación en Chile (muestra B), empresas de extracción de cobre</w:t>
      </w:r>
    </w:p>
    <w:p w14:paraId="729F1B62" w14:textId="77777777" w:rsidR="00BE3F39" w:rsidRDefault="00CA5D84">
      <w:r>
        <w:lastRenderedPageBreak/>
        <w:t>que cotizan en el mercado chileno (muestra A) y el sector minero cotizado en el mercado chileno</w:t>
      </w:r>
    </w:p>
    <w:p w14:paraId="5CEA7E47" w14:textId="77777777" w:rsidR="00BE3F39" w:rsidRDefault="00CA5D84">
      <w:r>
        <w:t>(muestra C). La comparación de los resultados entre las tres muestras permite contrastar si el</w:t>
      </w:r>
    </w:p>
    <w:p w14:paraId="2AFB576A" w14:textId="77777777" w:rsidR="00BE3F39" w:rsidRDefault="00CA5D84">
      <w:r>
        <w:t>mercado global y el chileno precian de manera diferenciada los shocks macroeconómicos. El período</w:t>
      </w:r>
    </w:p>
    <w:p w14:paraId="07554D63" w14:textId="77777777" w:rsidR="00BE3F39" w:rsidRDefault="00CA5D84">
      <w:r>
        <w:t>de estudio abarca 2004–2024 con frecuencia mensual, cubriendo al menos un ciclo completo del</w:t>
      </w:r>
    </w:p>
    <w:p w14:paraId="6E867434" w14:textId="77777777" w:rsidR="00BE3F39" w:rsidRDefault="00CA5D84">
      <w:r>
        <w:t>precio del cobre. El análisis se implementa en Python.</w:t>
      </w:r>
    </w:p>
    <w:p w14:paraId="3724D34C" w14:textId="77777777" w:rsidR="00BE3F39" w:rsidRDefault="00CA5D84">
      <w:r>
        <w:t xml:space="preserve">Entre las </w:t>
      </w:r>
      <w:r>
        <w:rPr>
          <w:b/>
        </w:rPr>
        <w:t>limitaciones</w:t>
      </w:r>
      <w:r>
        <w:t xml:space="preserve"> del estudio cabe anticipar el reducido número de empresas de cobre</w:t>
      </w:r>
    </w:p>
    <w:p w14:paraId="1ACACD60" w14:textId="77777777" w:rsidR="00BE3F39" w:rsidRDefault="00CA5D84">
      <w:r>
        <w:t>puro cotizadas con exposición a Chile, la heterogeneidad de los mercados en que transan y la</w:t>
      </w:r>
    </w:p>
    <w:p w14:paraId="71358947" w14:textId="77777777" w:rsidR="00BE3F39" w:rsidRDefault="00CA5D84">
      <w:r>
        <w:t>disponibilidad de algunas series macroeconómicas locales, aspectos que se abordan explícitamente</w:t>
      </w:r>
    </w:p>
    <w:p w14:paraId="2DE06BD8" w14:textId="77777777" w:rsidR="00BE3F39" w:rsidRDefault="00CA5D84">
      <w:r>
        <w:t>en el diseño metodológico (Capítulo 3).</w:t>
      </w:r>
    </w:p>
    <w:p w14:paraId="15960B79" w14:textId="77777777" w:rsidR="00BE3F39" w:rsidRDefault="00CA5D84">
      <w:pPr>
        <w:pStyle w:val="Ttulo2"/>
      </w:pPr>
      <w:bookmarkStart w:id="16" w:name="_Toc231082777"/>
      <w:r>
        <w:t>1.6 Aportes esperados</w:t>
      </w:r>
      <w:bookmarkEnd w:id="16"/>
    </w:p>
    <w:p w14:paraId="3842D7CE" w14:textId="77777777" w:rsidR="00BE3F39" w:rsidRDefault="00CA5D84">
      <w:r>
        <w:t>El principal aporte de esta tesis es proporcionar evidencia empírica cuantitativa sobre los</w:t>
      </w:r>
    </w:p>
    <w:p w14:paraId="775DD22C" w14:textId="77777777" w:rsidR="00BE3F39" w:rsidRDefault="00CA5D84">
      <w:r>
        <w:t>determinantes macroeconómicos de la valoración bursátil del sector de minería de cobre en Chile,</w:t>
      </w:r>
    </w:p>
    <w:p w14:paraId="6554E81B" w14:textId="77777777" w:rsidR="00BE3F39" w:rsidRDefault="00CA5D84">
      <w:r>
        <w:t>integrando en un mismo marco la medición de sensibilidad, el análisis de largo plazo, la dinámica</w:t>
      </w:r>
    </w:p>
    <w:p w14:paraId="0559330C" w14:textId="77777777" w:rsidR="00BE3F39" w:rsidRDefault="00CA5D84">
      <w:r>
        <w:t>de shocks y la evaluación de la estabilidad de estas relaciones según la fase del ciclo del cobre.</w:t>
      </w:r>
    </w:p>
    <w:p w14:paraId="4A0801AA" w14:textId="77777777" w:rsidR="00BE3F39" w:rsidRDefault="00CA5D84">
      <w:r>
        <w:t>De manera distintiva, el diseño de triangulación por tres muestras permite **comparar cómo el</w:t>
      </w:r>
    </w:p>
    <w:p w14:paraId="3034BA57" w14:textId="77777777" w:rsidR="00BE3F39" w:rsidRDefault="00CA5D84">
      <w:r>
        <w:t>mercado bursátil global y el mercado bursátil chileno incorporan los shocks macroeconómicos**</w:t>
      </w:r>
    </w:p>
    <w:p w14:paraId="71DD5E70" w14:textId="77777777" w:rsidR="00BE3F39" w:rsidRDefault="00CA5D84">
      <w:r>
        <w:lastRenderedPageBreak/>
        <w:t xml:space="preserve">sobre las mismas materias primas, </w:t>
      </w:r>
      <w:r>
        <w:t>conectando la evidencia con la literatura sobre eficiencia</w:t>
      </w:r>
    </w:p>
    <w:p w14:paraId="547CEFCA" w14:textId="77777777" w:rsidR="00BE3F39" w:rsidRDefault="00CA5D84">
      <w:r>
        <w:t>informacional y segmentación de mercados —un ángulo escasamente explorado para el caso chileno.</w:t>
      </w:r>
    </w:p>
    <w:p w14:paraId="5807F106" w14:textId="77777777" w:rsidR="00BE3F39" w:rsidRDefault="00CA5D84">
      <w:pPr>
        <w:pStyle w:val="Ttulo2"/>
      </w:pPr>
      <w:bookmarkStart w:id="17" w:name="_Toc231082778"/>
      <w:r>
        <w:t>1.7 Estructura de la tesis</w:t>
      </w:r>
      <w:bookmarkEnd w:id="17"/>
    </w:p>
    <w:p w14:paraId="43B64873" w14:textId="77777777" w:rsidR="00BE3F39" w:rsidRDefault="00CA5D84">
      <w:r>
        <w:t xml:space="preserve">El resto del documento se organiza como sigue. El Capítulo 2 </w:t>
      </w:r>
      <w:r>
        <w:t>presenta el marco teórico y la</w:t>
      </w:r>
    </w:p>
    <w:p w14:paraId="43063261" w14:textId="77777777" w:rsidR="00BE3F39" w:rsidRDefault="00CA5D84">
      <w:r>
        <w:t>revisión de literatura, junto con las hipótesis. El Capítulo 3 describe los datos, su tratamiento</w:t>
      </w:r>
    </w:p>
    <w:p w14:paraId="5FC77B78" w14:textId="77777777" w:rsidR="00BE3F39" w:rsidRDefault="00CA5D84">
      <w:r>
        <w:t>y la estrategia econométrica. El Capítulo 4 expone y discute los resultados, organizados por</w:t>
      </w:r>
    </w:p>
    <w:p w14:paraId="02D88855" w14:textId="77777777" w:rsidR="00BE3F39" w:rsidRDefault="00CA5D84">
      <w:r>
        <w:t>objetivo específico. El Capítulo 5 concluye, sintetizando los hallazgos, sus implicancias, las</w:t>
      </w:r>
    </w:p>
    <w:p w14:paraId="47F2E145" w14:textId="77777777" w:rsidR="00BE3F39" w:rsidRDefault="00CA5D84">
      <w:r>
        <w:t>limitaciones del estudio y las líneas futuras de investigación.</w:t>
      </w:r>
    </w:p>
    <w:p w14:paraId="4BB8FD58" w14:textId="77777777" w:rsidR="00BE3F39" w:rsidRDefault="00CA5D84">
      <w:r>
        <w:br w:type="page"/>
      </w:r>
    </w:p>
    <w:p w14:paraId="12DBEB51" w14:textId="77777777" w:rsidR="00BE3F39" w:rsidRDefault="00CA5D84">
      <w:pPr>
        <w:pStyle w:val="Ttulo1"/>
      </w:pPr>
      <w:bookmarkStart w:id="18" w:name="_Toc231082779"/>
      <w:r>
        <w:lastRenderedPageBreak/>
        <w:t>Capítulo 2 — Marco teórico y revisión de literatura</w:t>
      </w:r>
      <w:bookmarkEnd w:id="18"/>
    </w:p>
    <w:p w14:paraId="19DF4DCE" w14:textId="77777777" w:rsidR="00BE3F39" w:rsidRDefault="00CA5D84">
      <w:pPr>
        <w:pStyle w:val="Ttulo2"/>
      </w:pPr>
      <w:bookmarkStart w:id="19" w:name="_Toc231082780"/>
      <w:r>
        <w:t>2.1 Determinantes macroeconómicos de los retornos accionarios</w:t>
      </w:r>
      <w:bookmarkEnd w:id="19"/>
    </w:p>
    <w:p w14:paraId="26B8A756" w14:textId="77777777" w:rsidR="00BE3F39" w:rsidRDefault="00CA5D84">
      <w:r>
        <w:t>La relación entre las condiciones macroeconómicas y la valoración de los activos financieros</w:t>
      </w:r>
    </w:p>
    <w:p w14:paraId="14F85D5F" w14:textId="77777777" w:rsidR="00BE3F39" w:rsidRDefault="00CA5D84">
      <w:r>
        <w:t>constituye un eje central de la economía financiera. El marco de referencia es la **Teoría de</w:t>
      </w:r>
    </w:p>
    <w:p w14:paraId="1722B1CC" w14:textId="77777777" w:rsidR="00BE3F39" w:rsidRDefault="00CA5D84">
      <w:r>
        <w:t>Valoración por Arbitraje** (Arbitrage Pricing Theory, APT) de Ross (1976), que postula que el</w:t>
      </w:r>
    </w:p>
    <w:p w14:paraId="290BA000" w14:textId="77777777" w:rsidR="00BE3F39" w:rsidRDefault="00CA5D84">
      <w:r>
        <w:t>retorno esperado de un activo se explica por su exposición a un conjunto de factores de riesgo</w:t>
      </w:r>
    </w:p>
    <w:p w14:paraId="3E05DF04" w14:textId="77777777" w:rsidR="00BE3F39" w:rsidRDefault="00CA5D84">
      <w:r>
        <w:t>sistemáticos, sin restringirse a un único factor de mercado como en el CAPM. Bajo este marco,</w:t>
      </w:r>
    </w:p>
    <w:p w14:paraId="02496D14" w14:textId="77777777" w:rsidR="00BE3F39" w:rsidRDefault="00CA5D84">
      <w:r>
        <w:t>las variables macroeconómicas son candidatas naturales a factores de riesgo, en la medida en</w:t>
      </w:r>
    </w:p>
    <w:p w14:paraId="55EA5CD3" w14:textId="77777777" w:rsidR="00BE3F39" w:rsidRDefault="00CA5D84">
      <w:r>
        <w:t>que afectan de manera no diversificable los flujos de caja futuros de las empresas y la tasa a</w:t>
      </w:r>
    </w:p>
    <w:p w14:paraId="1AF7EC37" w14:textId="77777777" w:rsidR="00BE3F39" w:rsidRDefault="00CA5D84">
      <w:r>
        <w:t>la que estos se descuentan.</w:t>
      </w:r>
    </w:p>
    <w:p w14:paraId="342DB121" w14:textId="77777777" w:rsidR="00BE3F39" w:rsidRDefault="00CA5D84">
      <w:r>
        <w:t>La operacionalización empírica más influyente de esta idea es la de Chen, Roll y Ross (1986),</w:t>
      </w:r>
    </w:p>
    <w:p w14:paraId="57F10CD6" w14:textId="77777777" w:rsidR="00BE3F39" w:rsidRDefault="00CA5D84">
      <w:r>
        <w:t>quienes muestran que un conjunto de fuerzas económicas —la producción industrial, los cambios</w:t>
      </w:r>
    </w:p>
    <w:p w14:paraId="55866361" w14:textId="77777777" w:rsidR="00BE3F39" w:rsidRDefault="00CA5D84">
      <w:r>
        <w:t>en la prima de riesgo, la estructura temporal de tasas y la inflación no anticipada— se</w:t>
      </w:r>
    </w:p>
    <w:p w14:paraId="1F9F60D3" w14:textId="77777777" w:rsidR="00BE3F39" w:rsidRDefault="00CA5D84">
      <w:r>
        <w:t>encuentran sistemáticamente asociadas a los retornos accionarios. En la misma línea, Fama</w:t>
      </w:r>
    </w:p>
    <w:p w14:paraId="4052374C" w14:textId="77777777" w:rsidR="00BE3F39" w:rsidRDefault="00CA5D84">
      <w:r>
        <w:t>(1981) documenta el vínculo entre la actividad real y los retornos, y Fama y French (1989)</w:t>
      </w:r>
    </w:p>
    <w:p w14:paraId="2D2044BD" w14:textId="77777777" w:rsidR="00BE3F39" w:rsidRDefault="00CA5D84">
      <w:r>
        <w:t>identifican variables de estado macro-financieras con capacidad de explicar la variación de</w:t>
      </w:r>
    </w:p>
    <w:p w14:paraId="49F9D03D" w14:textId="77777777" w:rsidR="00BE3F39" w:rsidRDefault="00CA5D84">
      <w:r>
        <w:t>los retornos a lo largo del ciclo económico. Esta literatura fundamenta el enfoque</w:t>
      </w:r>
    </w:p>
    <w:p w14:paraId="0FB69C3D" w14:textId="77777777" w:rsidR="00BE3F39" w:rsidRDefault="00CA5D84">
      <w:r>
        <w:t>multifactorial que adopta la presente investigación: modelar el retorno del sector como</w:t>
      </w:r>
    </w:p>
    <w:p w14:paraId="6B948F19" w14:textId="77777777" w:rsidR="00BE3F39" w:rsidRDefault="00CA5D84">
      <w:r>
        <w:lastRenderedPageBreak/>
        <w:t>función de un vector de factores macroeconómicos y financieros [ver Capítulo 3].</w:t>
      </w:r>
    </w:p>
    <w:p w14:paraId="3D42A21A" w14:textId="77777777" w:rsidR="00BE3F39" w:rsidRDefault="00CA5D84">
      <w:r>
        <w:t>Formalmente, bajo la APT el retorno del activo *i* se expresa como una combinación lineal de su</w:t>
      </w:r>
    </w:p>
    <w:p w14:paraId="40518833" w14:textId="77777777" w:rsidR="00BE3F39" w:rsidRDefault="00CA5D84">
      <w:r>
        <w:t>exposición a *k* factores comunes:</w:t>
      </w:r>
    </w:p>
    <w:p w14:paraId="12E2F4AE" w14:textId="77777777" w:rsidR="00BE3F39" w:rsidRDefault="00CA5D84">
      <w:r>
        <w:t>donde f_j son los factores sistemáticos (no anticipados), β_{i,j} las sensibilidades (cargas</w:t>
      </w:r>
    </w:p>
    <w:p w14:paraId="27D17D1F" w14:textId="77777777" w:rsidR="00BE3F39" w:rsidRDefault="00CA5D84">
      <w:r>
        <w:t xml:space="preserve">factoriales) del activo a cada factor, y ε_i un componente idiosincrático </w:t>
      </w:r>
      <w:r>
        <w:t>diversificable con</w:t>
      </w:r>
    </w:p>
    <w:p w14:paraId="2AB9D3CC" w14:textId="77777777" w:rsidR="00BE3F39" w:rsidRDefault="00CA5D84">
      <w:r>
        <w:t>E(ε_i)=0. Ausente el arbitraje, el retorno esperado satisface E(r_i) = r_f + Σ_j β_{i,j} λ_j,</w:t>
      </w:r>
    </w:p>
    <w:p w14:paraId="35FF022A" w14:textId="77777777" w:rsidR="00BE3F39" w:rsidRDefault="00CA5D84">
      <w:r>
        <w:t>donde λ_j es el precio de mercado del riesgo asociado al factor j. La contribución empírica de</w:t>
      </w:r>
    </w:p>
    <w:p w14:paraId="1302E2EC" w14:textId="77777777" w:rsidR="00BE3F39" w:rsidRDefault="00CA5D84">
      <w:r>
        <w:t>esta tesis consiste, precisamente, en estimar las cargas β del sector cobre respecto de un</w:t>
      </w:r>
    </w:p>
    <w:p w14:paraId="70C82D28" w14:textId="77777777" w:rsidR="00BE3F39" w:rsidRDefault="00CA5D84">
      <w:r>
        <w:t>conjunto explícito de factores macroeconómicos y financieros, y en contrastar su signo, magnitud</w:t>
      </w:r>
    </w:p>
    <w:p w14:paraId="4A7944ED" w14:textId="77777777" w:rsidR="00BE3F39" w:rsidRDefault="00CA5D84">
      <w:r>
        <w:t>y significancia.</w:t>
      </w:r>
    </w:p>
    <w:p w14:paraId="2956196E" w14:textId="77777777" w:rsidR="00BE3F39" w:rsidRDefault="00CA5D84">
      <w:r>
        <w:rPr>
          <w:b/>
        </w:rPr>
        <w:t>Canales de transmisión.</w:t>
      </w:r>
      <w:r>
        <w:t xml:space="preserve"> La teoría identifica dos vías por las cuales un factor macroeconómico</w:t>
      </w:r>
    </w:p>
    <w:p w14:paraId="671A68ED" w14:textId="77777777" w:rsidR="00BE3F39" w:rsidRDefault="00CA5D84">
      <w:r>
        <w:t>afecta la valoración de una empresa, ambas derivables del modelo de descuento de dividendos</w:t>
      </w:r>
    </w:p>
    <w:p w14:paraId="7B382F60" w14:textId="77777777" w:rsidR="00BE3F39" w:rsidRDefault="00CA5D84">
      <w:r>
        <w:t xml:space="preserve">P_t = Σ_s E_t(D_{t+s}) / (1+k)^s: (i) el </w:t>
      </w:r>
      <w:r>
        <w:rPr>
          <w:b/>
        </w:rPr>
        <w:t>canal de flujos de caja</w:t>
      </w:r>
      <w:r>
        <w:t>, por el cual el factor altera</w:t>
      </w:r>
    </w:p>
    <w:p w14:paraId="357E6991" w14:textId="77777777" w:rsidR="00BE3F39" w:rsidRDefault="00CA5D84">
      <w:r>
        <w:t>los dividendos o utilidades esperadas E_t(D_{t+s}) —dominante para el precio del cobre, que</w:t>
      </w:r>
    </w:p>
    <w:p w14:paraId="4DA4A489" w14:textId="77777777" w:rsidR="00BE3F39" w:rsidRDefault="00CA5D84">
      <w:r>
        <w:t xml:space="preserve">determina los ingresos de una minera—; y (ii) el </w:t>
      </w:r>
      <w:r>
        <w:rPr>
          <w:b/>
        </w:rPr>
        <w:t>canal de la tasa de descuento</w:t>
      </w:r>
      <w:r>
        <w:t>, por el cual el</w:t>
      </w:r>
    </w:p>
    <w:p w14:paraId="4048F2D6" w14:textId="77777777" w:rsidR="00BE3F39" w:rsidRDefault="00CA5D84">
      <w:r>
        <w:t>factor modifica la tasa k a la que se descuentan dichos flujos —relevante para las tasas de interés</w:t>
      </w:r>
    </w:p>
    <w:p w14:paraId="4998D821" w14:textId="77777777" w:rsidR="00BE3F39" w:rsidRDefault="00CA5D84">
      <w:r>
        <w:t xml:space="preserve">y la prima de riesgo—. En una empresa con elevado </w:t>
      </w:r>
      <w:r>
        <w:rPr>
          <w:b/>
        </w:rPr>
        <w:t>apalancamiento operativo</w:t>
      </w:r>
      <w:r>
        <w:t>, como es típico en</w:t>
      </w:r>
    </w:p>
    <w:p w14:paraId="07A84268" w14:textId="77777777" w:rsidR="00BE3F39" w:rsidRDefault="00CA5D84">
      <w:r>
        <w:lastRenderedPageBreak/>
        <w:t>la minería, las variaciones del precio del commodity se amplifican sobre el margen y, por tanto,</w:t>
      </w:r>
    </w:p>
    <w:p w14:paraId="5D085025" w14:textId="77777777" w:rsidR="00BE3F39" w:rsidRDefault="00CA5D84">
      <w:r>
        <w:t>sobre el valor, lo que anticipa una sensibilidad β al cobre elevada.</w:t>
      </w:r>
    </w:p>
    <w:p w14:paraId="22F77668" w14:textId="77777777" w:rsidR="00BE3F39" w:rsidRDefault="00CA5D84">
      <w:r>
        <w:t xml:space="preserve">La evidencia reciente confirma la vigencia de este enfoque en </w:t>
      </w:r>
      <w:r>
        <w:rPr>
          <w:b/>
        </w:rPr>
        <w:t>mercados emergentes</w:t>
      </w:r>
      <w:r>
        <w:t>, contexto</w:t>
      </w:r>
    </w:p>
    <w:p w14:paraId="0A863AE4" w14:textId="77777777" w:rsidR="00BE3F39" w:rsidRDefault="00CA5D84">
      <w:r>
        <w:t>más cercano al caso chileno. Diversos estudios que contrastan el APT frente al CAPM en bolsas</w:t>
      </w:r>
    </w:p>
    <w:p w14:paraId="5A8DFEC4" w14:textId="77777777" w:rsidR="00BE3F39" w:rsidRDefault="00CA5D84">
      <w:r>
        <w:t xml:space="preserve">emergentes hallan que el primero se sostiene mejor y que el </w:t>
      </w:r>
      <w:r>
        <w:rPr>
          <w:b/>
        </w:rPr>
        <w:t>tipo de cambio</w:t>
      </w:r>
      <w:r>
        <w:t xml:space="preserve"> explica de manera</w:t>
      </w:r>
    </w:p>
    <w:p w14:paraId="1473790D" w14:textId="77777777" w:rsidR="00BE3F39" w:rsidRDefault="00CA5D84">
      <w:r>
        <w:t>consistente los retornos. Específicamente para Chile, Pedersen (2015), en un documento de trabajo</w:t>
      </w:r>
    </w:p>
    <w:p w14:paraId="2CF7A504" w14:textId="77777777" w:rsidR="00BE3F39" w:rsidRDefault="00CA5D84">
      <w:r>
        <w:t>del Banco Central de Chile, muestra que el efecto del precio del cobre sobre la economía depende</w:t>
      </w:r>
    </w:p>
    <w:p w14:paraId="33825442" w14:textId="77777777" w:rsidR="00BE3F39" w:rsidRDefault="00CA5D84">
      <w:r>
        <w:t xml:space="preserve">del </w:t>
      </w:r>
      <w:r>
        <w:rPr>
          <w:b/>
        </w:rPr>
        <w:t>tipo de shock</w:t>
      </w:r>
      <w:r>
        <w:t xml:space="preserve"> —las alzas por demanda elevan el crecimiento, mientras que los shocks de</w:t>
      </w:r>
    </w:p>
    <w:p w14:paraId="29E73E98" w14:textId="77777777" w:rsidR="00BE3F39" w:rsidRDefault="00CA5D84">
      <w:r>
        <w:t>oferta o de demanda específica del cobre tienen efectos negativos de corto plazo—, lo que motiva</w:t>
      </w:r>
    </w:p>
    <w:p w14:paraId="27592629" w14:textId="77777777" w:rsidR="00BE3F39" w:rsidRDefault="00CA5D84">
      <w:r>
        <w:t>distinguir la naturaleza de las perturbaciones. Este hallazgo es directamente relevante para la</w:t>
      </w:r>
    </w:p>
    <w:p w14:paraId="2219BDAD" w14:textId="77777777" w:rsidR="00BE3F39" w:rsidRDefault="00CA5D84">
      <w:r>
        <w:t>identificación de shocks de la presente tesis.</w:t>
      </w:r>
    </w:p>
    <w:p w14:paraId="508E53F6" w14:textId="77777777" w:rsidR="00BE3F39" w:rsidRDefault="00CA5D84">
      <w:pPr>
        <w:pStyle w:val="Ttulo2"/>
      </w:pPr>
      <w:bookmarkStart w:id="20" w:name="_Toc231082781"/>
      <w:r>
        <w:t>2.2 Precios de commodities y valoración de empresas mineras</w:t>
      </w:r>
      <w:bookmarkEnd w:id="20"/>
    </w:p>
    <w:p w14:paraId="7F37F475" w14:textId="77777777" w:rsidR="00BE3F39" w:rsidRDefault="00CA5D84">
      <w:r>
        <w:t>Para una empresa cuyo ingreso depende crucialmente del precio de un commodity, dicho precio</w:t>
      </w:r>
    </w:p>
    <w:p w14:paraId="20AA2285" w14:textId="77777777" w:rsidR="00BE3F39" w:rsidRDefault="00CA5D84">
      <w:r>
        <w:t>opera como un factor de riesgo de primer orden. La transmisión ocurre por el **canal de los</w:t>
      </w:r>
    </w:p>
    <w:p w14:paraId="39FAFF17" w14:textId="77777777" w:rsidR="00BE3F39" w:rsidRDefault="00CA5D84">
      <w:r>
        <w:t>flujos de caja**: variaciones en el precio del metal alteran directamente los ingresos y, dado</w:t>
      </w:r>
    </w:p>
    <w:p w14:paraId="6D18E6BA" w14:textId="77777777" w:rsidR="00BE3F39" w:rsidRDefault="00CA5D84">
      <w:r>
        <w:lastRenderedPageBreak/>
        <w:t>un apalancamiento operativo típicamente elevado en la minería, amplifican el efecto sobre los</w:t>
      </w:r>
    </w:p>
    <w:p w14:paraId="6F585172" w14:textId="77777777" w:rsidR="00BE3F39" w:rsidRDefault="00CA5D84">
      <w:r>
        <w:t xml:space="preserve">márgenes y el valor de la firma. La </w:t>
      </w:r>
      <w:r>
        <w:t>literatura sobre empresas de recursos naturales ha</w:t>
      </w:r>
    </w:p>
    <w:p w14:paraId="2A398790" w14:textId="77777777" w:rsidR="00BE3F39" w:rsidRDefault="00CA5D84">
      <w:r>
        <w:t>formalizado esta relación principalmente en el sector energético: Sadorsky (2001) analiza la</w:t>
      </w:r>
    </w:p>
    <w:p w14:paraId="7C12709B" w14:textId="77777777" w:rsidR="00BE3F39" w:rsidRDefault="00CA5D84">
      <w:r>
        <w:t>sensibilidad de los retornos de empresas de energía al precio del petróleo, y Boyer y Filion</w:t>
      </w:r>
    </w:p>
    <w:p w14:paraId="6A76ED95" w14:textId="77777777" w:rsidR="00BE3F39" w:rsidRDefault="00CA5D84">
      <w:r>
        <w:t>(2007) examinan los determinantes de los retornos de productoras canadienses de petróleo y gas,</w:t>
      </w:r>
    </w:p>
    <w:p w14:paraId="6F854FF5" w14:textId="77777777" w:rsidR="00BE3F39" w:rsidRDefault="00CA5D84">
      <w:r>
        <w:t>incorporando conjuntamente el precio del commodity, el tipo de cambio y las tasas de interés.</w:t>
      </w:r>
    </w:p>
    <w:p w14:paraId="68595A3F" w14:textId="77777777" w:rsidR="00BE3F39" w:rsidRDefault="00CA5D84">
      <w:r>
        <w:t>La estructura metodológica de estos trabajos es directamente trasladable al caso del cobre.</w:t>
      </w:r>
    </w:p>
    <w:p w14:paraId="46E8009F" w14:textId="77777777" w:rsidR="00BE3F39" w:rsidRDefault="00CA5D84">
      <w:r>
        <w:t xml:space="preserve">La evidencia específica sobre </w:t>
      </w:r>
      <w:r>
        <w:rPr>
          <w:b/>
        </w:rPr>
        <w:t>acciones mineras y precios de metales</w:t>
      </w:r>
      <w:r>
        <w:t xml:space="preserve"> es más reciente y</w:t>
      </w:r>
    </w:p>
    <w:p w14:paraId="4D6CB684" w14:textId="77777777" w:rsidR="00BE3F39" w:rsidRDefault="00CA5D84">
      <w:r>
        <w:t>predominantemente internacional. Zhu, Chen y Chen (2021), en *Resources Policy*, documentan que los</w:t>
      </w:r>
    </w:p>
    <w:p w14:paraId="5EA2CF3A" w14:textId="77777777" w:rsidR="00BE3F39" w:rsidRDefault="00CA5D84">
      <w:r>
        <w:t>precios de los metales no ferrosos tienen un impacto positivo sobre la valoración bursátil del</w:t>
      </w:r>
    </w:p>
    <w:p w14:paraId="26F4C5C7" w14:textId="77777777" w:rsidR="00BE3F39" w:rsidRDefault="00CA5D84">
      <w:r>
        <w:t>sector, con efectos que se intensifican tras la crisis financiera de 2008 (financiarización y</w:t>
      </w:r>
    </w:p>
    <w:p w14:paraId="175437BD" w14:textId="77777777" w:rsidR="00BE3F39" w:rsidRDefault="00CA5D84">
      <w:r>
        <w:t>co-movimiento de los mercados de commodities). Wallenstein, Mendiola y Chávez-Bedoya, en el marco</w:t>
      </w:r>
    </w:p>
    <w:p w14:paraId="14EB1C56" w14:textId="77777777" w:rsidR="00BE3F39" w:rsidRDefault="00CA5D84">
      <w:r>
        <w:t xml:space="preserve">de la CLADEA, encuentran una relación positiva pero </w:t>
      </w:r>
      <w:r>
        <w:rPr>
          <w:b/>
        </w:rPr>
        <w:t>inelástica</w:t>
      </w:r>
      <w:r>
        <w:t xml:space="preserve"> entre los retornos de acciones</w:t>
      </w:r>
    </w:p>
    <w:p w14:paraId="1AAADE72" w14:textId="77777777" w:rsidR="00BE3F39" w:rsidRDefault="00CA5D84">
      <w:r>
        <w:t>cupríferas y el precio del cobre, más fuerte en empresas de gran capitalización. La literatura</w:t>
      </w:r>
    </w:p>
    <w:p w14:paraId="28246EAB" w14:textId="77777777" w:rsidR="00BE3F39" w:rsidRDefault="00CA5D84">
      <w:r>
        <w:t>reciente en *Mineral Economics* (2025) modela, mediante ecuaciones estructurales, el vínculo entre</w:t>
      </w:r>
    </w:p>
    <w:p w14:paraId="18B652E4" w14:textId="77777777" w:rsidR="00BE3F39" w:rsidRDefault="00CA5D84">
      <w:r>
        <w:t>los precios del cobre y del oro y las cotizaciones mineras en las bolsas de Nueva York, Toronto y</w:t>
      </w:r>
    </w:p>
    <w:p w14:paraId="2596B438" w14:textId="77777777" w:rsidR="00BE3F39" w:rsidRDefault="00CA5D84">
      <w:r>
        <w:t>Australia. Es notable que esta literatura, pese a su relevancia, **excluye sistemáticamente a</w:t>
      </w:r>
    </w:p>
    <w:p w14:paraId="218C9572" w14:textId="77777777" w:rsidR="00BE3F39" w:rsidRDefault="00CA5D84">
      <w:r>
        <w:lastRenderedPageBreak/>
        <w:t>Chile** —primer productor mundial de cobre—, omisión que la presente investigación subsana.</w:t>
      </w:r>
    </w:p>
    <w:p w14:paraId="294E0CBC" w14:textId="77777777" w:rsidR="00BE3F39" w:rsidRDefault="00CA5D84">
      <w:pPr>
        <w:pStyle w:val="Ttulo2"/>
      </w:pPr>
      <w:bookmarkStart w:id="21" w:name="_Toc231082782"/>
      <w:r>
        <w:t>2.3 Tipo de cambio y exposición de empresas exportadoras</w:t>
      </w:r>
      <w:bookmarkEnd w:id="21"/>
    </w:p>
    <w:p w14:paraId="324B455D" w14:textId="77777777" w:rsidR="00BE3F39" w:rsidRDefault="00CA5D84">
      <w:r>
        <w:t>La exposición cambiaria —definida por Adler y Dumas (1984) como la elasticidad del valor de la</w:t>
      </w:r>
    </w:p>
    <w:p w14:paraId="0CB0DC0D" w14:textId="77777777" w:rsidR="00BE3F39" w:rsidRDefault="00CA5D84">
      <w:r>
        <w:t>firma frente a variaciones del tipo de cambio— es especialmente relevante para una productora</w:t>
      </w:r>
    </w:p>
    <w:p w14:paraId="77F69B56" w14:textId="77777777" w:rsidR="00BE3F39" w:rsidRDefault="00CA5D84">
      <w:r>
        <w:t>de cobre con exposición a Chile, cuyos ingresos se denominan mayoritariamente en dólares y cuya</w:t>
      </w:r>
    </w:p>
    <w:p w14:paraId="4AB2306C" w14:textId="77777777" w:rsidR="00BE3F39" w:rsidRDefault="00CA5D84">
      <w:r>
        <w:t>estructura de costos es parcialmente en moneda local. Jorion (1990) propone la metodología</w:t>
      </w:r>
    </w:p>
    <w:p w14:paraId="30F87494" w14:textId="77777777" w:rsidR="00BE3F39" w:rsidRDefault="00CA5D84">
      <w:r>
        <w:t>estándar para medir esta exposición, regresando los retornos accionarios sobre la variación del</w:t>
      </w:r>
    </w:p>
    <w:p w14:paraId="469D2755" w14:textId="77777777" w:rsidR="00BE3F39" w:rsidRDefault="00CA5D84">
      <w:r>
        <w:t>tipo de cambio; esta especificación es la que adopta la presente investigación para contrastar</w:t>
      </w:r>
    </w:p>
    <w:p w14:paraId="15FAD25B" w14:textId="77777777" w:rsidR="00BE3F39" w:rsidRDefault="00CA5D84">
      <w:r>
        <w:t>su hipótesis sobre el efecto cambiario.</w:t>
      </w:r>
    </w:p>
    <w:p w14:paraId="5264A4CE" w14:textId="77777777" w:rsidR="00BE3F39" w:rsidRDefault="00CA5D84">
      <w:r>
        <w:t>El signo del efecto no es teóricamente unívoco: una depreciación de la moneda local puede</w:t>
      </w:r>
    </w:p>
    <w:p w14:paraId="7A135211" w14:textId="77777777" w:rsidR="00BE3F39" w:rsidRDefault="00CA5D84">
      <w:r>
        <w:t>beneficiar los márgenes de una exportadora con costos en moneda local, pero el resultado neto</w:t>
      </w:r>
    </w:p>
    <w:p w14:paraId="52405135" w14:textId="77777777" w:rsidR="00BE3F39" w:rsidRDefault="00CA5D84">
      <w:r>
        <w:t>depende de la estructura de costos, del grado de cobertura y de la moneda en que cotiza la</w:t>
      </w:r>
    </w:p>
    <w:p w14:paraId="087841FD" w14:textId="77777777" w:rsidR="00BE3F39" w:rsidRDefault="00CA5D84">
      <w:r>
        <w:t xml:space="preserve">acción. Esta ambigüedad, lejos de ser una </w:t>
      </w:r>
      <w:r>
        <w:t>debilidad, constituye una pregunta empírica de</w:t>
      </w:r>
    </w:p>
    <w:p w14:paraId="08883153" w14:textId="77777777" w:rsidR="00BE3F39" w:rsidRDefault="00CA5D84">
      <w:r>
        <w:t>interés. [COMPLETAR: evidencia sobre exposición cambiaria en economías exportadoras de</w:t>
      </w:r>
    </w:p>
    <w:p w14:paraId="6BD8E948" w14:textId="77777777" w:rsidR="00BE3F39" w:rsidRDefault="00CA5D84">
      <w:r>
        <w:t>commodities y, en particular, en empresas chilenas.]</w:t>
      </w:r>
    </w:p>
    <w:p w14:paraId="7B7A6ED5" w14:textId="77777777" w:rsidR="00BE3F39" w:rsidRDefault="00CA5D84">
      <w:pPr>
        <w:pStyle w:val="Ttulo2"/>
      </w:pPr>
      <w:bookmarkStart w:id="22" w:name="_Toc231082783"/>
      <w:r>
        <w:t>2.4 Cobre, tipo de cambio y la economía chilena</w:t>
      </w:r>
      <w:bookmarkEnd w:id="22"/>
    </w:p>
    <w:p w14:paraId="22FACF00" w14:textId="77777777" w:rsidR="00BE3F39" w:rsidRDefault="00CA5D84">
      <w:r>
        <w:t xml:space="preserve">El caso chileno se inserta en la literatura sobre </w:t>
      </w:r>
      <w:r>
        <w:rPr>
          <w:b/>
        </w:rPr>
        <w:t>monedas-commodity</w:t>
      </w:r>
      <w:r>
        <w:t>, que documenta la</w:t>
      </w:r>
    </w:p>
    <w:p w14:paraId="0AE402F4" w14:textId="77777777" w:rsidR="00BE3F39" w:rsidRDefault="00CA5D84">
      <w:r>
        <w:lastRenderedPageBreak/>
        <w:t>estrecha relación entre los términos de intercambio de los países exportadores de materias</w:t>
      </w:r>
    </w:p>
    <w:p w14:paraId="6851F6D9" w14:textId="77777777" w:rsidR="00BE3F39" w:rsidRDefault="00CA5D84">
      <w:r>
        <w:t>primas y sus tipos de cambio. Chen, Rogoff y Rossi (2010) examinan la relación entre los tipos</w:t>
      </w:r>
    </w:p>
    <w:p w14:paraId="2B77C31E" w14:textId="77777777" w:rsidR="00BE3F39" w:rsidRDefault="00CA5D84">
      <w:r>
        <w:t>de cambio de exportadores de commodities y los precios de estos, y Cashin, Céspedes y Sahay</w:t>
      </w:r>
    </w:p>
    <w:p w14:paraId="2C851909" w14:textId="77777777" w:rsidR="00BE3F39" w:rsidRDefault="00CA5D84">
      <w:r>
        <w:t>(2004) caracterizan un conjunto de monedas —entre ellas el peso chileno— cuya dinámica está</w:t>
      </w:r>
    </w:p>
    <w:p w14:paraId="091E3E85" w14:textId="77777777" w:rsidR="00BE3F39" w:rsidRDefault="00CA5D84">
      <w:r>
        <w:t>ligada a los precios de las materias primas que exportan. Esta literatura sustenta la inclusión</w:t>
      </w:r>
    </w:p>
    <w:p w14:paraId="68513C65" w14:textId="77777777" w:rsidR="00BE3F39" w:rsidRDefault="00CA5D84">
      <w:r>
        <w:t>conjunta del precio del cobre y del tipo de cambio entre los determinantes del valor del sector,</w:t>
      </w:r>
    </w:p>
    <w:p w14:paraId="0F86E4DB" w14:textId="77777777" w:rsidR="00BE3F39" w:rsidRDefault="00CA5D84">
      <w:r>
        <w:t>y motiva la pregunta sobre la **dominancia relativa de los factores globales frente a los</w:t>
      </w:r>
    </w:p>
    <w:p w14:paraId="45066A31" w14:textId="77777777" w:rsidR="00BE3F39" w:rsidRDefault="00CA5D84">
      <w:r>
        <w:t>locales**.</w:t>
      </w:r>
    </w:p>
    <w:p w14:paraId="2224C254" w14:textId="77777777" w:rsidR="00BE3F39" w:rsidRDefault="00CA5D84">
      <w:r>
        <w:t>La evidencia empírica chilena puede ordenarse en tres eslabones. El primero, **cobre ↔ tipo de</w:t>
      </w:r>
    </w:p>
    <w:p w14:paraId="773FD2E6" w14:textId="77777777" w:rsidR="00BE3F39" w:rsidRDefault="00CA5D84">
      <w:r>
        <w:t>cambio**, es el más sólido: Chen y Rogoff (2003) y Chen, Rogoff y Rossi (2010) sitúan al peso</w:t>
      </w:r>
    </w:p>
    <w:p w14:paraId="668ABF35" w14:textId="77777777" w:rsidR="00BE3F39" w:rsidRDefault="00CA5D84">
      <w:r>
        <w:t>chileno entre las *commodity currencies* canónicas, y Pincheira y Hardy (2019), en *Resources</w:t>
      </w:r>
    </w:p>
    <w:p w14:paraId="73D6459E" w14:textId="77777777" w:rsidR="00BE3F39" w:rsidRDefault="00CA5D84">
      <w:r>
        <w:t>Policy*, muestran que el tipo de cambio chileno tiene poder predictivo sobre los retornos del</w:t>
      </w:r>
    </w:p>
    <w:p w14:paraId="7E39B7C7" w14:textId="77777777" w:rsidR="00BE3F39" w:rsidRDefault="00CA5D84">
      <w:r>
        <w:t>índice de metales base —incluido el cobre—, dado que este representa cerca de la mitad de las</w:t>
      </w:r>
    </w:p>
    <w:p w14:paraId="074C5764" w14:textId="77777777" w:rsidR="00BE3F39" w:rsidRDefault="00CA5D84">
      <w:r>
        <w:t>exportaciones del país. Labbé y De Gregorio (2011), en un documento de trabajo del Banco Central</w:t>
      </w:r>
    </w:p>
    <w:p w14:paraId="16C141D1" w14:textId="77777777" w:rsidR="00BE3F39" w:rsidRDefault="00CA5D84">
      <w:r>
        <w:t>de Chile, documentan cómo el tipo de cambio real opera como *amortiguador* de los shocks del precio</w:t>
      </w:r>
    </w:p>
    <w:p w14:paraId="0F06A208" w14:textId="77777777" w:rsidR="00BE3F39" w:rsidRDefault="00CA5D84">
      <w:r>
        <w:lastRenderedPageBreak/>
        <w:t xml:space="preserve">del cobre. El segundo eslabón, </w:t>
      </w:r>
      <w:r>
        <w:rPr>
          <w:b/>
        </w:rPr>
        <w:t>cobre ↔ mercado accionario chileno agregado</w:t>
      </w:r>
      <w:r>
        <w:t>, está representado</w:t>
      </w:r>
    </w:p>
    <w:p w14:paraId="0C82BBBD" w14:textId="77777777" w:rsidR="00BE3F39" w:rsidRDefault="00CA5D84">
      <w:r>
        <w:t>de forma directa por Zurita, Fuentes y Gregoire (2005), quienes, mediante un modelo APT sobre</w:t>
      </w:r>
    </w:p>
    <w:p w14:paraId="0E69094C" w14:textId="77777777" w:rsidR="00BE3F39" w:rsidRDefault="00CA5D84">
      <w:r>
        <w:t xml:space="preserve">retornos accionarios chilenos (1990–2003), encuentran que las </w:t>
      </w:r>
      <w:r>
        <w:rPr>
          <w:b/>
        </w:rPr>
        <w:t>sorpresas en el precio del cobre</w:t>
      </w:r>
    </w:p>
    <w:p w14:paraId="6E964E98" w14:textId="77777777" w:rsidR="00BE3F39" w:rsidRDefault="00CA5D84">
      <w:r>
        <w:t>están preciadas con una prima por riesgo estadísticamente significativa, rechazando el CAPM en</w:t>
      </w:r>
    </w:p>
    <w:p w14:paraId="175220F2" w14:textId="77777777" w:rsidR="00BE3F39" w:rsidRDefault="00CA5D84">
      <w:r>
        <w:t xml:space="preserve">favor del APT. El tercer eslabón, </w:t>
      </w:r>
      <w:r>
        <w:rPr>
          <w:b/>
        </w:rPr>
        <w:t>cobre ↔ acciones mineras</w:t>
      </w:r>
      <w:r>
        <w:t>, solo está documentado a nivel</w:t>
      </w:r>
    </w:p>
    <w:p w14:paraId="44C6A3FA" w14:textId="77777777" w:rsidR="00BE3F39" w:rsidRDefault="00CA5D84">
      <w:r>
        <w:t>internacional: Wallenstein, Mendiola y Chávez-Bedoya (CLADEA) hallan una relación positiva pero</w:t>
      </w:r>
    </w:p>
    <w:p w14:paraId="138D9347" w14:textId="77777777" w:rsidR="00BE3F39" w:rsidRDefault="00CA5D84">
      <w:r>
        <w:t>inelástica entre los retornos de acciones cupríferas y el precio del cobre, y la literatura</w:t>
      </w:r>
    </w:p>
    <w:p w14:paraId="3957BC06" w14:textId="77777777" w:rsidR="00BE3F39" w:rsidRDefault="00CA5D84">
      <w:r>
        <w:t>reciente en *Mineral Economics* (2025) modela ese vínculo para las bolsas de Nueva York, Toronto y</w:t>
      </w:r>
    </w:p>
    <w:p w14:paraId="75D4F29D" w14:textId="77777777" w:rsidR="00BE3F39" w:rsidRDefault="00CA5D84">
      <w:r>
        <w:t>Australia —excluyendo explícitamente a Chile y la Bolsa de Santiago—.</w:t>
      </w:r>
    </w:p>
    <w:p w14:paraId="056C7955" w14:textId="77777777" w:rsidR="00BE3F39" w:rsidRDefault="00CA5D84">
      <w:r>
        <w:rPr>
          <w:b/>
        </w:rPr>
        <w:t>El vacío que esta tesis llena</w:t>
      </w:r>
      <w:r>
        <w:t xml:space="preserve"> emerge con nitidez de esa revisión: no se identificó ningún</w:t>
      </w:r>
    </w:p>
    <w:p w14:paraId="2D7774F1" w14:textId="77777777" w:rsidR="00BE3F39" w:rsidRDefault="00CA5D84">
      <w:r>
        <w:t>estudio académico que estime econométricamente el efecto del precio del cobre y las variables</w:t>
      </w:r>
    </w:p>
    <w:p w14:paraId="5ACE0AD4" w14:textId="77777777" w:rsidR="00BE3F39" w:rsidRDefault="00CA5D84">
      <w:r>
        <w:t>macroeconómicas sobre los retornos de las **acciones cupríferas con exposición a Chile a nivel de</w:t>
      </w:r>
    </w:p>
    <w:p w14:paraId="2D825995" w14:textId="77777777" w:rsidR="00BE3F39" w:rsidRDefault="00CA5D84">
      <w:r>
        <w:t>empresa**, ni que compare formalmente el mercado bursátil internacional con el chileno para el</w:t>
      </w:r>
    </w:p>
    <w:p w14:paraId="7CB3788D" w14:textId="77777777" w:rsidR="00BE3F39" w:rsidRDefault="00CA5D84">
      <w:r>
        <w:t>período 2004–2024. El antecedente chileno más próximo (Zurita et al., 2005) trabaja con el índice</w:t>
      </w:r>
    </w:p>
    <w:p w14:paraId="0C24A7BF" w14:textId="77777777" w:rsidR="00BE3F39" w:rsidRDefault="00CA5D84">
      <w:r>
        <w:t>agregado y termina en 2003; los estudios que sí desagregan a nivel de acción minera excluyen a</w:t>
      </w:r>
    </w:p>
    <w:p w14:paraId="7543FADD" w14:textId="77777777" w:rsidR="00BE3F39" w:rsidRDefault="00CA5D84">
      <w:r>
        <w:lastRenderedPageBreak/>
        <w:t>Chile. La presente investigación se ubica, por tanto, en la intersección no cubierta de tres</w:t>
      </w:r>
    </w:p>
    <w:p w14:paraId="4BFBDE21" w14:textId="77777777" w:rsidR="00BE3F39" w:rsidRDefault="00CA5D84">
      <w:r>
        <w:t>literaturas bien establecidas por separado.</w:t>
      </w:r>
    </w:p>
    <w:p w14:paraId="18857CEB" w14:textId="77777777" w:rsidR="00BE3F39" w:rsidRDefault="00CA5D84">
      <w:pPr>
        <w:pStyle w:val="Ttulo2"/>
      </w:pPr>
      <w:bookmarkStart w:id="23" w:name="_Toc231082784"/>
      <w:r>
        <w:t>2.5 Eficiencia informacional y segmentación de mercados</w:t>
      </w:r>
      <w:bookmarkEnd w:id="23"/>
    </w:p>
    <w:p w14:paraId="5416108C" w14:textId="77777777" w:rsidR="00BE3F39" w:rsidRDefault="00CA5D84">
      <w:r>
        <w:t>Un mismo activo subyacente —en este caso, la exposición al precio del cobre— puede ser valorado</w:t>
      </w:r>
    </w:p>
    <w:p w14:paraId="6D85A825" w14:textId="77777777" w:rsidR="00BE3F39" w:rsidRDefault="00CA5D84">
      <w:r>
        <w:t>de manera distinta según el mercado bursátil en que se transe. La **hipótesis de eficiencia de</w:t>
      </w:r>
    </w:p>
    <w:p w14:paraId="3B9072C0" w14:textId="77777777" w:rsidR="00BE3F39" w:rsidRDefault="00CA5D84">
      <w:r>
        <w:t>mercado** (Fama, 1970) sostiene que los precios incorporan la información disponible; sin embargo,</w:t>
      </w:r>
    </w:p>
    <w:p w14:paraId="2F8F0B63" w14:textId="77777777" w:rsidR="00BE3F39" w:rsidRDefault="00CA5D84">
      <w:r>
        <w:t>el grado y la velocidad con que un mercado refleja un shock dependen de su **profundidad,</w:t>
      </w:r>
    </w:p>
    <w:p w14:paraId="1DB4B46D" w14:textId="77777777" w:rsidR="00BE3F39" w:rsidRDefault="00CA5D84">
      <w:r>
        <w:t>liquidez y grado de integración** con los mercados internacionales. La literatura sobre</w:t>
      </w:r>
    </w:p>
    <w:p w14:paraId="387A7CCF" w14:textId="77777777" w:rsidR="00BE3F39" w:rsidRDefault="00CA5D84">
      <w:r>
        <w:rPr>
          <w:b/>
        </w:rPr>
        <w:t>segmentación de mercados</w:t>
      </w:r>
      <w:r>
        <w:t xml:space="preserve"> (Errunza y Losq, 1985; Bekaert y Harvey, 1995) muestra que los</w:t>
      </w:r>
    </w:p>
    <w:p w14:paraId="4E12E86A" w14:textId="77777777" w:rsidR="00BE3F39" w:rsidRDefault="00CA5D84">
      <w:r>
        <w:t>mercados emergentes, parcialmente segmentados, pueden incorporar la información global de forma</w:t>
      </w:r>
    </w:p>
    <w:p w14:paraId="466B14D5" w14:textId="77777777" w:rsidR="00BE3F39" w:rsidRDefault="00CA5D84">
      <w:r>
        <w:t>más lenta o incompleta que los mercados desarrollados.</w:t>
      </w:r>
    </w:p>
    <w:p w14:paraId="150AFF8E" w14:textId="77777777" w:rsidR="00BE3F39" w:rsidRDefault="00CA5D84">
      <w:r>
        <w:t xml:space="preserve">Este marco fundamenta la dimensión comparativa de la presente investigación: dado que las </w:t>
      </w:r>
      <w:r>
        <w:t>mismas</w:t>
      </w:r>
    </w:p>
    <w:p w14:paraId="61FAABB2" w14:textId="77777777" w:rsidR="00BE3F39" w:rsidRDefault="00CA5D84">
      <w:r>
        <w:t>materias primas se transan a través de empresas que cotizan en mercados de distinta profundidad</w:t>
      </w:r>
    </w:p>
    <w:p w14:paraId="6899C5F2" w14:textId="77777777" w:rsidR="00BE3F39" w:rsidRDefault="00CA5D84">
      <w:r>
        <w:t>—el mercado bursátil global frente al chileno—, es teóricamente plausible que la transmisión del</w:t>
      </w:r>
    </w:p>
    <w:p w14:paraId="6E4BBF89" w14:textId="77777777" w:rsidR="00BE3F39" w:rsidRDefault="00CA5D84">
      <w:r>
        <w:t>shock del cobre difiera entre ellos. Contrastar esta diferencia constituye el aporte distintivo</w:t>
      </w:r>
    </w:p>
    <w:p w14:paraId="6AFFD6D0" w14:textId="77777777" w:rsidR="00BE3F39" w:rsidRDefault="00CA5D84">
      <w:r>
        <w:t>del diseño de triangulación por muestras. La literatura sobre la integración del mercado bursátil</w:t>
      </w:r>
    </w:p>
    <w:p w14:paraId="73E0E711" w14:textId="77777777" w:rsidR="00BE3F39" w:rsidRDefault="00CA5D84">
      <w:r>
        <w:lastRenderedPageBreak/>
        <w:t>chileno —en particular los estudios del Mercado Integrado Latinoamericano (MILA), que reúne a</w:t>
      </w:r>
    </w:p>
    <w:p w14:paraId="160D5A9C" w14:textId="77777777" w:rsidR="00BE3F39" w:rsidRDefault="00CA5D84">
      <w:r>
        <w:t xml:space="preserve">Chile, Colombia y Perú— documenta una integración </w:t>
      </w:r>
      <w:r>
        <w:rPr>
          <w:b/>
        </w:rPr>
        <w:t>parcial y dependiente del régimen</w:t>
      </w:r>
      <w:r>
        <w:t>, con</w:t>
      </w:r>
    </w:p>
    <w:p w14:paraId="1959C7A6" w14:textId="77777777" w:rsidR="00BE3F39" w:rsidRDefault="00CA5D84">
      <w:r>
        <w:t>correlaciones dinámicas que varían entre episodios de calma y de crisis (por ejemplo, en la</w:t>
      </w:r>
    </w:p>
    <w:p w14:paraId="244CEEE4" w14:textId="77777777" w:rsidR="00BE3F39" w:rsidRDefault="00CA5D84">
      <w:r>
        <w:t>comparación entre el período previo a la crisis financiera global y la pandemia de COVID-19).</w:t>
      </w:r>
    </w:p>
    <w:p w14:paraId="36757486" w14:textId="77777777" w:rsidR="00BE3F39" w:rsidRDefault="00CA5D84">
      <w:r>
        <w:t xml:space="preserve">Asimismo, se ha mostrado que una mayor integración bursátil </w:t>
      </w:r>
      <w:r>
        <w:rPr>
          <w:b/>
        </w:rPr>
        <w:t>reduce la asimetría de información</w:t>
      </w:r>
    </w:p>
    <w:p w14:paraId="53040E66" w14:textId="77777777" w:rsidR="00BE3F39" w:rsidRDefault="00CA5D84">
      <w:r>
        <w:t>y mejora la eficiencia de la inversión en América Latina. Esta evidencia respalda la hipótesis de</w:t>
      </w:r>
    </w:p>
    <w:p w14:paraId="5DA9311A" w14:textId="77777777" w:rsidR="00BE3F39" w:rsidRDefault="00CA5D84">
      <w:r>
        <w:t>que el mercado chileno, comparativamente menos profundo, podría incorporar los shocks globales de</w:t>
      </w:r>
    </w:p>
    <w:p w14:paraId="3ECD8850" w14:textId="77777777" w:rsidR="00BE3F39" w:rsidRDefault="00CA5D84">
      <w:r>
        <w:t>forma más lenta o incompleta que los mercados internacionales.</w:t>
      </w:r>
    </w:p>
    <w:p w14:paraId="6DF3450B" w14:textId="77777777" w:rsidR="00BE3F39" w:rsidRDefault="00CA5D84">
      <w:pPr>
        <w:pStyle w:val="Ttulo2"/>
      </w:pPr>
      <w:bookmarkStart w:id="24" w:name="_Toc231082785"/>
      <w:r>
        <w:t>2.6 Enfoques econométricos para la medición de impacto</w:t>
      </w:r>
      <w:bookmarkEnd w:id="24"/>
    </w:p>
    <w:p w14:paraId="28ACAAFD" w14:textId="77777777" w:rsidR="00BE3F39" w:rsidRDefault="00CA5D84">
      <w:r>
        <w:t>La estrategia empírica de esta investigación se apoya en un conjunto de técnicas econométricas</w:t>
      </w:r>
    </w:p>
    <w:p w14:paraId="03286649" w14:textId="77777777" w:rsidR="00BE3F39" w:rsidRDefault="00CA5D84">
      <w:r>
        <w:t>consolidadas, cuyo fundamento metodológico se reseña a continuación. El análisis del orden de</w:t>
      </w:r>
    </w:p>
    <w:p w14:paraId="3FE89EBD" w14:textId="77777777" w:rsidR="00BE3F39" w:rsidRDefault="00CA5D84">
      <w:r>
        <w:t>integración de las series recurre a las pruebas de raíz unitaria de Dickey y Fuller (1979),</w:t>
      </w:r>
    </w:p>
    <w:p w14:paraId="5A1E968C" w14:textId="77777777" w:rsidR="00BE3F39" w:rsidRDefault="00CA5D84">
      <w:r>
        <w:t>Phillips y Perron (1988) y Kwiatkowski et al. (1992, KPSS), complementadas con el test de</w:t>
      </w:r>
    </w:p>
    <w:p w14:paraId="62825A30" w14:textId="77777777" w:rsidR="00BE3F39" w:rsidRDefault="00CA5D84">
      <w:r>
        <w:t>Zivot y Andrews (1992) para quiebres estructurales. El análisis de relaciones de largo plazo se</w:t>
      </w:r>
    </w:p>
    <w:p w14:paraId="3DCAE1C4" w14:textId="77777777" w:rsidR="00BE3F39" w:rsidRDefault="00CA5D84">
      <w:r>
        <w:t>funda en la teoría de la cointegración de Engle y Granger (1987) y Johansen (1988), y en el</w:t>
      </w:r>
    </w:p>
    <w:p w14:paraId="2B43FF7C" w14:textId="77777777" w:rsidR="00BE3F39" w:rsidRDefault="00CA5D84">
      <w:r>
        <w:t xml:space="preserve">enfoque de </w:t>
      </w:r>
      <w:r>
        <w:rPr>
          <w:b/>
        </w:rPr>
        <w:t>bordes ARDL</w:t>
      </w:r>
      <w:r>
        <w:t xml:space="preserve"> de Pesaran, Shin y Smith (2001), particularmente apropiado cuando</w:t>
      </w:r>
    </w:p>
    <w:p w14:paraId="6AAD055F" w14:textId="77777777" w:rsidR="00BE3F39" w:rsidRDefault="00CA5D84">
      <w:r>
        <w:lastRenderedPageBreak/>
        <w:t>las variables presentan órdenes de integración mixtos. La dinámica de los shocks se modela</w:t>
      </w:r>
    </w:p>
    <w:p w14:paraId="0AB3F8BD" w14:textId="77777777" w:rsidR="00BE3F39" w:rsidRDefault="00CA5D84">
      <w:r>
        <w:t>mediante vectores autorregresivos siguiendo a Sims (1980), con funciones impulso-respuesta</w:t>
      </w:r>
    </w:p>
    <w:p w14:paraId="355A1B5D" w14:textId="77777777" w:rsidR="00BE3F39" w:rsidRDefault="00CA5D84">
      <w:r>
        <w:t>—incluyendo la variante generalizada de Pesaran y Shin (1998)— y descomposición de varianza.</w:t>
      </w:r>
    </w:p>
    <w:p w14:paraId="5CD89B2C" w14:textId="77777777" w:rsidR="00BE3F39" w:rsidRDefault="00CA5D84">
      <w:r>
        <w:t>Para el tratamiento de la dimensión de panel se emplean las pruebas de raíz unitaria de Im,</w:t>
      </w:r>
    </w:p>
    <w:p w14:paraId="7CC5BF65" w14:textId="77777777" w:rsidR="00BE3F39" w:rsidRDefault="00CA5D84">
      <w:r>
        <w:t>Pesaran y Shin (2003) y Pesaran (2007), la cointegración en panel de Westerlund (2007) y los</w:t>
      </w:r>
    </w:p>
    <w:p w14:paraId="494C92C8" w14:textId="77777777" w:rsidR="00BE3F39" w:rsidRDefault="00CA5D84">
      <w:r>
        <w:t>errores estándar de Driscoll y Kraay (1998), robustos a la dependencia de sección cruzada. La</w:t>
      </w:r>
    </w:p>
    <w:p w14:paraId="19A7DDB2" w14:textId="77777777" w:rsidR="00BE3F39" w:rsidRDefault="00CA5D84">
      <w:r>
        <w:t>datación de las fases del ciclo se basa en el algoritmo de Bry y Boschan (1971), formalizado</w:t>
      </w:r>
    </w:p>
    <w:p w14:paraId="57F0C3BD" w14:textId="77777777" w:rsidR="00BE3F39" w:rsidRDefault="00CA5D84">
      <w:r>
        <w:t>para datos de frecuencia trimestral y mensual por Harding y Pagan (2002), y se contempla como</w:t>
      </w:r>
    </w:p>
    <w:p w14:paraId="4A920DD7" w14:textId="77777777" w:rsidR="00BE3F39" w:rsidRDefault="00CA5D84">
      <w:r>
        <w:t>robustez el modelo de cambio de régimen de Hamilton (1989). La modelación de la volatilidad,</w:t>
      </w:r>
    </w:p>
    <w:p w14:paraId="6029C553" w14:textId="77777777" w:rsidR="00BE3F39" w:rsidRDefault="00CA5D84">
      <w:r>
        <w:t>cuando resulta pertinente, se apoya en los modelos ARCH/GARCH de Engle (1982) y Bollerslev</w:t>
      </w:r>
    </w:p>
    <w:p w14:paraId="3D83E149" w14:textId="77777777" w:rsidR="00BE3F39" w:rsidRDefault="00CA5D84">
      <w:r>
        <w:t>(1986).</w:t>
      </w:r>
    </w:p>
    <w:p w14:paraId="07668916" w14:textId="77777777" w:rsidR="00BE3F39" w:rsidRDefault="00CA5D84">
      <w:r>
        <w:rPr>
          <w:color w:val="8A5A18"/>
          <w:highlight w:val="yellow"/>
        </w:rPr>
        <w:t>[COMPLETAR: aplicaciones recientes que combinen VAR/VECM con análisis por regímenes en mercados</w:t>
      </w:r>
    </w:p>
    <w:p w14:paraId="03A5C320" w14:textId="77777777" w:rsidR="00BE3F39" w:rsidRDefault="00CA5D84">
      <w:r>
        <w:t>de commodities, para reforzar la justificación del objetivo específico 5.]</w:t>
      </w:r>
    </w:p>
    <w:p w14:paraId="093B4399" w14:textId="77777777" w:rsidR="00BE3F39" w:rsidRDefault="00CA5D84">
      <w:pPr>
        <w:pStyle w:val="Ttulo2"/>
      </w:pPr>
      <w:bookmarkStart w:id="25" w:name="_Toc231082786"/>
      <w:r>
        <w:t>2.7 Síntesis e identificación del vacío de investigación</w:t>
      </w:r>
      <w:bookmarkEnd w:id="25"/>
    </w:p>
    <w:p w14:paraId="419CF510" w14:textId="77777777" w:rsidR="00BE3F39" w:rsidRDefault="00CA5D84">
      <w:r>
        <w:t>La revisión precedente permite delimitar el aporte de esta investigación a partir de tres</w:t>
      </w:r>
    </w:p>
    <w:p w14:paraId="3D722E4B" w14:textId="77777777" w:rsidR="00BE3F39" w:rsidRDefault="00CA5D84">
      <w:r>
        <w:t>constataciones. Primero, la literatura sobre la relación entre variables macroeconómicas y</w:t>
      </w:r>
    </w:p>
    <w:p w14:paraId="6066D806" w14:textId="77777777" w:rsidR="00BE3F39" w:rsidRDefault="00CA5D84">
      <w:r>
        <w:t>retornos accionarios es abundante, pero se concentra en mercados desarrollados y, con</w:t>
      </w:r>
    </w:p>
    <w:p w14:paraId="647A43C8" w14:textId="77777777" w:rsidR="00BE3F39" w:rsidRDefault="00CA5D84">
      <w:r>
        <w:lastRenderedPageBreak/>
        <w:t>frecuencia, en índices agregados antes que en sectores específicos. Segundo, la evidencia sobre</w:t>
      </w:r>
    </w:p>
    <w:p w14:paraId="4187352F" w14:textId="77777777" w:rsidR="00BE3F39" w:rsidRDefault="00CA5D84">
      <w:r>
        <w:t>la transmisión del precio de los commodities a la valoración de empresas se ha desarrollado</w:t>
      </w:r>
    </w:p>
    <w:p w14:paraId="7B102AA1" w14:textId="77777777" w:rsidR="00BE3F39" w:rsidRDefault="00CA5D84">
      <w:r>
        <w:t xml:space="preserve">predominantemente para el </w:t>
      </w:r>
      <w:r>
        <w:rPr>
          <w:b/>
        </w:rPr>
        <w:t>sector energético</w:t>
      </w:r>
      <w:r>
        <w:t>, quedando el cobre y la minería metálica</w:t>
      </w:r>
    </w:p>
    <w:p w14:paraId="36406B88" w14:textId="77777777" w:rsidR="00BE3F39" w:rsidRDefault="00CA5D84">
      <w:r>
        <w:t xml:space="preserve">comparativamente menos estudiados a nivel de </w:t>
      </w:r>
      <w:r>
        <w:t>acciones. Tercero, la evidencia chilena vincula el</w:t>
      </w:r>
    </w:p>
    <w:p w14:paraId="606A22C9" w14:textId="77777777" w:rsidR="00BE3F39" w:rsidRDefault="00CA5D84">
      <w:r>
        <w:t>cobre con variables macroeconómicas agregadas —tipo de cambio, crecimiento—, pero rara vez con</w:t>
      </w:r>
    </w:p>
    <w:p w14:paraId="62C565D0" w14:textId="77777777" w:rsidR="00BE3F39" w:rsidRDefault="00CA5D84">
      <w:r>
        <w:t xml:space="preserve">la </w:t>
      </w:r>
      <w:r>
        <w:rPr>
          <w:b/>
        </w:rPr>
        <w:t>valoración bursátil de las propias empresas mineras</w:t>
      </w:r>
      <w:r>
        <w:t>, y prácticamente no aborda la</w:t>
      </w:r>
    </w:p>
    <w:p w14:paraId="49DFD2E0" w14:textId="77777777" w:rsidR="00BE3F39" w:rsidRDefault="00CA5D84">
      <w:r>
        <w:rPr>
          <w:b/>
        </w:rPr>
        <w:t xml:space="preserve">estabilidad de estas </w:t>
      </w:r>
      <w:r>
        <w:rPr>
          <w:b/>
        </w:rPr>
        <w:t>relaciones a lo largo de las fases del ciclo del cobre</w:t>
      </w:r>
      <w:r>
        <w:t>. Cuarto, no se ha</w:t>
      </w:r>
    </w:p>
    <w:p w14:paraId="2AA9ADF3" w14:textId="77777777" w:rsidR="00BE3F39" w:rsidRDefault="00CA5D84">
      <w:r>
        <w:t>explorado de manera sistemática si la transmisión del shock macroeconómico **difiere entre el</w:t>
      </w:r>
    </w:p>
    <w:p w14:paraId="4A82FD32" w14:textId="77777777" w:rsidR="00BE3F39" w:rsidRDefault="00CA5D84">
      <w:r>
        <w:t>mercado bursátil global y el chileno** para empresas expuestas a las mismas materias primas.</w:t>
      </w:r>
    </w:p>
    <w:p w14:paraId="1E3850AA" w14:textId="77777777" w:rsidR="00BE3F39" w:rsidRDefault="00CA5D84">
      <w:r>
        <w:t>En consecuencia, esta tesis contribuye a la literatura al cuantificar el impacto de los factores</w:t>
      </w:r>
    </w:p>
    <w:p w14:paraId="717B5A01" w14:textId="77777777" w:rsidR="00BE3F39" w:rsidRDefault="00CA5D84">
      <w:r>
        <w:t>macroeconómicos globales y locales sobre los retornos del sector de minería de cobre con</w:t>
      </w:r>
    </w:p>
    <w:p w14:paraId="2438C6CF" w14:textId="77777777" w:rsidR="00BE3F39" w:rsidRDefault="00CA5D84">
      <w:r>
        <w:t>exposición a Chile, integrando la medición de sensibilidad (panel), el análisis de equilibrio de</w:t>
      </w:r>
    </w:p>
    <w:p w14:paraId="312FC326" w14:textId="77777777" w:rsidR="00BE3F39" w:rsidRDefault="00CA5D84">
      <w:r>
        <w:t>largo plazo (cointegración), la dinámica de shocks (impulso-respuesta y descomposición de</w:t>
      </w:r>
    </w:p>
    <w:p w14:paraId="105E5B61" w14:textId="77777777" w:rsidR="00BE3F39" w:rsidRDefault="00CA5D84">
      <w:r>
        <w:t>varianza) y, de manera distintiva, la evaluación de la estabilidad de dichas relaciones según la</w:t>
      </w:r>
    </w:p>
    <w:p w14:paraId="0EE45229" w14:textId="77777777" w:rsidR="00BE3F39" w:rsidRDefault="00CA5D84">
      <w:r>
        <w:t>fase del ciclo del precio del cobre.</w:t>
      </w:r>
    </w:p>
    <w:p w14:paraId="6830B207" w14:textId="77777777" w:rsidR="00BE3F39" w:rsidRDefault="00CA5D84">
      <w:pPr>
        <w:pStyle w:val="Ttulo3"/>
      </w:pPr>
      <w:bookmarkStart w:id="26" w:name="_Toc231082787"/>
      <w:r>
        <w:t>Nota sobre la tabla de literatura</w:t>
      </w:r>
      <w:bookmarkEnd w:id="26"/>
    </w:p>
    <w:p w14:paraId="2F2AAD28" w14:textId="77777777" w:rsidR="00BE3F39" w:rsidRDefault="00CA5D84">
      <w:r>
        <w:t>Mantén en paralelo la matriz `autor | año | datos | método | hallazgo | relación con mi tesis`</w:t>
      </w:r>
    </w:p>
    <w:p w14:paraId="13419F9E" w14:textId="77777777" w:rsidR="00BE3F39" w:rsidRDefault="00CA5D84">
      <w:r>
        <w:lastRenderedPageBreak/>
        <w:t>(ver `docs/revision_literatura.md`, sección final). Sintetizarla en prosa es lo que da solidez a</w:t>
      </w:r>
    </w:p>
    <w:p w14:paraId="579519D5" w14:textId="77777777" w:rsidR="00BE3F39" w:rsidRDefault="00CA5D84">
      <w:r>
        <w:t>las secciones 2.2–2.4 y, sobre todo, al argumento del vacío en 2.6.</w:t>
      </w:r>
    </w:p>
    <w:p w14:paraId="0E0CEB61" w14:textId="77777777" w:rsidR="00BE3F39" w:rsidRDefault="00CA5D84">
      <w:r>
        <w:br w:type="page"/>
      </w:r>
    </w:p>
    <w:p w14:paraId="20AEAA67" w14:textId="77777777" w:rsidR="00BE3F39" w:rsidRDefault="00CA5D84">
      <w:pPr>
        <w:pStyle w:val="Ttulo1"/>
      </w:pPr>
      <w:bookmarkStart w:id="27" w:name="_Toc231082788"/>
      <w:r>
        <w:lastRenderedPageBreak/>
        <w:t>Capítulo 3 — Datos y metodología</w:t>
      </w:r>
      <w:bookmarkEnd w:id="27"/>
    </w:p>
    <w:p w14:paraId="67CBF3CD" w14:textId="77777777" w:rsidR="00BE3F39" w:rsidRDefault="00CA5D84">
      <w:pPr>
        <w:pStyle w:val="Ttulo2"/>
      </w:pPr>
      <w:bookmarkStart w:id="28" w:name="_Toc231082789"/>
      <w:r>
        <w:t>3.1 Definición del universo de empresas y período</w:t>
      </w:r>
      <w:bookmarkEnd w:id="28"/>
    </w:p>
    <w:p w14:paraId="1654FD21" w14:textId="77777777" w:rsidR="00BE3F39" w:rsidRDefault="00CA5D84">
      <w:r>
        <w:t xml:space="preserve">El estudio abarca el período </w:t>
      </w:r>
      <w:r>
        <w:rPr>
          <w:b/>
        </w:rPr>
        <w:t>2004–2024</w:t>
      </w:r>
      <w:r>
        <w:t xml:space="preserve"> con frecuencia </w:t>
      </w:r>
      <w:r>
        <w:rPr>
          <w:b/>
        </w:rPr>
        <w:t>mensual</w:t>
      </w:r>
      <w:r>
        <w:t>. Dado que las grandes</w:t>
      </w:r>
    </w:p>
    <w:p w14:paraId="557FA5EA" w14:textId="77777777" w:rsidR="00BE3F39" w:rsidRDefault="00CA5D84">
      <w:r>
        <w:t>productoras de cobre con operación en Chile no cotizan en el mercado bursátil local —por ser</w:t>
      </w:r>
    </w:p>
    <w:p w14:paraId="1D0CF46D" w14:textId="77777777" w:rsidR="00BE3F39" w:rsidRDefault="00CA5D84">
      <w:r>
        <w:t>estatales (Codelco) o subsidiarias de empresas extranjeras (Escondida, Los Bronces)—, el diseño</w:t>
      </w:r>
    </w:p>
    <w:p w14:paraId="1509BB17" w14:textId="77777777" w:rsidR="00BE3F39" w:rsidRDefault="00CA5D84">
      <w:r>
        <w:t xml:space="preserve">adopta una </w:t>
      </w:r>
      <w:r>
        <w:rPr>
          <w:b/>
        </w:rPr>
        <w:t>estrategia de triangulación por tres muestras complementarias</w:t>
      </w:r>
      <w:r>
        <w:t>, que permite</w:t>
      </w:r>
    </w:p>
    <w:p w14:paraId="315B0B64" w14:textId="77777777" w:rsidR="00BE3F39" w:rsidRDefault="00CA5D84">
      <w:r>
        <w:t>comparar la transmisión del impacto macroeconómico entre el mercado bursátil global y el chileno:</w:t>
      </w:r>
    </w:p>
    <w:p w14:paraId="0CD0D159" w14:textId="77777777" w:rsidR="00BE3F39" w:rsidRDefault="00CA5D84">
      <w:pPr>
        <w:pStyle w:val="Listaconvietas"/>
      </w:pPr>
      <w:r>
        <w:rPr>
          <w:b/>
        </w:rPr>
        <w:t>Muestra B (cobre, mercado global):</w:t>
      </w:r>
      <w:r>
        <w:t xml:space="preserve"> empresas de cobre con operación en Chile que cotizan en</w:t>
      </w:r>
    </w:p>
    <w:p w14:paraId="41FC0AE4" w14:textId="77777777" w:rsidR="00BE3F39" w:rsidRDefault="00CA5D84">
      <w:r>
        <w:t xml:space="preserve">  mercados internacionales (Antofagasta plc, BHP, Anglo American, Lundin Mining, Teck). Constituye</w:t>
      </w:r>
    </w:p>
    <w:p w14:paraId="7D3A9235" w14:textId="77777777" w:rsidR="00BE3F39" w:rsidRDefault="00CA5D84">
      <w:r>
        <w:t xml:space="preserve">  la referencia de "cobre puro" y, por su tamaño de sección cruzada, el panel principal.</w:t>
      </w:r>
    </w:p>
    <w:p w14:paraId="4B080319" w14:textId="77777777" w:rsidR="00BE3F39" w:rsidRDefault="00CA5D84">
      <w:pPr>
        <w:pStyle w:val="Listaconvietas"/>
      </w:pPr>
      <w:r>
        <w:rPr>
          <w:b/>
        </w:rPr>
        <w:t>Muestra A (cobre, mercado chileno):</w:t>
      </w:r>
      <w:r>
        <w:t xml:space="preserve"> empresas de extracción de cobre que cotizan en la Bolsa</w:t>
      </w:r>
    </w:p>
    <w:p w14:paraId="0D6BBC10" w14:textId="77777777" w:rsidR="00BE3F39" w:rsidRDefault="00CA5D84">
      <w:r>
        <w:t xml:space="preserve">  de Santiago (Sociedad Punta del Cobre). De cardinalidad reducida, se analiza mediante técnicas</w:t>
      </w:r>
    </w:p>
    <w:p w14:paraId="791A6D74" w14:textId="77777777" w:rsidR="00BE3F39" w:rsidRDefault="00CA5D84">
      <w:r>
        <w:t xml:space="preserve">  de serie de tiempo.</w:t>
      </w:r>
    </w:p>
    <w:p w14:paraId="05E5EB76" w14:textId="77777777" w:rsidR="00BE3F39" w:rsidRDefault="00CA5D84">
      <w:pPr>
        <w:pStyle w:val="Listaconvietas"/>
      </w:pPr>
      <w:r>
        <w:rPr>
          <w:b/>
        </w:rPr>
        <w:t>Muestra C (sector minero, mercado chileno):</w:t>
      </w:r>
      <w:r>
        <w:t xml:space="preserve"> empresas mineras cotizadas en la Bolsa de</w:t>
      </w:r>
    </w:p>
    <w:p w14:paraId="6086CC22" w14:textId="77777777" w:rsidR="00BE3F39" w:rsidRDefault="00CA5D84">
      <w:r>
        <w:t xml:space="preserve">  Santiago (Punta del Cobre, CAP, SQM-B, Molibdenos y Metales). Esta muestra **no es objeto de</w:t>
      </w:r>
    </w:p>
    <w:p w14:paraId="2E520C05" w14:textId="77777777" w:rsidR="00BE3F39" w:rsidRDefault="00CA5D84">
      <w:r>
        <w:t xml:space="preserve">  estudio en sí**, sino el *vehículo* que permite estimar con tamaño de sección cruzada cómo el</w:t>
      </w:r>
    </w:p>
    <w:p w14:paraId="1CA3E33A" w14:textId="77777777" w:rsidR="00BE3F39" w:rsidRDefault="00CA5D84">
      <w:r>
        <w:lastRenderedPageBreak/>
        <w:t xml:space="preserve">  mercado bursátil chileno incorpora los shocks macroeconómicos; al combinar distintos commodities,</w:t>
      </w:r>
    </w:p>
    <w:p w14:paraId="5650DF84" w14:textId="77777777" w:rsidR="00BE3F39" w:rsidRDefault="00CA5D84">
      <w:r>
        <w:t xml:space="preserve">  se </w:t>
      </w:r>
      <w:r>
        <w:rPr>
          <w:b/>
        </w:rPr>
        <w:t>controla por el precio propio de cada uno</w:t>
      </w:r>
      <w:r>
        <w:t xml:space="preserve"> para aislar el efecto del cobre. El objeto de</w:t>
      </w:r>
    </w:p>
    <w:p w14:paraId="779BB4AD" w14:textId="77777777" w:rsidR="00BE3F39" w:rsidRDefault="00CA5D84">
      <w:r>
        <w:t xml:space="preserve">  estudio sigue siendo el cobre.</w:t>
      </w:r>
    </w:p>
    <w:p w14:paraId="2B6F3601" w14:textId="77777777" w:rsidR="00BE3F39" w:rsidRDefault="00CA5D84">
      <w:r>
        <w:t>La comparación de los resultados entre las tres muestras permite evaluar si el mercado global y</w:t>
      </w:r>
    </w:p>
    <w:p w14:paraId="6477803B" w14:textId="77777777" w:rsidR="00BE3F39" w:rsidRDefault="00CA5D84">
      <w:r>
        <w:t>el mercado chileno incorporan los shocks macroeconómicos de manera diferenciada.</w:t>
      </w:r>
    </w:p>
    <w:p w14:paraId="577F364B" w14:textId="77777777" w:rsidR="00BE3F39" w:rsidRDefault="00CA5D84">
      <w:r>
        <w:t>La elección de la frecuencia mensual responde a tres consideraciones: (i) el período provee</w:t>
      </w:r>
    </w:p>
    <w:p w14:paraId="4652B370" w14:textId="77777777" w:rsidR="00BE3F39" w:rsidRDefault="00CA5D84">
      <w:r>
        <w:t>del orden de 250 observaciones temporales, suficientes para la estimación de modelos VAR/VECM</w:t>
      </w:r>
    </w:p>
    <w:p w14:paraId="6DBAA182" w14:textId="77777777" w:rsidR="00BE3F39" w:rsidRDefault="00CA5D84">
      <w:r>
        <w:t>y ARDL; (ii) el principal indicador de actividad doméstica (IMACEC) es de periodicidad</w:t>
      </w:r>
    </w:p>
    <w:p w14:paraId="2BD2DF8E" w14:textId="77777777" w:rsidR="00BE3F39" w:rsidRDefault="00CA5D84">
      <w:r>
        <w:t>mensual; y (iii) se atenúa el ruido de microestructura propio de los datos diarios.</w:t>
      </w:r>
    </w:p>
    <w:p w14:paraId="53D710A5" w14:textId="77777777" w:rsidR="00BE3F39" w:rsidRDefault="00CA5D84">
      <w:pPr>
        <w:pStyle w:val="Ttulo2"/>
      </w:pPr>
      <w:bookmarkStart w:id="29" w:name="_Toc231082790"/>
      <w:r>
        <w:t>3.2 Variable dependiente</w:t>
      </w:r>
      <w:bookmarkEnd w:id="29"/>
    </w:p>
    <w:p w14:paraId="7CA65D68" w14:textId="77777777" w:rsidR="00BE3F39" w:rsidRDefault="00CA5D84">
      <w:r>
        <w:t xml:space="preserve">La variable dependiente es el </w:t>
      </w:r>
      <w:r>
        <w:rPr>
          <w:b/>
        </w:rPr>
        <w:t>retorno logarítmico mensual</w:t>
      </w:r>
      <w:r>
        <w:t xml:space="preserve"> de cada empresa,</w:t>
      </w:r>
    </w:p>
    <w:p w14:paraId="155A6C53" w14:textId="77777777" w:rsidR="00BE3F39" w:rsidRDefault="00CA5D84">
      <w:r>
        <w:t xml:space="preserve">$r_{i,t} = \ln(P_{i,t}) - \ln(P_{i,t-1})$, calculado sobre precios de cierre </w:t>
      </w:r>
      <w:r>
        <w:rPr>
          <w:b/>
        </w:rPr>
        <w:t>ajustados</w:t>
      </w:r>
      <w:r>
        <w:t xml:space="preserve"> por</w:t>
      </w:r>
    </w:p>
    <w:p w14:paraId="48FA6446" w14:textId="77777777" w:rsidR="00BE3F39" w:rsidRDefault="00CA5D84">
      <w:r>
        <w:t>dividendos y splits. Para el análisis agregado de series de tiempo se construye además una</w:t>
      </w:r>
    </w:p>
    <w:p w14:paraId="48E5AD24" w14:textId="77777777" w:rsidR="00BE3F39" w:rsidRDefault="00CA5D84">
      <w:r>
        <w:rPr>
          <w:b/>
        </w:rPr>
        <w:t>cartera del sector</w:t>
      </w:r>
      <w:r>
        <w:t>, en sus versiones equiponderada y ponderada por capitalización</w:t>
      </w:r>
    </w:p>
    <w:p w14:paraId="2E302482" w14:textId="77777777" w:rsidR="00BE3F39" w:rsidRDefault="00CA5D84">
      <w:r>
        <w:t>bursátil (con pesos rezagados un período para evitar sesgo de anticipación).</w:t>
      </w:r>
    </w:p>
    <w:p w14:paraId="07F54E52" w14:textId="77777777" w:rsidR="00BE3F39" w:rsidRDefault="00CA5D84">
      <w:pPr>
        <w:pStyle w:val="Ttulo2"/>
      </w:pPr>
      <w:bookmarkStart w:id="30" w:name="_Toc231082791"/>
      <w:r>
        <w:t>3.3 Variables explicativas</w:t>
      </w:r>
      <w:bookmarkEnd w:id="30"/>
    </w:p>
    <w:p w14:paraId="68CA5104" w14:textId="77777777" w:rsidR="00BE3F39" w:rsidRDefault="00CA5D84">
      <w:r>
        <w:t xml:space="preserve">Las variables explicativas se agrupan en tres bloques: (a) </w:t>
      </w:r>
      <w:r>
        <w:rPr>
          <w:b/>
        </w:rPr>
        <w:t>macroeconómicas globales</w:t>
      </w:r>
    </w:p>
    <w:p w14:paraId="3492ED41" w14:textId="77777777" w:rsidR="00BE3F39" w:rsidRDefault="00CA5D84">
      <w:r>
        <w:t>—precio del cobre, índice de volatilidad VIX, tasa de fondos federales, rendimiento del bono</w:t>
      </w:r>
    </w:p>
    <w:p w14:paraId="03A4B88C" w14:textId="77777777" w:rsidR="00BE3F39" w:rsidRDefault="00CA5D84">
      <w:r>
        <w:t xml:space="preserve">del Tesoro a 10 años y precio del petróleo WTI como control—; (b) </w:t>
      </w:r>
      <w:r>
        <w:rPr>
          <w:b/>
        </w:rPr>
        <w:t>macroeconómicas locales</w:t>
      </w:r>
    </w:p>
    <w:p w14:paraId="614895D8" w14:textId="77777777" w:rsidR="00BE3F39" w:rsidRDefault="00CA5D84">
      <w:r>
        <w:lastRenderedPageBreak/>
        <w:t>—tipo de cambio USD/CLP, Tasa de Política Monetaria, IMACEC, EMBI Chile e IPC—; y</w:t>
      </w:r>
    </w:p>
    <w:p w14:paraId="38A96825" w14:textId="77777777" w:rsidR="00BE3F39" w:rsidRDefault="00CA5D84">
      <w:r>
        <w:t xml:space="preserve">(c) </w:t>
      </w:r>
      <w:r>
        <w:rPr>
          <w:b/>
        </w:rPr>
        <w:t>financieras de empresa</w:t>
      </w:r>
      <w:r>
        <w:t xml:space="preserve"> —tamaño, volatilidad y apalancamiento como controles</w:t>
      </w:r>
    </w:p>
    <w:p w14:paraId="560D23C3" w14:textId="77777777" w:rsidR="00BE3F39" w:rsidRDefault="00CA5D84">
      <w:r>
        <w:t>prioritarios—. La definición operativa, fuente y frecuencia de cada serie se detallan en la</w:t>
      </w:r>
    </w:p>
    <w:p w14:paraId="5121E540" w14:textId="77777777" w:rsidR="00BE3F39" w:rsidRDefault="00CA5D84">
      <w:r>
        <w:t>Tabla 3.1 (ver `src/config.py`).</w:t>
      </w:r>
    </w:p>
    <w:p w14:paraId="1C64BA4B" w14:textId="77777777" w:rsidR="00BE3F39" w:rsidRDefault="00CA5D84">
      <w:pPr>
        <w:pStyle w:val="Ttulo2"/>
      </w:pPr>
      <w:bookmarkStart w:id="31" w:name="_Toc231082792"/>
      <w:r>
        <w:t>3.4 Tratamiento de datos y frecuencias mixtas</w:t>
      </w:r>
      <w:bookmarkEnd w:id="31"/>
    </w:p>
    <w:p w14:paraId="5F4B9441" w14:textId="77777777" w:rsidR="00BE3F39" w:rsidRDefault="00CA5D84">
      <w:r>
        <w:t xml:space="preserve">Todas las series se llevan a frecuencia mensual </w:t>
      </w:r>
      <w:r>
        <w:t>(último dato del mes para precios, índices y</w:t>
      </w:r>
    </w:p>
    <w:p w14:paraId="7183669D" w14:textId="77777777" w:rsidR="00BE3F39" w:rsidRDefault="00CA5D84">
      <w:r>
        <w:t>tasas de nivel). Las variables contables, de periodicidad trimestral, se incorporan mediante</w:t>
      </w:r>
    </w:p>
    <w:p w14:paraId="59048F8B" w14:textId="77777777" w:rsidR="00BE3F39" w:rsidRDefault="00CA5D84">
      <w:r>
        <w:t>arrastre del último valor conocido (*forward fill*) con un rezago de publicación que evita el</w:t>
      </w:r>
    </w:p>
    <w:p w14:paraId="1F03A0BD" w14:textId="77777777" w:rsidR="00BE3F39" w:rsidRDefault="00CA5D84">
      <w:r>
        <w:t>sesgo de anticipación. Las variables identificadas como integradas de orden uno se incorporan</w:t>
      </w:r>
    </w:p>
    <w:p w14:paraId="693A32F2" w14:textId="77777777" w:rsidR="00BE3F39" w:rsidRDefault="00CA5D84">
      <w:r>
        <w:t xml:space="preserve">en </w:t>
      </w:r>
      <w:r>
        <w:rPr>
          <w:b/>
        </w:rPr>
        <w:t>primera diferencia</w:t>
      </w:r>
      <w:r>
        <w:t xml:space="preserve"> (logarítmica para precios y tipo de cambio), mientras que las</w:t>
      </w:r>
    </w:p>
    <w:p w14:paraId="78C16845" w14:textId="77777777" w:rsidR="00BE3F39" w:rsidRDefault="00CA5D84">
      <w:r>
        <w:t>estacionarias entran en nivel. Los retornos se winsorizan opcionalmente al 1% para acotar el</w:t>
      </w:r>
    </w:p>
    <w:p w14:paraId="2ECA10A9" w14:textId="77777777" w:rsidR="00BE3F39" w:rsidRDefault="00CA5D84">
      <w:r>
        <w:t>efecto de colas pesadas, reportándose la sensibilidad de los resultados a este tratamiento.</w:t>
      </w:r>
    </w:p>
    <w:p w14:paraId="18EDE4F6" w14:textId="77777777" w:rsidR="00BE3F39" w:rsidRDefault="00CA5D84">
      <w:pPr>
        <w:pStyle w:val="Ttulo2"/>
      </w:pPr>
      <w:bookmarkStart w:id="32" w:name="_Toc231082793"/>
      <w:r>
        <w:t>3.5 Datación de las fases del ciclo del cobre</w:t>
      </w:r>
      <w:bookmarkEnd w:id="32"/>
    </w:p>
    <w:p w14:paraId="7975625E" w14:textId="77777777" w:rsidR="00BE3F39" w:rsidRDefault="00CA5D84">
      <w:r>
        <w:t>Las fases del ciclo se determinan aplicando un algoritmo de puntos de giro tipo</w:t>
      </w:r>
    </w:p>
    <w:p w14:paraId="274BA869" w14:textId="77777777" w:rsidR="00BE3F39" w:rsidRDefault="00CA5D84">
      <w:r>
        <w:rPr>
          <w:b/>
        </w:rPr>
        <w:t>Bry-Boschan / Harding-Pagan</w:t>
      </w:r>
      <w:r>
        <w:t xml:space="preserve"> sobre el logaritmo del precio del cobre, que identifica</w:t>
      </w:r>
    </w:p>
    <w:p w14:paraId="1C888C27" w14:textId="77777777" w:rsidR="00BE3F39" w:rsidRDefault="00CA5D84">
      <w:r>
        <w:t>máximos y mínimos locales en una ventana simétrica, impone alternancia pico-valle y censura</w:t>
      </w:r>
    </w:p>
    <w:p w14:paraId="3D757D00" w14:textId="77777777" w:rsidR="00BE3F39" w:rsidRDefault="00CA5D84">
      <w:r>
        <w:t>fases y ciclos de duración inferior a los umbrales mínimos. El procedimiento entrega una</w:t>
      </w:r>
    </w:p>
    <w:p w14:paraId="5F4931C1" w14:textId="77777777" w:rsidR="00BE3F39" w:rsidRDefault="00CA5D84">
      <w:r>
        <w:t xml:space="preserve">clasificación objetiva y replicable en fases de </w:t>
      </w:r>
      <w:r>
        <w:rPr>
          <w:b/>
        </w:rPr>
        <w:t>expansión</w:t>
      </w:r>
      <w:r>
        <w:t xml:space="preserve"> (valle→pico) y </w:t>
      </w:r>
      <w:r>
        <w:rPr>
          <w:b/>
        </w:rPr>
        <w:t>contracción</w:t>
      </w:r>
    </w:p>
    <w:p w14:paraId="1606A144" w14:textId="77777777" w:rsidR="00BE3F39" w:rsidRDefault="00CA5D84">
      <w:r>
        <w:t>(pico→valle). La datación se realiza sobre el precio del cobre —no sobre las acciones— para</w:t>
      </w:r>
    </w:p>
    <w:p w14:paraId="1765739D" w14:textId="77777777" w:rsidR="00BE3F39" w:rsidRDefault="00CA5D84">
      <w:r>
        <w:lastRenderedPageBreak/>
        <w:t>evitar circularidad (implementación en `src/cycle_dating.py`).</w:t>
      </w:r>
    </w:p>
    <w:p w14:paraId="2A111392" w14:textId="77777777" w:rsidR="00BE3F39" w:rsidRDefault="00CA5D84">
      <w:pPr>
        <w:pStyle w:val="Ttulo2"/>
      </w:pPr>
      <w:bookmarkStart w:id="33" w:name="_Toc231082794"/>
      <w:r>
        <w:t>3.6 Estrategia econométrica</w:t>
      </w:r>
      <w:bookmarkEnd w:id="33"/>
    </w:p>
    <w:p w14:paraId="6C289117" w14:textId="77777777" w:rsidR="00BE3F39" w:rsidRDefault="00CA5D84">
      <w:pPr>
        <w:pStyle w:val="Ttulo3"/>
      </w:pPr>
      <w:bookmarkStart w:id="34" w:name="_Toc231082795"/>
      <w:r>
        <w:t>3.6.1 Estacionariedad y orden de integración (OE1)</w:t>
      </w:r>
      <w:bookmarkEnd w:id="34"/>
    </w:p>
    <w:p w14:paraId="6B532360" w14:textId="77777777" w:rsidR="00BE3F39" w:rsidRDefault="00CA5D84">
      <w:r>
        <w:t>Se aplica una batería de pruebas de raíz unitaria —Dickey-Fuller aumentada (ADF),</w:t>
      </w:r>
    </w:p>
    <w:p w14:paraId="6F811C2C" w14:textId="77777777" w:rsidR="00BE3F39" w:rsidRDefault="00CA5D84">
      <w:r>
        <w:t>Phillips-Perron y KPSS— complementadas con el test de Zivot-Andrews para quiebres</w:t>
      </w:r>
    </w:p>
    <w:p w14:paraId="4722BF64" w14:textId="77777777" w:rsidR="00BE3F39" w:rsidRDefault="00CA5D84">
      <w:r>
        <w:t>estructurales endógenos, y sus análogos de panel (Im-Pesaran-Shin, CIPS de Pesaran). La</w:t>
      </w:r>
    </w:p>
    <w:p w14:paraId="1B153F77" w14:textId="77777777" w:rsidR="00BE3F39" w:rsidRDefault="00CA5D84">
      <w:r>
        <w:t>conclusión sobre el orden de integración de cada serie determina la especificación posterior:</w:t>
      </w:r>
    </w:p>
    <w:p w14:paraId="19306D6F" w14:textId="77777777" w:rsidR="00BE3F39" w:rsidRDefault="00CA5D84">
      <w:r>
        <w:t>las variables I(0) ingresan en nivel a los modelos de impacto; las I(1) se diferencian para</w:t>
      </w:r>
    </w:p>
    <w:p w14:paraId="71E2ED73" w14:textId="77777777" w:rsidR="00BE3F39" w:rsidRDefault="00CA5D84">
      <w:r>
        <w:t>dichos modelos y se conservan en nivel para el análisis de cointegración.</w:t>
      </w:r>
    </w:p>
    <w:p w14:paraId="29BC4279" w14:textId="77777777" w:rsidR="00BE3F39" w:rsidRDefault="00CA5D84">
      <w:pPr>
        <w:pStyle w:val="Ttulo3"/>
      </w:pPr>
      <w:bookmarkStart w:id="35" w:name="_Toc231082796"/>
      <w:r>
        <w:t>3.6.2 Modelo de impacto: panel de efectos fijos (OE2)</w:t>
      </w:r>
      <w:bookmarkEnd w:id="35"/>
    </w:p>
    <w:p w14:paraId="364EF2CD" w14:textId="77777777" w:rsidR="00BE3F39" w:rsidRDefault="00CA5D84">
      <w:r>
        <w:t>La sensibilidad de los retornos a los factores macro-financieros se estima mediante un</w:t>
      </w:r>
    </w:p>
    <w:p w14:paraId="0DC569F5" w14:textId="77777777" w:rsidR="00BE3F39" w:rsidRDefault="00CA5D84">
      <w:r>
        <w:t xml:space="preserve">modelo de </w:t>
      </w:r>
      <w:r>
        <w:rPr>
          <w:b/>
        </w:rPr>
        <w:t>datos de panel con efectos fijos por empresa</w:t>
      </w:r>
      <w:r>
        <w:t>:</w:t>
      </w:r>
    </w:p>
    <w:p w14:paraId="697E9A6B" w14:textId="77777777" w:rsidR="00BE3F39" w:rsidRDefault="00CA5D84">
      <w:r>
        <w:t>$$r_{i,t} = \alpha_i + \beta_1 \Delta cobre_t + \beta_2 \Delta TC_t + \beta_3 \Delta tasa_t + \beta_4 \Delta VIX_t + \gamma' X_{i,t} + \varepsilon_{i,t}$$</w:t>
      </w:r>
    </w:p>
    <w:p w14:paraId="38F6E07A" w14:textId="77777777" w:rsidR="00BE3F39" w:rsidRDefault="00CA5D84">
      <w:r>
        <w:t xml:space="preserve">La inferencia emplea errores estándar de </w:t>
      </w:r>
      <w:r>
        <w:rPr>
          <w:b/>
        </w:rPr>
        <w:t>Driscoll-Kraay</w:t>
      </w:r>
      <w:r>
        <w:t>, robustos a heterocedasticidad,</w:t>
      </w:r>
    </w:p>
    <w:p w14:paraId="720E677B" w14:textId="77777777" w:rsidR="00BE3F39" w:rsidRDefault="00CA5D84">
      <w:r>
        <w:t xml:space="preserve">autocorrelación y </w:t>
      </w:r>
      <w:r>
        <w:rPr>
          <w:b/>
        </w:rPr>
        <w:t xml:space="preserve">dependencia de sección </w:t>
      </w:r>
      <w:r>
        <w:rPr>
          <w:b/>
        </w:rPr>
        <w:t>cruzada</w:t>
      </w:r>
      <w:r>
        <w:t xml:space="preserve"> —esta última esperable dado el factor</w:t>
      </w:r>
    </w:p>
    <w:p w14:paraId="2DA4DE9C" w14:textId="77777777" w:rsidR="00BE3F39" w:rsidRDefault="00CA5D84">
      <w:r>
        <w:t>común que representa el precio del cobre—. Como especificación de referencia se estima en</w:t>
      </w:r>
    </w:p>
    <w:p w14:paraId="28FCC324" w14:textId="77777777" w:rsidR="00BE3F39" w:rsidRDefault="00CA5D84">
      <w:r>
        <w:t>paralelo un modelo de serie de tiempo sobre la cartera del sector con errores HAC</w:t>
      </w:r>
    </w:p>
    <w:p w14:paraId="03D705F6" w14:textId="77777777" w:rsidR="00BE3F39" w:rsidRDefault="00CA5D84">
      <w:r>
        <w:t xml:space="preserve">(Newey-West). El contraste de dominancia </w:t>
      </w:r>
      <w:r>
        <w:rPr>
          <w:b/>
        </w:rPr>
        <w:t>global versus local</w:t>
      </w:r>
      <w:r>
        <w:t xml:space="preserve"> (H6) se realiza mediante</w:t>
      </w:r>
    </w:p>
    <w:p w14:paraId="6B0C6596" w14:textId="77777777" w:rsidR="00BE3F39" w:rsidRDefault="00CA5D84">
      <w:r>
        <w:t>tests de Wald de significancia conjunta por bloque de regresores.</w:t>
      </w:r>
    </w:p>
    <w:p w14:paraId="55A226AC" w14:textId="77777777" w:rsidR="00BE3F39" w:rsidRDefault="00CA5D84">
      <w:pPr>
        <w:pStyle w:val="Ttulo3"/>
      </w:pPr>
      <w:bookmarkStart w:id="36" w:name="_Toc231082797"/>
      <w:r>
        <w:t>3.6.3 Relaciones de largo plazo: cointegración (OE3)</w:t>
      </w:r>
      <w:bookmarkEnd w:id="36"/>
    </w:p>
    <w:p w14:paraId="48B28600" w14:textId="77777777" w:rsidR="00BE3F39" w:rsidRDefault="00CA5D84">
      <w:r>
        <w:t>Sobre las variables en nivel I(1) se evalúa la existencia de relaciones de equilibrio de</w:t>
      </w:r>
    </w:p>
    <w:p w14:paraId="03CB8EF6" w14:textId="77777777" w:rsidR="00BE3F39" w:rsidRDefault="00CA5D84">
      <w:r>
        <w:t xml:space="preserve">largo plazo. El procedimiento principal es el </w:t>
      </w:r>
      <w:r>
        <w:rPr>
          <w:b/>
        </w:rPr>
        <w:t>test de bordes ARDL</w:t>
      </w:r>
      <w:r>
        <w:t xml:space="preserve"> (Pesaran, Shin y Smith,</w:t>
      </w:r>
    </w:p>
    <w:p w14:paraId="3338287E" w14:textId="77777777" w:rsidR="00BE3F39" w:rsidRDefault="00CA5D84">
      <w:r>
        <w:lastRenderedPageBreak/>
        <w:t>2001), por su flexibilidad ante regresores de distinto orden de integración, contrastado con</w:t>
      </w:r>
    </w:p>
    <w:p w14:paraId="0C763B4D" w14:textId="77777777" w:rsidR="00BE3F39" w:rsidRDefault="00CA5D84">
      <w:r>
        <w:t xml:space="preserve">el test de </w:t>
      </w:r>
      <w:r>
        <w:rPr>
          <w:b/>
        </w:rPr>
        <w:t>Johansen</w:t>
      </w:r>
      <w:r>
        <w:t xml:space="preserve"> sobre el subconjunto claramente I(1) y, a nivel de panel, con el test</w:t>
      </w:r>
    </w:p>
    <w:p w14:paraId="2ECD9E10" w14:textId="77777777" w:rsidR="00BE3F39" w:rsidRDefault="00CA5D84">
      <w:r>
        <w:t xml:space="preserve">de </w:t>
      </w:r>
      <w:r>
        <w:rPr>
          <w:b/>
        </w:rPr>
        <w:t>Westerlund</w:t>
      </w:r>
      <w:r>
        <w:t>. De verificarse cointegración, se estima un **modelo vectorial de corrección</w:t>
      </w:r>
    </w:p>
    <w:p w14:paraId="2135A248" w14:textId="77777777" w:rsidR="00BE3F39" w:rsidRDefault="00CA5D84">
      <w:r>
        <w:t>de error (VECM)** de la forma</w:t>
      </w:r>
    </w:p>
    <w:p w14:paraId="219F6F29" w14:textId="77777777" w:rsidR="00BE3F39" w:rsidRDefault="00CA5D84">
      <w:r>
        <w:t>donde y_t agrupa las variables en nivel I(1), β′y_{t-1} es el término de corrección de error que</w:t>
      </w:r>
    </w:p>
    <w:p w14:paraId="7C784AE9" w14:textId="77777777" w:rsidR="00BE3F39" w:rsidRDefault="00CA5D84">
      <w:r>
        <w:t>recoge la desviación respecto del equilibrio de largo plazo, α mide la velocidad con que cada</w:t>
      </w:r>
    </w:p>
    <w:p w14:paraId="2DDED6BD" w14:textId="77777777" w:rsidR="00BE3F39" w:rsidRDefault="00CA5D84">
      <w:r>
        <w:t>variable corrige dicha desviación, y Γ_i captura la dinámica de corto plazo. Adicionalmente, dado</w:t>
      </w:r>
    </w:p>
    <w:p w14:paraId="58E0E182" w14:textId="77777777" w:rsidR="00BE3F39" w:rsidRDefault="00CA5D84">
      <w:r>
        <w:t>que las pruebas anteriores suponen una relación estable, se aplica el test de **Gregory-Hansen</w:t>
      </w:r>
    </w:p>
    <w:p w14:paraId="463811B1" w14:textId="77777777" w:rsidR="00BE3F39" w:rsidRDefault="00CA5D84">
      <w:r>
        <w:t>(1996)**, que admite un quiebre estructural endógeno en la relación de cointegración, apropiado</w:t>
      </w:r>
    </w:p>
    <w:p w14:paraId="700B887E" w14:textId="77777777" w:rsidR="00BE3F39" w:rsidRDefault="00CA5D84">
      <w:r>
        <w:t>para un sector sujeto a ciclos pronunciados del commodity.</w:t>
      </w:r>
    </w:p>
    <w:p w14:paraId="058037C6" w14:textId="77777777" w:rsidR="00BE3F39" w:rsidRDefault="00CA5D84">
      <w:pPr>
        <w:pStyle w:val="Ttulo3"/>
      </w:pPr>
      <w:bookmarkStart w:id="37" w:name="_Toc231082798"/>
      <w:r>
        <w:t>3.6.4 Dinámica de shocks: VAR, impulso-respuesta y descomposición de varianza (OE4)</w:t>
      </w:r>
      <w:bookmarkEnd w:id="37"/>
    </w:p>
    <w:p w14:paraId="22E84CEC" w14:textId="77777777" w:rsidR="00BE3F39" w:rsidRDefault="00CA5D84">
      <w:r>
        <w:t>La respuesta dinámica de los retornos a perturbaciones macroeconómicas se analiza mediante un</w:t>
      </w:r>
    </w:p>
    <w:p w14:paraId="44DBB0BB" w14:textId="77777777" w:rsidR="00BE3F39" w:rsidRDefault="00CA5D84">
      <w:r>
        <w:t xml:space="preserve">modelo </w:t>
      </w:r>
      <w:r>
        <w:rPr>
          <w:b/>
        </w:rPr>
        <w:t>VAR</w:t>
      </w:r>
      <w:r>
        <w:t xml:space="preserve"> de orden *p*, y_t = c + Σ_{i=1}^{p} A_i y_{t-i} + u_t, cuya representación de medias</w:t>
      </w:r>
    </w:p>
    <w:p w14:paraId="3B17DC36" w14:textId="77777777" w:rsidR="00BE3F39" w:rsidRDefault="00CA5D84">
      <w:r>
        <w:t>móviles y_t = μ + Σ_{j=0}^{∞} Φ_j u_{t-j} permite computar las funciones impulso-respuesta. La</w:t>
      </w:r>
    </w:p>
    <w:p w14:paraId="1D67DB23" w14:textId="77777777" w:rsidR="00BE3F39" w:rsidRDefault="00CA5D84">
      <w:r>
        <w:rPr>
          <w:b/>
        </w:rPr>
        <w:t>descomposición de la varianza del error de pronóstico (FEVD)</w:t>
      </w:r>
      <w:r>
        <w:t xml:space="preserve"> a horizonte *h* mide la fracción</w:t>
      </w:r>
    </w:p>
    <w:p w14:paraId="344E8730" w14:textId="77777777" w:rsidR="00BE3F39" w:rsidRDefault="00CA5D84">
      <w:r>
        <w:t>de la varianza del error de predicción de cada variable atribuible a cada shock estructural,</w:t>
      </w:r>
    </w:p>
    <w:p w14:paraId="43A4FC20" w14:textId="77777777" w:rsidR="00BE3F39" w:rsidRDefault="00CA5D84">
      <w:r>
        <w:lastRenderedPageBreak/>
        <w:t>ω_{i←j}(h) = [Σ_{s=0}^{h-1} (e_i′ Θ_s e_j)²] / [Σ_{s=0}^{h-1} (e_i′ Θ_s Θ_s′ e_i)], donde Θ_s son</w:t>
      </w:r>
    </w:p>
    <w:p w14:paraId="2B69409A" w14:textId="77777777" w:rsidR="00BE3F39" w:rsidRDefault="00CA5D84">
      <w:r>
        <w:t>los coeficientes de impulso-respuesta ortogonalizados. La identificación de los shocks</w:t>
      </w:r>
    </w:p>
    <w:p w14:paraId="7FE019C6" w14:textId="77777777" w:rsidR="00BE3F39" w:rsidRDefault="00CA5D84">
      <w:r>
        <w:t xml:space="preserve">estructurales se realiza por </w:t>
      </w:r>
      <w:r>
        <w:rPr>
          <w:b/>
        </w:rPr>
        <w:t>descomposición de Cholesky</w:t>
      </w:r>
      <w:r>
        <w:t>, con un ordenamiento de las</w:t>
      </w:r>
    </w:p>
    <w:p w14:paraId="5349CC38" w14:textId="77777777" w:rsidR="00BE3F39" w:rsidRDefault="00CA5D84">
      <w:r>
        <w:t>variables según su grado de exogeneidad —el precio del cobre, determinado en el mercado</w:t>
      </w:r>
    </w:p>
    <w:p w14:paraId="512C73F5" w14:textId="77777777" w:rsidR="00BE3F39" w:rsidRDefault="00CA5D84">
      <w:r>
        <w:t>global, se ordena primero, y la acción, como variable más endógena, al final—. Se reportan las</w:t>
      </w:r>
    </w:p>
    <w:p w14:paraId="31696242" w14:textId="77777777" w:rsidR="00BE3F39" w:rsidRDefault="00CA5D84">
      <w:r>
        <w:rPr>
          <w:b/>
        </w:rPr>
        <w:t>funciones impulso-respuesta</w:t>
      </w:r>
      <w:r>
        <w:t xml:space="preserve"> y la </w:t>
      </w:r>
      <w:r>
        <w:rPr>
          <w:b/>
        </w:rPr>
        <w:t>descomposición de la varianza del error de pronóstico</w:t>
      </w:r>
      <w:r>
        <w:t>,</w:t>
      </w:r>
    </w:p>
    <w:p w14:paraId="32EB592A" w14:textId="77777777" w:rsidR="00BE3F39" w:rsidRDefault="00CA5D84">
      <w:r>
        <w:t>esta última como evidencia directa para la hipótesis de dominancia global (H6). La robustez de</w:t>
      </w:r>
    </w:p>
    <w:p w14:paraId="09C87C46" w14:textId="77777777" w:rsidR="00BE3F39" w:rsidRDefault="00CA5D84">
      <w:r>
        <w:t>las conclusiones a la identificación se verifica mediante reordenamientos e impulso-respuestas</w:t>
      </w:r>
    </w:p>
    <w:p w14:paraId="6B543F00" w14:textId="77777777" w:rsidR="00BE3F39" w:rsidRDefault="00CA5D84">
      <w:r>
        <w:t xml:space="preserve">generalizadas (Pesaran y Shin, 1998), así </w:t>
      </w:r>
      <w:r>
        <w:t>como con tests de causalidad de Granger.</w:t>
      </w:r>
    </w:p>
    <w:p w14:paraId="1A01DE56" w14:textId="77777777" w:rsidR="00BE3F39" w:rsidRDefault="00CA5D84">
      <w:pPr>
        <w:pStyle w:val="Ttulo3"/>
      </w:pPr>
      <w:bookmarkStart w:id="38" w:name="_Toc231082799"/>
      <w:r>
        <w:t>3.6.5 Estabilidad por fases del ciclo (OE5)</w:t>
      </w:r>
      <w:bookmarkEnd w:id="38"/>
    </w:p>
    <w:p w14:paraId="54BB3C1E" w14:textId="77777777" w:rsidR="00BE3F39" w:rsidRDefault="00CA5D84">
      <w:r>
        <w:t>La estabilidad de las relaciones se evalúa incorporando la fase del ciclo del cobre mediante</w:t>
      </w:r>
    </w:p>
    <w:p w14:paraId="2DFE318D" w14:textId="77777777" w:rsidR="00BE3F39" w:rsidRDefault="00CA5D84">
      <w:r>
        <w:rPr>
          <w:b/>
        </w:rPr>
        <w:t>términos de interacción</w:t>
      </w:r>
      <w:r>
        <w:t xml:space="preserve"> entre los factores y una variable indicadora de régimen, y</w:t>
      </w:r>
    </w:p>
    <w:p w14:paraId="0BBFC239" w14:textId="77777777" w:rsidR="00BE3F39" w:rsidRDefault="00CA5D84">
      <w:r>
        <w:t>re-estimando los modelos por subperíodo. El término de interacción mide si la sensibilidad de</w:t>
      </w:r>
    </w:p>
    <w:p w14:paraId="568AA992" w14:textId="77777777" w:rsidR="00BE3F39" w:rsidRDefault="00CA5D84">
      <w:r>
        <w:t>los retornos a cada factor —en particular al precio del cobre— difiere entre expansión y</w:t>
      </w:r>
    </w:p>
    <w:p w14:paraId="20982DF8" w14:textId="77777777" w:rsidR="00BE3F39" w:rsidRDefault="00CA5D84">
      <w:r>
        <w:t>contracción. Como análisis de robustez se considera un modelo de **cambio de régimen de</w:t>
      </w:r>
    </w:p>
    <w:p w14:paraId="0928341A" w14:textId="77777777" w:rsidR="00BE3F39" w:rsidRDefault="00CA5D84">
      <w:r>
        <w:t>Markov** que detecta los estados de forma endógena.</w:t>
      </w:r>
    </w:p>
    <w:p w14:paraId="666374FA" w14:textId="77777777" w:rsidR="00BE3F39" w:rsidRDefault="00CA5D84">
      <w:pPr>
        <w:pStyle w:val="Ttulo3"/>
      </w:pPr>
      <w:bookmarkStart w:id="39" w:name="_Toc231082800"/>
      <w:r>
        <w:t>3.6.6 Comparación entre mercados: triangulación (OE6)</w:t>
      </w:r>
      <w:bookmarkEnd w:id="39"/>
    </w:p>
    <w:p w14:paraId="108B891E" w14:textId="77777777" w:rsidR="00BE3F39" w:rsidRDefault="00CA5D84">
      <w:r>
        <w:t>La totalidad del análisis precedente (3.6.1 a 3.6.5) se ejecuta de forma paralela sobre las tres</w:t>
      </w:r>
    </w:p>
    <w:p w14:paraId="541805C2" w14:textId="77777777" w:rsidR="00BE3F39" w:rsidRDefault="00CA5D84">
      <w:r>
        <w:lastRenderedPageBreak/>
        <w:t xml:space="preserve">muestras —cobre en el </w:t>
      </w:r>
      <w:r>
        <w:t>mercado global (B), cobre en el mercado chileno (A) y sector minero chileno</w:t>
      </w:r>
    </w:p>
    <w:p w14:paraId="38A1D6B8" w14:textId="77777777" w:rsidR="00BE3F39" w:rsidRDefault="00CA5D84">
      <w:r>
        <w:t>(C)—. La comparación sistemática de los coeficientes de sensibilidad, de la velocidad de ajuste</w:t>
      </w:r>
    </w:p>
    <w:p w14:paraId="33B71242" w14:textId="77777777" w:rsidR="00BE3F39" w:rsidRDefault="00CA5D84">
      <w:r>
        <w:t>del mecanismo de corrección de error y de la descomposición de varianza entre muestras permite</w:t>
      </w:r>
    </w:p>
    <w:p w14:paraId="11443769" w14:textId="77777777" w:rsidR="00BE3F39" w:rsidRDefault="00CA5D84">
      <w:r>
        <w:t>contrastar si el mercado bursátil global incorpora los shocks macroeconómicos de manera más</w:t>
      </w:r>
    </w:p>
    <w:p w14:paraId="010E6AED" w14:textId="77777777" w:rsidR="00BE3F39" w:rsidRDefault="00CA5D84">
      <w:r>
        <w:t>rápida y completa que el mercado chileno (hipótesis H7). Esta comparación se sustenta en la</w:t>
      </w:r>
    </w:p>
    <w:p w14:paraId="2128A6EB" w14:textId="77777777" w:rsidR="00BE3F39" w:rsidRDefault="00CA5D84">
      <w:r>
        <w:t>literatura sobre eficiencia informacional y segmentación de mercados, y constituye un aporte</w:t>
      </w:r>
    </w:p>
    <w:p w14:paraId="2F984E47" w14:textId="77777777" w:rsidR="00BE3F39" w:rsidRDefault="00CA5D84">
      <w:r>
        <w:t>distintivo del estudio. Los resultados se consolidan en una tabla comparativa única por muestra.</w:t>
      </w:r>
    </w:p>
    <w:p w14:paraId="00FFD506" w14:textId="77777777" w:rsidR="00BE3F39" w:rsidRDefault="00CA5D84">
      <w:pPr>
        <w:pStyle w:val="Ttulo2"/>
      </w:pPr>
      <w:bookmarkStart w:id="40" w:name="_Toc231082801"/>
      <w:r>
        <w:t>3.7 Validación de supuestos y robustez</w:t>
      </w:r>
      <w:bookmarkEnd w:id="40"/>
    </w:p>
    <w:p w14:paraId="719BED21" w14:textId="77777777" w:rsidR="00BE3F39" w:rsidRDefault="00CA5D84">
      <w:r>
        <w:t>Para cada familia de modelos se verifican los supuestos pertinentes: ausencia de</w:t>
      </w:r>
    </w:p>
    <w:p w14:paraId="05E4F80D" w14:textId="77777777" w:rsidR="00BE3F39" w:rsidRDefault="00CA5D84">
      <w:r>
        <w:t>autocorrelación (Breusch-Godfrey, Ljung-Box) y de heterocedasticidad (con atención a efectos</w:t>
      </w:r>
    </w:p>
    <w:p w14:paraId="3C0CC518" w14:textId="77777777" w:rsidR="00BE3F39" w:rsidRDefault="00CA5D84">
      <w:r>
        <w:t>ARCH, dada la naturaleza financiera de los retornos), dependencia de sección cruzada en el</w:t>
      </w:r>
    </w:p>
    <w:p w14:paraId="50F1F04D" w14:textId="77777777" w:rsidR="00BE3F39" w:rsidRDefault="00CA5D84">
      <w:r>
        <w:t>panel (test CD de Pesaran), estabilidad del VAR (raíces dentro del círculo unitario) y</w:t>
      </w:r>
    </w:p>
    <w:p w14:paraId="6C9C97DB" w14:textId="77777777" w:rsidR="00BE3F39" w:rsidRDefault="00CA5D84">
      <w:r>
        <w:t>selección de rezagos por criterios de información. La robustez de los resultados se examina</w:t>
      </w:r>
    </w:p>
    <w:p w14:paraId="4E7A9D40" w14:textId="77777777" w:rsidR="00BE3F39" w:rsidRDefault="00CA5D84">
      <w:r>
        <w:t>mediante submuestras, definiciones alternativas de las variables (cobre spot frente a futuros;</w:t>
      </w:r>
    </w:p>
    <w:p w14:paraId="50EF8148" w14:textId="77777777" w:rsidR="00BE3F39" w:rsidRDefault="00CA5D84">
      <w:r>
        <w:t>cartera equiponderada frente a ponderada por capitalización) y la inclusión o exclusión de</w:t>
      </w:r>
    </w:p>
    <w:p w14:paraId="0F3F899E" w14:textId="77777777" w:rsidR="00BE3F39" w:rsidRDefault="00CA5D84">
      <w:r>
        <w:t>períodos atípicos como la crisis de 2008 y la pandemia de 2020.</w:t>
      </w:r>
    </w:p>
    <w:p w14:paraId="138F1970" w14:textId="77777777" w:rsidR="00BE3F39" w:rsidRDefault="00CA5D84">
      <w:pPr>
        <w:pStyle w:val="Ttulo3"/>
      </w:pPr>
      <w:bookmarkStart w:id="41" w:name="_Toc231082802"/>
      <w:r>
        <w:lastRenderedPageBreak/>
        <w:t>Tabla 3.1 — Definición operativa de variables (resumen)</w:t>
      </w:r>
      <w:bookmarkEnd w:id="41"/>
    </w:p>
    <w:p w14:paraId="73CFA983" w14:textId="4BE3F6E1" w:rsidR="00BE3F39" w:rsidRDefault="00CA5D84">
      <w:pPr>
        <w:pStyle w:val="Descripcin"/>
        <w:jc w:val="center"/>
      </w:pPr>
      <w:bookmarkStart w:id="42" w:name="_Toc231082832"/>
      <w:r>
        <w:rPr>
          <w:sz w:val="20"/>
        </w:rPr>
        <w:t xml:space="preserve">Tabla </w:t>
      </w:r>
      <w:r>
        <w:fldChar w:fldCharType="begin"/>
      </w:r>
      <w:r>
        <w:instrText xml:space="preserve"> SEQ Tabla \* ARABIC </w:instrText>
      </w:r>
      <w:r>
        <w:fldChar w:fldCharType="separate"/>
      </w:r>
      <w:r>
        <w:rPr>
          <w:noProof/>
        </w:rPr>
        <w:t>1</w:t>
      </w:r>
      <w:r>
        <w:fldChar w:fldCharType="end"/>
      </w:r>
      <w:r>
        <w:rPr>
          <w:sz w:val="20"/>
        </w:rPr>
        <w:t>.</w:t>
      </w:r>
      <w:bookmarkEnd w:id="42"/>
      <w:r>
        <w:rPr>
          <w:sz w:val="20"/>
        </w:rPr>
        <w:t xml:space="preserve"> </w:t>
      </w:r>
    </w:p>
    <w:tbl>
      <w:tblPr>
        <w:tblStyle w:val="Cuadrculaclara-nfasis1"/>
        <w:tblW w:w="0" w:type="auto"/>
        <w:tblLook w:val="04A0" w:firstRow="1" w:lastRow="0" w:firstColumn="1" w:lastColumn="0" w:noHBand="0" w:noVBand="1"/>
      </w:tblPr>
      <w:tblGrid>
        <w:gridCol w:w="1291"/>
        <w:gridCol w:w="1527"/>
        <w:gridCol w:w="1683"/>
        <w:gridCol w:w="1036"/>
        <w:gridCol w:w="1916"/>
        <w:gridCol w:w="1605"/>
      </w:tblGrid>
      <w:tr w:rsidR="00BE3F39" w14:paraId="0451EDEF" w14:textId="77777777" w:rsidTr="00BE3F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00A6FFE7" w14:textId="77777777" w:rsidR="00BE3F39" w:rsidRDefault="00CA5D84">
            <w:r>
              <w:rPr>
                <w:sz w:val="20"/>
              </w:rPr>
              <w:t>Bloque</w:t>
            </w:r>
          </w:p>
        </w:tc>
        <w:tc>
          <w:tcPr>
            <w:tcW w:w="1474" w:type="dxa"/>
          </w:tcPr>
          <w:p w14:paraId="21B3F765"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Variable</w:t>
            </w:r>
          </w:p>
        </w:tc>
        <w:tc>
          <w:tcPr>
            <w:tcW w:w="1474" w:type="dxa"/>
          </w:tcPr>
          <w:p w14:paraId="10269332"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Proxy</w:t>
            </w:r>
          </w:p>
        </w:tc>
        <w:tc>
          <w:tcPr>
            <w:tcW w:w="1474" w:type="dxa"/>
          </w:tcPr>
          <w:p w14:paraId="32E9984E"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Fuente</w:t>
            </w:r>
          </w:p>
        </w:tc>
        <w:tc>
          <w:tcPr>
            <w:tcW w:w="1474" w:type="dxa"/>
          </w:tcPr>
          <w:p w14:paraId="4684ADD5"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Frecuencia</w:t>
            </w:r>
          </w:p>
        </w:tc>
        <w:tc>
          <w:tcPr>
            <w:tcW w:w="1474" w:type="dxa"/>
          </w:tcPr>
          <w:p w14:paraId="6B0D9D21"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Transformación</w:t>
            </w:r>
          </w:p>
        </w:tc>
      </w:tr>
      <w:tr w:rsidR="00BE3F39" w14:paraId="0300D859"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56218F83" w14:textId="77777777" w:rsidR="00BE3F39" w:rsidRDefault="00CA5D84">
            <w:r>
              <w:rPr>
                <w:sz w:val="20"/>
              </w:rPr>
              <w:t>Dependiente</w:t>
            </w:r>
          </w:p>
        </w:tc>
        <w:tc>
          <w:tcPr>
            <w:tcW w:w="1474" w:type="dxa"/>
          </w:tcPr>
          <w:p w14:paraId="608B7C7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Retorno</w:t>
            </w:r>
          </w:p>
        </w:tc>
        <w:tc>
          <w:tcPr>
            <w:tcW w:w="1474" w:type="dxa"/>
          </w:tcPr>
          <w:p w14:paraId="6231CB72"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Δlog precio ajustado</w:t>
            </w:r>
          </w:p>
        </w:tc>
        <w:tc>
          <w:tcPr>
            <w:tcW w:w="1474" w:type="dxa"/>
          </w:tcPr>
          <w:p w14:paraId="2B56D0CC"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Yahoo Finance</w:t>
            </w:r>
          </w:p>
        </w:tc>
        <w:tc>
          <w:tcPr>
            <w:tcW w:w="1474" w:type="dxa"/>
          </w:tcPr>
          <w:p w14:paraId="3C94E9AB"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37D50A81"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w:t>
            </w:r>
          </w:p>
        </w:tc>
      </w:tr>
      <w:tr w:rsidR="00BE3F39" w14:paraId="65D654CF"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52788DDF" w14:textId="77777777" w:rsidR="00BE3F39" w:rsidRDefault="00CA5D84">
            <w:r>
              <w:rPr>
                <w:sz w:val="20"/>
              </w:rPr>
              <w:t>Global</w:t>
            </w:r>
          </w:p>
        </w:tc>
        <w:tc>
          <w:tcPr>
            <w:tcW w:w="1474" w:type="dxa"/>
          </w:tcPr>
          <w:p w14:paraId="75E77F0D"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Cobre</w:t>
            </w:r>
          </w:p>
        </w:tc>
        <w:tc>
          <w:tcPr>
            <w:tcW w:w="1474" w:type="dxa"/>
          </w:tcPr>
          <w:p w14:paraId="4D01FACD"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Precio LME/global</w:t>
            </w:r>
          </w:p>
        </w:tc>
        <w:tc>
          <w:tcPr>
            <w:tcW w:w="1474" w:type="dxa"/>
          </w:tcPr>
          <w:p w14:paraId="5FFF65A9"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Cochilco / FRED</w:t>
            </w:r>
          </w:p>
        </w:tc>
        <w:tc>
          <w:tcPr>
            <w:tcW w:w="1474" w:type="dxa"/>
          </w:tcPr>
          <w:p w14:paraId="63EBE068"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6B0CD1B7"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Δlog</w:t>
            </w:r>
          </w:p>
        </w:tc>
      </w:tr>
      <w:tr w:rsidR="00BE3F39" w14:paraId="1FE12212"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6A8088CD" w14:textId="77777777" w:rsidR="00BE3F39" w:rsidRDefault="00CA5D84">
            <w:r>
              <w:rPr>
                <w:sz w:val="20"/>
              </w:rPr>
              <w:t>Global</w:t>
            </w:r>
          </w:p>
        </w:tc>
        <w:tc>
          <w:tcPr>
            <w:tcW w:w="1474" w:type="dxa"/>
          </w:tcPr>
          <w:p w14:paraId="600D071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Riesgo</w:t>
            </w:r>
          </w:p>
        </w:tc>
        <w:tc>
          <w:tcPr>
            <w:tcW w:w="1474" w:type="dxa"/>
          </w:tcPr>
          <w:p w14:paraId="6ED72A9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VIX</w:t>
            </w:r>
          </w:p>
        </w:tc>
        <w:tc>
          <w:tcPr>
            <w:tcW w:w="1474" w:type="dxa"/>
          </w:tcPr>
          <w:p w14:paraId="4F8AE0FD"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FRED</w:t>
            </w:r>
          </w:p>
        </w:tc>
        <w:tc>
          <w:tcPr>
            <w:tcW w:w="1474" w:type="dxa"/>
          </w:tcPr>
          <w:p w14:paraId="1DE631D7"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Diaria→mensual</w:t>
            </w:r>
          </w:p>
        </w:tc>
        <w:tc>
          <w:tcPr>
            <w:tcW w:w="1474" w:type="dxa"/>
          </w:tcPr>
          <w:p w14:paraId="2312B61C"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Δ</w:t>
            </w:r>
          </w:p>
        </w:tc>
      </w:tr>
      <w:tr w:rsidR="00BE3F39" w14:paraId="5B61F2CD"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1AE4D479" w14:textId="77777777" w:rsidR="00BE3F39" w:rsidRDefault="00CA5D84">
            <w:r>
              <w:rPr>
                <w:sz w:val="20"/>
              </w:rPr>
              <w:t>Global</w:t>
            </w:r>
          </w:p>
        </w:tc>
        <w:tc>
          <w:tcPr>
            <w:tcW w:w="1474" w:type="dxa"/>
          </w:tcPr>
          <w:p w14:paraId="57B7E7D1"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Tasa externa</w:t>
            </w:r>
          </w:p>
        </w:tc>
        <w:tc>
          <w:tcPr>
            <w:tcW w:w="1474" w:type="dxa"/>
          </w:tcPr>
          <w:p w14:paraId="4545302A"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Fed Funds / 10Y</w:t>
            </w:r>
          </w:p>
        </w:tc>
        <w:tc>
          <w:tcPr>
            <w:tcW w:w="1474" w:type="dxa"/>
          </w:tcPr>
          <w:p w14:paraId="0A55A309"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FRED</w:t>
            </w:r>
          </w:p>
        </w:tc>
        <w:tc>
          <w:tcPr>
            <w:tcW w:w="1474" w:type="dxa"/>
          </w:tcPr>
          <w:p w14:paraId="125C59B4"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7BEA022A"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Δ</w:t>
            </w:r>
          </w:p>
        </w:tc>
      </w:tr>
      <w:tr w:rsidR="00BE3F39" w14:paraId="2D94588B"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57AC91E4" w14:textId="77777777" w:rsidR="00BE3F39" w:rsidRDefault="00CA5D84">
            <w:r>
              <w:rPr>
                <w:sz w:val="20"/>
              </w:rPr>
              <w:t>Global</w:t>
            </w:r>
          </w:p>
        </w:tc>
        <w:tc>
          <w:tcPr>
            <w:tcW w:w="1474" w:type="dxa"/>
          </w:tcPr>
          <w:p w14:paraId="1265B57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Control</w:t>
            </w:r>
          </w:p>
        </w:tc>
        <w:tc>
          <w:tcPr>
            <w:tcW w:w="1474" w:type="dxa"/>
          </w:tcPr>
          <w:p w14:paraId="62F05832"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WTI</w:t>
            </w:r>
          </w:p>
        </w:tc>
        <w:tc>
          <w:tcPr>
            <w:tcW w:w="1474" w:type="dxa"/>
          </w:tcPr>
          <w:p w14:paraId="3974638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FRED</w:t>
            </w:r>
          </w:p>
        </w:tc>
        <w:tc>
          <w:tcPr>
            <w:tcW w:w="1474" w:type="dxa"/>
          </w:tcPr>
          <w:p w14:paraId="411C4648"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Diaria→mensual</w:t>
            </w:r>
          </w:p>
        </w:tc>
        <w:tc>
          <w:tcPr>
            <w:tcW w:w="1474" w:type="dxa"/>
          </w:tcPr>
          <w:p w14:paraId="74C1101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Δlog</w:t>
            </w:r>
          </w:p>
        </w:tc>
      </w:tr>
      <w:tr w:rsidR="00BE3F39" w14:paraId="7F4F8D01"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2F1599E6" w14:textId="77777777" w:rsidR="00BE3F39" w:rsidRDefault="00CA5D84">
            <w:r>
              <w:rPr>
                <w:sz w:val="20"/>
              </w:rPr>
              <w:t>Local</w:t>
            </w:r>
          </w:p>
        </w:tc>
        <w:tc>
          <w:tcPr>
            <w:tcW w:w="1474" w:type="dxa"/>
          </w:tcPr>
          <w:p w14:paraId="6ABDD861"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Tipo de cambio</w:t>
            </w:r>
          </w:p>
        </w:tc>
        <w:tc>
          <w:tcPr>
            <w:tcW w:w="1474" w:type="dxa"/>
          </w:tcPr>
          <w:p w14:paraId="1022FA8D"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USD/CLP</w:t>
            </w:r>
          </w:p>
        </w:tc>
        <w:tc>
          <w:tcPr>
            <w:tcW w:w="1474" w:type="dxa"/>
          </w:tcPr>
          <w:p w14:paraId="28F2A99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BCCh / FRED</w:t>
            </w:r>
          </w:p>
        </w:tc>
        <w:tc>
          <w:tcPr>
            <w:tcW w:w="1474" w:type="dxa"/>
          </w:tcPr>
          <w:p w14:paraId="00620DA9"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Diaria→mensual</w:t>
            </w:r>
          </w:p>
        </w:tc>
        <w:tc>
          <w:tcPr>
            <w:tcW w:w="1474" w:type="dxa"/>
          </w:tcPr>
          <w:p w14:paraId="4CB2B827"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Δlog</w:t>
            </w:r>
          </w:p>
        </w:tc>
      </w:tr>
      <w:tr w:rsidR="00BE3F39" w14:paraId="44DCC5F6"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29E1499D" w14:textId="77777777" w:rsidR="00BE3F39" w:rsidRDefault="00CA5D84">
            <w:r>
              <w:rPr>
                <w:sz w:val="20"/>
              </w:rPr>
              <w:t>Local</w:t>
            </w:r>
          </w:p>
        </w:tc>
        <w:tc>
          <w:tcPr>
            <w:tcW w:w="1474" w:type="dxa"/>
          </w:tcPr>
          <w:p w14:paraId="42D1D564"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Tasa local</w:t>
            </w:r>
          </w:p>
        </w:tc>
        <w:tc>
          <w:tcPr>
            <w:tcW w:w="1474" w:type="dxa"/>
          </w:tcPr>
          <w:p w14:paraId="06F43081"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TPM</w:t>
            </w:r>
          </w:p>
        </w:tc>
        <w:tc>
          <w:tcPr>
            <w:tcW w:w="1474" w:type="dxa"/>
          </w:tcPr>
          <w:p w14:paraId="60F569CD"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BCCh</w:t>
            </w:r>
          </w:p>
        </w:tc>
        <w:tc>
          <w:tcPr>
            <w:tcW w:w="1474" w:type="dxa"/>
          </w:tcPr>
          <w:p w14:paraId="41E8CC5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1AF50565"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Δ</w:t>
            </w:r>
          </w:p>
        </w:tc>
      </w:tr>
      <w:tr w:rsidR="00BE3F39" w14:paraId="124AC855"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64A35923" w14:textId="77777777" w:rsidR="00BE3F39" w:rsidRDefault="00CA5D84">
            <w:r>
              <w:rPr>
                <w:sz w:val="20"/>
              </w:rPr>
              <w:t>Local</w:t>
            </w:r>
          </w:p>
        </w:tc>
        <w:tc>
          <w:tcPr>
            <w:tcW w:w="1474" w:type="dxa"/>
          </w:tcPr>
          <w:p w14:paraId="699F8DB2"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Actividad</w:t>
            </w:r>
          </w:p>
        </w:tc>
        <w:tc>
          <w:tcPr>
            <w:tcW w:w="1474" w:type="dxa"/>
          </w:tcPr>
          <w:p w14:paraId="290BDAC7"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IMACEC</w:t>
            </w:r>
          </w:p>
        </w:tc>
        <w:tc>
          <w:tcPr>
            <w:tcW w:w="1474" w:type="dxa"/>
          </w:tcPr>
          <w:p w14:paraId="46D4DA76"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BCCh</w:t>
            </w:r>
          </w:p>
        </w:tc>
        <w:tc>
          <w:tcPr>
            <w:tcW w:w="1474" w:type="dxa"/>
          </w:tcPr>
          <w:p w14:paraId="6ECDB65C"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64D9CAED"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nivel/Δ</w:t>
            </w:r>
          </w:p>
        </w:tc>
      </w:tr>
      <w:tr w:rsidR="00BE3F39" w14:paraId="1871ED3F"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59F41D60" w14:textId="77777777" w:rsidR="00BE3F39" w:rsidRDefault="00CA5D84">
            <w:r>
              <w:rPr>
                <w:sz w:val="20"/>
              </w:rPr>
              <w:t>Local</w:t>
            </w:r>
          </w:p>
        </w:tc>
        <w:tc>
          <w:tcPr>
            <w:tcW w:w="1474" w:type="dxa"/>
          </w:tcPr>
          <w:p w14:paraId="0517C412"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Riesgo país</w:t>
            </w:r>
          </w:p>
        </w:tc>
        <w:tc>
          <w:tcPr>
            <w:tcW w:w="1474" w:type="dxa"/>
          </w:tcPr>
          <w:p w14:paraId="7BC991F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EMBI Chile</w:t>
            </w:r>
          </w:p>
        </w:tc>
        <w:tc>
          <w:tcPr>
            <w:tcW w:w="1474" w:type="dxa"/>
          </w:tcPr>
          <w:p w14:paraId="7EF2CAF6"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BCCh</w:t>
            </w:r>
          </w:p>
        </w:tc>
        <w:tc>
          <w:tcPr>
            <w:tcW w:w="1474" w:type="dxa"/>
          </w:tcPr>
          <w:p w14:paraId="43612BCA"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01D9B7E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Δ</w:t>
            </w:r>
          </w:p>
        </w:tc>
      </w:tr>
      <w:tr w:rsidR="00BE3F39" w14:paraId="2D735388"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65A73DD0" w14:textId="77777777" w:rsidR="00BE3F39" w:rsidRDefault="00CA5D84">
            <w:r>
              <w:rPr>
                <w:sz w:val="20"/>
              </w:rPr>
              <w:t>Empresa</w:t>
            </w:r>
          </w:p>
        </w:tc>
        <w:tc>
          <w:tcPr>
            <w:tcW w:w="1474" w:type="dxa"/>
          </w:tcPr>
          <w:p w14:paraId="5BFB40A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Tamaño</w:t>
            </w:r>
          </w:p>
        </w:tc>
        <w:tc>
          <w:tcPr>
            <w:tcW w:w="1474" w:type="dxa"/>
          </w:tcPr>
          <w:p w14:paraId="50ED5789"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log(cap. bursátil)</w:t>
            </w:r>
          </w:p>
        </w:tc>
        <w:tc>
          <w:tcPr>
            <w:tcW w:w="1474" w:type="dxa"/>
          </w:tcPr>
          <w:p w14:paraId="3C43F411"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Mercado</w:t>
            </w:r>
          </w:p>
        </w:tc>
        <w:tc>
          <w:tcPr>
            <w:tcW w:w="1474" w:type="dxa"/>
          </w:tcPr>
          <w:p w14:paraId="15F70D17"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41BDE7D3"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nivel</w:t>
            </w:r>
          </w:p>
        </w:tc>
      </w:tr>
      <w:tr w:rsidR="00BE3F39" w14:paraId="2910581F"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C5865FE" w14:textId="77777777" w:rsidR="00BE3F39" w:rsidRDefault="00CA5D84">
            <w:r>
              <w:rPr>
                <w:sz w:val="20"/>
              </w:rPr>
              <w:t>Empresa</w:t>
            </w:r>
          </w:p>
        </w:tc>
        <w:tc>
          <w:tcPr>
            <w:tcW w:w="1474" w:type="dxa"/>
          </w:tcPr>
          <w:p w14:paraId="264D9618"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Volatilidad</w:t>
            </w:r>
          </w:p>
        </w:tc>
        <w:tc>
          <w:tcPr>
            <w:tcW w:w="1474" w:type="dxa"/>
          </w:tcPr>
          <w:p w14:paraId="0983E1E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desv. móvil retornos</w:t>
            </w:r>
          </w:p>
        </w:tc>
        <w:tc>
          <w:tcPr>
            <w:tcW w:w="1474" w:type="dxa"/>
          </w:tcPr>
          <w:p w14:paraId="237D08F9"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Calculada</w:t>
            </w:r>
          </w:p>
        </w:tc>
        <w:tc>
          <w:tcPr>
            <w:tcW w:w="1474" w:type="dxa"/>
          </w:tcPr>
          <w:p w14:paraId="0ECDED96"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0D203EA8"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nivel</w:t>
            </w:r>
          </w:p>
        </w:tc>
      </w:tr>
      <w:tr w:rsidR="00BE3F39" w14:paraId="19162A69"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731173BA" w14:textId="77777777" w:rsidR="00BE3F39" w:rsidRDefault="00CA5D84">
            <w:r>
              <w:rPr>
                <w:sz w:val="20"/>
              </w:rPr>
              <w:t>Empresa</w:t>
            </w:r>
          </w:p>
        </w:tc>
        <w:tc>
          <w:tcPr>
            <w:tcW w:w="1474" w:type="dxa"/>
          </w:tcPr>
          <w:p w14:paraId="7F9197E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Apalancamiento</w:t>
            </w:r>
          </w:p>
        </w:tc>
        <w:tc>
          <w:tcPr>
            <w:tcW w:w="1474" w:type="dxa"/>
          </w:tcPr>
          <w:p w14:paraId="0F7EA549"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Deuda/Patrimonio</w:t>
            </w:r>
          </w:p>
        </w:tc>
        <w:tc>
          <w:tcPr>
            <w:tcW w:w="1474" w:type="dxa"/>
          </w:tcPr>
          <w:p w14:paraId="0897A5E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CMF</w:t>
            </w:r>
          </w:p>
        </w:tc>
        <w:tc>
          <w:tcPr>
            <w:tcW w:w="1474" w:type="dxa"/>
          </w:tcPr>
          <w:p w14:paraId="3CC56F15"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Trimestral→mensual</w:t>
            </w:r>
          </w:p>
        </w:tc>
        <w:tc>
          <w:tcPr>
            <w:tcW w:w="1474" w:type="dxa"/>
          </w:tcPr>
          <w:p w14:paraId="7D434760"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ffill+rezago</w:t>
            </w:r>
          </w:p>
        </w:tc>
      </w:tr>
    </w:tbl>
    <w:p w14:paraId="0265AD6E" w14:textId="77777777" w:rsidR="00BE3F39" w:rsidRDefault="00BE3F39"/>
    <w:p w14:paraId="11BAF9AE" w14:textId="77777777" w:rsidR="00BE3F39" w:rsidRDefault="00CA5D84">
      <w:r>
        <w:t xml:space="preserve">*Referencias metodológicas completas en </w:t>
      </w:r>
      <w:r>
        <w:t>`docs/revision_literatura.md`, bloque 2.5.*</w:t>
      </w:r>
    </w:p>
    <w:p w14:paraId="4D093BD7" w14:textId="77777777" w:rsidR="00BE3F39" w:rsidRDefault="00CA5D84">
      <w:r>
        <w:br w:type="page"/>
      </w:r>
    </w:p>
    <w:p w14:paraId="7649775A" w14:textId="77777777" w:rsidR="00BE3F39" w:rsidRDefault="00CA5D84">
      <w:pPr>
        <w:pStyle w:val="Ttulo1"/>
      </w:pPr>
      <w:bookmarkStart w:id="43" w:name="_Toc231082803"/>
      <w:r>
        <w:lastRenderedPageBreak/>
        <w:t>Capítulo 4 — Resultados y discusión</w:t>
      </w:r>
      <w:bookmarkEnd w:id="43"/>
    </w:p>
    <w:p w14:paraId="7B74A623" w14:textId="77777777" w:rsidR="00BE3F39" w:rsidRDefault="00CA5D84">
      <w:pPr>
        <w:pStyle w:val="Ttulo2"/>
      </w:pPr>
      <w:bookmarkStart w:id="44" w:name="_Toc231082804"/>
      <w:r>
        <w:t>4.1 Análisis descriptivo y propiedades de las series (OE1)</w:t>
      </w:r>
      <w:bookmarkEnd w:id="44"/>
    </w:p>
    <w:p w14:paraId="45168307" w14:textId="77777777" w:rsidR="00BE3F39" w:rsidRDefault="00CA5D84">
      <w:r>
        <w:t>Las pruebas de raíz unitaria confirman el patrón esperado y validan la estrategia de doble vía.</w:t>
      </w:r>
    </w:p>
    <w:p w14:paraId="0BAD7631" w14:textId="77777777" w:rsidR="00BE3F39" w:rsidRDefault="00CA5D84">
      <w:r>
        <w:t xml:space="preserve">El </w:t>
      </w:r>
      <w:r>
        <w:rPr>
          <w:b/>
        </w:rPr>
        <w:t>logaritmo del precio del cobre</w:t>
      </w:r>
      <w:r>
        <w:t xml:space="preserve"> resulta no estacionario en nivel —integrado de orden uno,</w:t>
      </w:r>
    </w:p>
    <w:p w14:paraId="189BF6B1" w14:textId="77777777" w:rsidR="00BE3F39" w:rsidRDefault="00CA5D84">
      <w:r>
        <w:t xml:space="preserve">I(1) (ADF p = 0,013; KPSS rechaza la estacionariedad, p = 0,014)— mientras que su </w:t>
      </w:r>
      <w:r>
        <w:rPr>
          <w:b/>
        </w:rPr>
        <w:t>retorno</w:t>
      </w:r>
    </w:p>
    <w:p w14:paraId="3253A351" w14:textId="77777777" w:rsidR="00BE3F39" w:rsidRDefault="00CA5D84">
      <w:r>
        <w:t>(primera diferencia logarítmica) es estacionario, I(0) (ADF p = 0,0001; KPSS no rechaza, p = 0,10).</w:t>
      </w:r>
    </w:p>
    <w:p w14:paraId="4DAD2B0C" w14:textId="77777777" w:rsidR="00BE3F39" w:rsidRDefault="00CA5D84">
      <w:r>
        <w:t xml:space="preserve">Esta dicotomía sustenta el diseño: los </w:t>
      </w:r>
      <w:r>
        <w:rPr>
          <w:b/>
        </w:rPr>
        <w:t>retornos</w:t>
      </w:r>
      <w:r>
        <w:t xml:space="preserve"> alimentan los modelos de impacto de corto</w:t>
      </w:r>
    </w:p>
    <w:p w14:paraId="07595649" w14:textId="77777777" w:rsidR="00BE3F39" w:rsidRDefault="00CA5D84">
      <w:r>
        <w:t xml:space="preserve">plazo (OE2, OE4) y los </w:t>
      </w:r>
      <w:r>
        <w:rPr>
          <w:b/>
        </w:rPr>
        <w:t>niveles I(1)</w:t>
      </w:r>
      <w:r>
        <w:t xml:space="preserve"> ingresan al análisis de cointegración (OE3).</w:t>
      </w:r>
    </w:p>
    <w:p w14:paraId="094FE9B7" w14:textId="77777777" w:rsidR="00BE3F39" w:rsidRDefault="00CA5D84">
      <w:r>
        <w:t xml:space="preserve">El </w:t>
      </w:r>
      <w:r>
        <w:rPr>
          <w:b/>
        </w:rPr>
        <w:t>tipo de cambio USD/CLP</w:t>
      </w:r>
      <w:r>
        <w:t xml:space="preserve"> en logaritmo arroja un resultado ambiguo en las pruebas estándar</w:t>
      </w:r>
    </w:p>
    <w:p w14:paraId="59C5D7FD" w14:textId="77777777" w:rsidR="00BE3F39" w:rsidRDefault="00CA5D84">
      <w:r>
        <w:t xml:space="preserve">(ADF p = 0,150; KPSS rechaza). La prueba de </w:t>
      </w:r>
      <w:r>
        <w:rPr>
          <w:b/>
        </w:rPr>
        <w:t>Zivot-Andrews</w:t>
      </w:r>
      <w:r>
        <w:t>, que admite un quiebre estructural</w:t>
      </w:r>
    </w:p>
    <w:p w14:paraId="15FBDBD4" w14:textId="77777777" w:rsidR="00BE3F39" w:rsidRDefault="00CA5D84">
      <w:r>
        <w:t xml:space="preserve">endógeno, </w:t>
      </w:r>
      <w:r>
        <w:rPr>
          <w:b/>
        </w:rPr>
        <w:t>resuelve la ambigüedad</w:t>
      </w:r>
      <w:r>
        <w:t>: el nivel no es estacionario (estadístico −2,83; p = 0,95),</w:t>
      </w:r>
    </w:p>
    <w:p w14:paraId="7A2D2276" w14:textId="77777777" w:rsidR="00BE3F39" w:rsidRDefault="00CA5D84">
      <w:r>
        <w:t>mientras que su primera diferencia sí lo es de forma marginal (estadístico −4,59; p = 0,09). Se</w:t>
      </w:r>
    </w:p>
    <w:p w14:paraId="30900FE4" w14:textId="77777777" w:rsidR="00BE3F39" w:rsidRDefault="00CA5D84">
      <w:r>
        <w:t xml:space="preserve">concluye que el tipo de cambio es </w:t>
      </w:r>
      <w:r>
        <w:rPr>
          <w:b/>
        </w:rPr>
        <w:t>integrado de orden uno, I(1)</w:t>
      </w:r>
      <w:r>
        <w:t>, y que la clasificación dudosa</w:t>
      </w:r>
    </w:p>
    <w:p w14:paraId="21BE5D98" w14:textId="77777777" w:rsidR="00BE3F39" w:rsidRDefault="00CA5D84">
      <w:r>
        <w:t>inicial respondía a la pérdida de potencia de las pruebas convencionales ante los quiebres del</w:t>
      </w:r>
    </w:p>
    <w:p w14:paraId="1F1959CD" w14:textId="77777777" w:rsidR="00BE3F39" w:rsidRDefault="00CA5D84">
      <w:r>
        <w:t>período (súper-ciclo, crisis de 2008, pandemia de 2020). El cobre en nivel, contrastado con la</w:t>
      </w:r>
    </w:p>
    <w:p w14:paraId="2A96CF30" w14:textId="77777777" w:rsidR="00BE3F39" w:rsidRDefault="00CA5D84">
      <w:r>
        <w:lastRenderedPageBreak/>
        <w:t>misma prueba, se mantiene como I(1) (p = 0,17).</w:t>
      </w:r>
    </w:p>
    <w:p w14:paraId="76972360" w14:textId="77777777" w:rsidR="00BE3F39" w:rsidRDefault="00CA5D84">
      <w:r>
        <w:t>Dado que el test de Pesaran detecta dependencia de sección cruzada en el panel (§4.7), se aplica</w:t>
      </w:r>
    </w:p>
    <w:p w14:paraId="1F3509E5" w14:textId="77777777" w:rsidR="00BE3F39" w:rsidRDefault="00CA5D84">
      <w:r>
        <w:t xml:space="preserve">además la prueba de raíz unitaria de </w:t>
      </w:r>
      <w:r>
        <w:rPr>
          <w:b/>
        </w:rPr>
        <w:t>segunda generación CIPS</w:t>
      </w:r>
      <w:r>
        <w:t xml:space="preserve"> (Pesaran, 2007), robusta a dicha</w:t>
      </w:r>
    </w:p>
    <w:p w14:paraId="50C95EF2" w14:textId="77777777" w:rsidR="00BE3F39" w:rsidRDefault="00CA5D84">
      <w:r>
        <w:t>dependencia. Los resultados confirman de manera contundente la estructura supuesta: el panel de</w:t>
      </w:r>
    </w:p>
    <w:p w14:paraId="584C5210" w14:textId="77777777" w:rsidR="00BE3F39" w:rsidRDefault="00CA5D84">
      <w:r>
        <w:rPr>
          <w:b/>
        </w:rPr>
        <w:t>log-precios</w:t>
      </w:r>
      <w:r>
        <w:t xml:space="preserve"> de las empresas no rechaza la raíz unitaria (CIPS = −2,29, por encima del valor</w:t>
      </w:r>
    </w:p>
    <w:p w14:paraId="02F51C17" w14:textId="77777777" w:rsidR="00BE3F39" w:rsidRDefault="00CA5D84">
      <w:r>
        <w:t xml:space="preserve">crítico al 5% de −2,57), comportándose como </w:t>
      </w:r>
      <w:r>
        <w:rPr>
          <w:b/>
        </w:rPr>
        <w:t>I(1)</w:t>
      </w:r>
      <w:r>
        <w:t xml:space="preserve">, mientras que el panel de </w:t>
      </w:r>
      <w:r>
        <w:rPr>
          <w:b/>
        </w:rPr>
        <w:t>retornos</w:t>
      </w:r>
      <w:r>
        <w:t xml:space="preserve"> la</w:t>
      </w:r>
    </w:p>
    <w:p w14:paraId="10433D87" w14:textId="77777777" w:rsidR="00BE3F39" w:rsidRDefault="00CA5D84">
      <w:r>
        <w:t xml:space="preserve">rechaza con holgura (CIPS = −16,32), confirmándose como </w:t>
      </w:r>
      <w:r>
        <w:rPr>
          <w:b/>
        </w:rPr>
        <w:t>I(0)</w:t>
      </w:r>
      <w:r>
        <w:t>. La doble vía del diseño queda así</w:t>
      </w:r>
    </w:p>
    <w:p w14:paraId="7E9C2D19" w14:textId="77777777" w:rsidR="00BE3F39" w:rsidRDefault="00CA5D84">
      <w:r>
        <w:t>validada también con métodos de panel apropiados para la dependencia transversal.</w:t>
      </w:r>
    </w:p>
    <w:p w14:paraId="487B0CBF" w14:textId="77777777" w:rsidR="00BE3F39" w:rsidRDefault="00CA5D84">
      <w:pPr>
        <w:pStyle w:val="Ttulo2"/>
      </w:pPr>
      <w:bookmarkStart w:id="45" w:name="_Toc231082805"/>
      <w:r>
        <w:t>4.2 Determinantes de los retornos: global vs local (OE2)</w:t>
      </w:r>
      <w:bookmarkEnd w:id="45"/>
    </w:p>
    <w:p w14:paraId="33A4CE2F" w14:textId="77777777" w:rsidR="00BE3F39" w:rsidRDefault="00CA5D84">
      <w:r>
        <w:t>El modelo de panel de efectos fijos con errores Driscoll-Kraay (muestra B, cinco productoras de</w:t>
      </w:r>
    </w:p>
    <w:p w14:paraId="5486AFE6" w14:textId="77777777" w:rsidR="00BE3F39" w:rsidRDefault="00CA5D84">
      <w:r>
        <w:t>cobre con cotización internacional; R² within = 0,245) entrega los siguientes coeficientes:</w:t>
      </w:r>
    </w:p>
    <w:p w14:paraId="4E16E7B1" w14:textId="4563D409" w:rsidR="00BE3F39" w:rsidRDefault="00CA5D84">
      <w:pPr>
        <w:pStyle w:val="Descripcin"/>
        <w:jc w:val="center"/>
      </w:pPr>
      <w:bookmarkStart w:id="46" w:name="_Toc231082833"/>
      <w:r>
        <w:rPr>
          <w:sz w:val="20"/>
        </w:rPr>
        <w:t xml:space="preserve">Tabla </w:t>
      </w:r>
      <w:r>
        <w:fldChar w:fldCharType="begin"/>
      </w:r>
      <w:r>
        <w:instrText xml:space="preserve"> SEQ Tabla \* ARABIC </w:instrText>
      </w:r>
      <w:r>
        <w:fldChar w:fldCharType="separate"/>
      </w:r>
      <w:r>
        <w:rPr>
          <w:noProof/>
        </w:rPr>
        <w:t>2</w:t>
      </w:r>
      <w:r>
        <w:fldChar w:fldCharType="end"/>
      </w:r>
      <w:r>
        <w:rPr>
          <w:sz w:val="20"/>
        </w:rPr>
        <w:t>.</w:t>
      </w:r>
      <w:bookmarkEnd w:id="46"/>
      <w:r>
        <w:rPr>
          <w:sz w:val="20"/>
        </w:rPr>
        <w:t xml:space="preserve"> </w:t>
      </w:r>
    </w:p>
    <w:tbl>
      <w:tblPr>
        <w:tblStyle w:val="Cuadrculaclara-nfasis1"/>
        <w:tblW w:w="0" w:type="auto"/>
        <w:tblLook w:val="04A0" w:firstRow="1" w:lastRow="0" w:firstColumn="1" w:lastColumn="0" w:noHBand="0" w:noVBand="1"/>
      </w:tblPr>
      <w:tblGrid>
        <w:gridCol w:w="2947"/>
        <w:gridCol w:w="2947"/>
        <w:gridCol w:w="2947"/>
      </w:tblGrid>
      <w:tr w:rsidR="00BE3F39" w14:paraId="71AE6C63" w14:textId="77777777" w:rsidTr="00BE3F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5FC342AC" w14:textId="77777777" w:rsidR="00BE3F39" w:rsidRDefault="00CA5D84">
            <w:r>
              <w:rPr>
                <w:sz w:val="20"/>
              </w:rPr>
              <w:t>Factor</w:t>
            </w:r>
          </w:p>
        </w:tc>
        <w:tc>
          <w:tcPr>
            <w:tcW w:w="2947" w:type="dxa"/>
          </w:tcPr>
          <w:p w14:paraId="60E1A45D"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Coeficiente</w:t>
            </w:r>
          </w:p>
        </w:tc>
        <w:tc>
          <w:tcPr>
            <w:tcW w:w="2947" w:type="dxa"/>
          </w:tcPr>
          <w:p w14:paraId="4B6B627F"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Significancia</w:t>
            </w:r>
          </w:p>
        </w:tc>
      </w:tr>
      <w:tr w:rsidR="00BE3F39" w14:paraId="09C6F2D5"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4B811264" w14:textId="77777777" w:rsidR="00BE3F39" w:rsidRDefault="00CA5D84">
            <w:r>
              <w:rPr>
                <w:sz w:val="20"/>
              </w:rPr>
              <w:t>Precio del cobre (Δ)</w:t>
            </w:r>
          </w:p>
        </w:tc>
        <w:tc>
          <w:tcPr>
            <w:tcW w:w="2947" w:type="dxa"/>
          </w:tcPr>
          <w:p w14:paraId="31AB6D0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b/>
                <w:sz w:val="20"/>
              </w:rPr>
              <w:t>+0,571</w:t>
            </w:r>
          </w:p>
        </w:tc>
        <w:tc>
          <w:tcPr>
            <w:tcW w:w="2947" w:type="dxa"/>
          </w:tcPr>
          <w:p w14:paraId="18838D0D"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 (sig. al 1%)</w:t>
            </w:r>
          </w:p>
        </w:tc>
      </w:tr>
      <w:tr w:rsidR="00BE3F39" w14:paraId="2FFA7703"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305E9751" w14:textId="77777777" w:rsidR="00BE3F39" w:rsidRDefault="00CA5D84">
            <w:r>
              <w:rPr>
                <w:sz w:val="20"/>
              </w:rPr>
              <w:t>VIX (Δ)</w:t>
            </w:r>
          </w:p>
        </w:tc>
        <w:tc>
          <w:tcPr>
            <w:tcW w:w="2947" w:type="dxa"/>
          </w:tcPr>
          <w:p w14:paraId="37DFD245"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w:t>
            </w:r>
            <w:r>
              <w:rPr>
                <w:sz w:val="20"/>
              </w:rPr>
              <w:t>0,008</w:t>
            </w:r>
          </w:p>
        </w:tc>
        <w:tc>
          <w:tcPr>
            <w:tcW w:w="2947" w:type="dxa"/>
          </w:tcPr>
          <w:p w14:paraId="209284B9"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 (sig.)</w:t>
            </w:r>
          </w:p>
        </w:tc>
      </w:tr>
      <w:tr w:rsidR="00BE3F39" w14:paraId="153E5A88"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36B484B5" w14:textId="77777777" w:rsidR="00BE3F39" w:rsidRDefault="00CA5D84">
            <w:r>
              <w:rPr>
                <w:sz w:val="20"/>
              </w:rPr>
              <w:t>Fed Funds (Δ)</w:t>
            </w:r>
          </w:p>
        </w:tc>
        <w:tc>
          <w:tcPr>
            <w:tcW w:w="2947" w:type="dxa"/>
          </w:tcPr>
          <w:p w14:paraId="4653ECB2"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+0,020</w:t>
            </w:r>
          </w:p>
        </w:tc>
        <w:tc>
          <w:tcPr>
            <w:tcW w:w="2947" w:type="dxa"/>
          </w:tcPr>
          <w:p w14:paraId="1CAC3372"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n.s.</w:t>
            </w:r>
          </w:p>
        </w:tc>
      </w:tr>
      <w:tr w:rsidR="00BE3F39" w14:paraId="060FBA3D"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1423DD24" w14:textId="77777777" w:rsidR="00BE3F39" w:rsidRDefault="00CA5D84">
            <w:r>
              <w:rPr>
                <w:sz w:val="20"/>
              </w:rPr>
              <w:t>Treasury 10Y (Δ)</w:t>
            </w:r>
          </w:p>
        </w:tc>
        <w:tc>
          <w:tcPr>
            <w:tcW w:w="2947" w:type="dxa"/>
          </w:tcPr>
          <w:p w14:paraId="3EE7575D"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+0,023</w:t>
            </w:r>
          </w:p>
        </w:tc>
        <w:tc>
          <w:tcPr>
            <w:tcW w:w="2947" w:type="dxa"/>
          </w:tcPr>
          <w:p w14:paraId="4C0F67D8"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n.s.</w:t>
            </w:r>
          </w:p>
        </w:tc>
      </w:tr>
      <w:tr w:rsidR="00BE3F39" w14:paraId="436EDA1B"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246877CD" w14:textId="77777777" w:rsidR="00BE3F39" w:rsidRDefault="00CA5D84">
            <w:r>
              <w:rPr>
                <w:sz w:val="20"/>
              </w:rPr>
              <w:t>Tipo de cambio CLP (Δ)</w:t>
            </w:r>
          </w:p>
        </w:tc>
        <w:tc>
          <w:tcPr>
            <w:tcW w:w="2947" w:type="dxa"/>
          </w:tcPr>
          <w:p w14:paraId="56C8AB71"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b/>
                <w:sz w:val="20"/>
              </w:rPr>
              <w:t>−</w:t>
            </w:r>
            <w:r>
              <w:rPr>
                <w:b/>
                <w:sz w:val="20"/>
              </w:rPr>
              <w:t>1,574</w:t>
            </w:r>
          </w:p>
        </w:tc>
        <w:tc>
          <w:tcPr>
            <w:tcW w:w="2947" w:type="dxa"/>
          </w:tcPr>
          <w:p w14:paraId="6B66023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 (sig.)</w:t>
            </w:r>
          </w:p>
        </w:tc>
      </w:tr>
      <w:tr w:rsidR="00BE3F39" w14:paraId="69791F72"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0EB22297" w14:textId="77777777" w:rsidR="00BE3F39" w:rsidRDefault="00CA5D84">
            <w:r>
              <w:rPr>
                <w:sz w:val="20"/>
              </w:rPr>
              <w:t>Tasa local (Δ)</w:t>
            </w:r>
          </w:p>
        </w:tc>
        <w:tc>
          <w:tcPr>
            <w:tcW w:w="2947" w:type="dxa"/>
          </w:tcPr>
          <w:p w14:paraId="62E5BA18"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w:t>
            </w:r>
            <w:r>
              <w:rPr>
                <w:sz w:val="20"/>
              </w:rPr>
              <w:t>0,007</w:t>
            </w:r>
          </w:p>
        </w:tc>
        <w:tc>
          <w:tcPr>
            <w:tcW w:w="2947" w:type="dxa"/>
          </w:tcPr>
          <w:p w14:paraId="22211040"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n.s.</w:t>
            </w:r>
          </w:p>
        </w:tc>
      </w:tr>
      <w:tr w:rsidR="00BE3F39" w14:paraId="3BC8F6CC"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66B83B18" w14:textId="77777777" w:rsidR="00BE3F39" w:rsidRDefault="00CA5D84">
            <w:r>
              <w:rPr>
                <w:sz w:val="20"/>
              </w:rPr>
              <w:t>Actividad local (Δ)</w:t>
            </w:r>
          </w:p>
        </w:tc>
        <w:tc>
          <w:tcPr>
            <w:tcW w:w="2947" w:type="dxa"/>
          </w:tcPr>
          <w:p w14:paraId="44BFEA06"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w:t>
            </w:r>
            <w:r>
              <w:rPr>
                <w:sz w:val="20"/>
              </w:rPr>
              <w:t>0,523</w:t>
            </w:r>
          </w:p>
        </w:tc>
        <w:tc>
          <w:tcPr>
            <w:tcW w:w="2947" w:type="dxa"/>
          </w:tcPr>
          <w:p w14:paraId="1181CE03"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n.s.</w:t>
            </w:r>
          </w:p>
        </w:tc>
      </w:tr>
    </w:tbl>
    <w:p w14:paraId="27B0C24F" w14:textId="77777777" w:rsidR="00BE3F39" w:rsidRDefault="00BE3F39"/>
    <w:p w14:paraId="431B0E24" w14:textId="77777777" w:rsidR="00BE3F39" w:rsidRDefault="00CA5D84">
      <w:r>
        <w:lastRenderedPageBreak/>
        <w:t>Tres lecturas se desprenden:</w:t>
      </w:r>
    </w:p>
    <w:p w14:paraId="7FFA52D1" w14:textId="77777777" w:rsidR="00BE3F39" w:rsidRDefault="00CA5D84">
      <w:pPr>
        <w:pStyle w:val="Listaconnmeros"/>
      </w:pPr>
      <w:r>
        <w:rPr>
          <w:b/>
        </w:rPr>
        <w:t>El cobre domina (H1 respaldada).</w:t>
      </w:r>
      <w:r>
        <w:t xml:space="preserve"> El coeficiente del cobre es positivo, de magnitud</w:t>
      </w:r>
    </w:p>
    <w:p w14:paraId="414810AA" w14:textId="77777777" w:rsidR="00BE3F39" w:rsidRDefault="00CA5D84">
      <w:r>
        <w:t xml:space="preserve">   económica relevante y altamente significativo: un aumento del precio del cobre se traduce en</w:t>
      </w:r>
    </w:p>
    <w:p w14:paraId="04B4239A" w14:textId="77777777" w:rsidR="00BE3F39" w:rsidRDefault="00CA5D84">
      <w:r>
        <w:t xml:space="preserve">   mayores retornos, consistente con el canal de ingresos. Es el determinante central del valor</w:t>
      </w:r>
    </w:p>
    <w:p w14:paraId="0DC67642" w14:textId="77777777" w:rsidR="00BE3F39" w:rsidRDefault="00CA5D84">
      <w:r>
        <w:t xml:space="preserve">   del sector.</w:t>
      </w:r>
    </w:p>
    <w:p w14:paraId="11B37502" w14:textId="77777777" w:rsidR="00BE3F39" w:rsidRDefault="00CA5D84">
      <w:pPr>
        <w:pStyle w:val="Listaconnmeros"/>
      </w:pPr>
      <w:r>
        <w:rPr>
          <w:b/>
        </w:rPr>
        <w:t>El tipo de cambio tiene efecto negativo y fuerte.</w:t>
      </w:r>
      <w:r>
        <w:t xml:space="preserve"> Una depreciación del peso (↑ USD/CLP) se</w:t>
      </w:r>
    </w:p>
    <w:p w14:paraId="2C9C7597" w14:textId="77777777" w:rsidR="00BE3F39" w:rsidRDefault="00CA5D84">
      <w:r>
        <w:t xml:space="preserve">   asocia a retornos negativos. Para empresas que cotizan y valoran en dólares, la depreciación</w:t>
      </w:r>
    </w:p>
    <w:p w14:paraId="0957ED9D" w14:textId="77777777" w:rsidR="00BE3F39" w:rsidRDefault="00CA5D84">
      <w:r>
        <w:t xml:space="preserve">   del peso suele coincidir con episodios de aversión al riesgo y caída del cobre, de modo que el</w:t>
      </w:r>
    </w:p>
    <w:p w14:paraId="0D4345A7" w14:textId="77777777" w:rsidR="00BE3F39" w:rsidRDefault="00CA5D84">
      <w:r>
        <w:t xml:space="preserve">   signo capta tanto el canal de competitividad como el de riesgo. Este resultado confirma la</w:t>
      </w:r>
    </w:p>
    <w:p w14:paraId="68D3D22F" w14:textId="77777777" w:rsidR="00BE3F39" w:rsidRDefault="00CA5D84">
      <w:r>
        <w:t xml:space="preserve">   ambigüedad teórica anticipada (H2) y merece un análisis fino por empresa.</w:t>
      </w:r>
    </w:p>
    <w:p w14:paraId="21334FF5" w14:textId="77777777" w:rsidR="00BE3F39" w:rsidRDefault="00CA5D84">
      <w:pPr>
        <w:pStyle w:val="Listaconnmeros"/>
      </w:pPr>
      <w:r>
        <w:t>**El riesgo global (VIX) pesa; los factores locales de tasa y actividad, no (en esta</w:t>
      </w:r>
    </w:p>
    <w:p w14:paraId="488F3FA6" w14:textId="77777777" w:rsidR="00BE3F39" w:rsidRDefault="00CA5D84">
      <w:r>
        <w:t xml:space="preserve">   especificación).** La no significancia de la tasa y la actividad locales es esperable a la luz</w:t>
      </w:r>
    </w:p>
    <w:p w14:paraId="3A898E62" w14:textId="77777777" w:rsidR="00BE3F39" w:rsidRDefault="00CA5D84">
      <w:r>
        <w:t xml:space="preserve">   de la ausencia, por ahora, del EMBI y de un IMACEC propiamente tal, y por tratarse de empresas</w:t>
      </w:r>
    </w:p>
    <w:p w14:paraId="4A281F97" w14:textId="77777777" w:rsidR="00BE3F39" w:rsidRDefault="00CA5D84">
      <w:r>
        <w:t xml:space="preserve">   internacionales (muestra B) menos sensibles al ciclo doméstico. Globalmente, los factores</w:t>
      </w:r>
    </w:p>
    <w:p w14:paraId="0050C378" w14:textId="77777777" w:rsidR="00BE3F39" w:rsidRDefault="00CA5D84">
      <w:r>
        <w:t xml:space="preserve">   internacionales (cobre + VIX) dominan a los locales, primera evidencia a favor de H6.</w:t>
      </w:r>
    </w:p>
    <w:p w14:paraId="35677D61" w14:textId="77777777" w:rsidR="00BE3F39" w:rsidRDefault="00CA5D84">
      <w:pPr>
        <w:jc w:val="center"/>
      </w:pPr>
      <w:r>
        <w:rPr>
          <w:noProof/>
        </w:rPr>
        <w:lastRenderedPageBreak/>
        <w:drawing>
          <wp:inline distT="0" distB="0" distL="0" distR="0" wp14:anchorId="6421030B" wp14:editId="617EA1FF">
            <wp:extent cx="5394960" cy="29331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png"/>
                    <pic:cNvPicPr/>
                  </pic:nvPicPr>
                  <pic:blipFill>
                    <a:blip r:embed="rId9"/>
                    <a:stretch>
                      <a:fillRect/>
                    </a:stretch>
                  </pic:blipFill>
                  <pic:spPr>
                    <a:xfrm>
                      <a:off x="0" y="0"/>
                      <a:ext cx="5394960" cy="2933107"/>
                    </a:xfrm>
                    <a:prstGeom prst="rect">
                      <a:avLst/>
                    </a:prstGeom>
                  </pic:spPr>
                </pic:pic>
              </a:graphicData>
            </a:graphic>
          </wp:inline>
        </w:drawing>
      </w:r>
    </w:p>
    <w:p w14:paraId="5E41C136" w14:textId="48CBA08C" w:rsidR="00BE3F39" w:rsidRDefault="00CA5D84">
      <w:pPr>
        <w:pStyle w:val="Descripcin"/>
        <w:jc w:val="center"/>
      </w:pPr>
      <w:bookmarkStart w:id="47" w:name="_Toc231082846"/>
      <w:r>
        <w:rPr>
          <w:sz w:val="20"/>
        </w:rPr>
        <w:t xml:space="preserve">Figura </w:t>
      </w:r>
      <w:r>
        <w:fldChar w:fldCharType="begin"/>
      </w:r>
      <w:r>
        <w:instrText xml:space="preserve"> SEQ Figura \* ARABIC </w:instrText>
      </w:r>
      <w:r>
        <w:fldChar w:fldCharType="separate"/>
      </w:r>
      <w:r>
        <w:rPr>
          <w:noProof/>
        </w:rPr>
        <w:t>1</w:t>
      </w:r>
      <w:r>
        <w:fldChar w:fldCharType="end"/>
      </w:r>
      <w:r>
        <w:rPr>
          <w:sz w:val="20"/>
        </w:rPr>
        <w:t>. Sensibilidad de los retornos a cada factor macro-financiero (muestra B).</w:t>
      </w:r>
      <w:bookmarkEnd w:id="47"/>
    </w:p>
    <w:p w14:paraId="1B9E2E14" w14:textId="77777777" w:rsidR="00BE3F39" w:rsidRDefault="00CA5D84">
      <w:pPr>
        <w:pStyle w:val="Ttulo2"/>
      </w:pPr>
      <w:bookmarkStart w:id="48" w:name="_Toc231082806"/>
      <w:r>
        <w:t>4.3 Relaciones de largo plazo (OE3)</w:t>
      </w:r>
      <w:bookmarkEnd w:id="48"/>
    </w:p>
    <w:p w14:paraId="1E5A799A" w14:textId="77777777" w:rsidR="00BE3F39" w:rsidRDefault="00CA5D84">
      <w:r>
        <w:t xml:space="preserve">La evidencia de cointegración es </w:t>
      </w:r>
      <w:r>
        <w:rPr>
          <w:b/>
        </w:rPr>
        <w:t>mixta y, por tanto, no concluyente</w:t>
      </w:r>
      <w:r>
        <w:t>. El test de Johansen sobre</w:t>
      </w:r>
    </w:p>
    <w:p w14:paraId="0FF7D59A" w14:textId="77777777" w:rsidR="00BE3F39" w:rsidRDefault="00CA5D84">
      <w:r>
        <w:t xml:space="preserve">las </w:t>
      </w:r>
      <w:r>
        <w:t>series en nivel (valor de la acción, cobre, tipo de cambio) detecta **un vector de</w:t>
      </w:r>
    </w:p>
    <w:p w14:paraId="31CA2174" w14:textId="77777777" w:rsidR="00BE3F39" w:rsidRDefault="00CA5D84">
      <w:r>
        <w:t>cointegración** (estadístico de traza 32,1 &gt; 29,8 al 95%), lo que sugiere una relación de equilibrio</w:t>
      </w:r>
    </w:p>
    <w:p w14:paraId="327234EF" w14:textId="77777777" w:rsidR="00BE3F39" w:rsidRDefault="00CA5D84">
      <w:r>
        <w:t xml:space="preserve">de largo plazo. Sin embargo, el </w:t>
      </w:r>
      <w:r>
        <w:rPr>
          <w:b/>
        </w:rPr>
        <w:t>test de bordes ARDL</w:t>
      </w:r>
      <w:r>
        <w:t xml:space="preserve"> no permite rechazar la ausencia de</w:t>
      </w:r>
    </w:p>
    <w:p w14:paraId="62658DD6" w14:textId="77777777" w:rsidR="00BE3F39" w:rsidRDefault="00CA5D84">
      <w:r>
        <w:t>relación de nivel (estadístico F de bordes ≈ 0,95, por debajo de las cotas críticas). Esta</w:t>
      </w:r>
    </w:p>
    <w:p w14:paraId="6CFF42DA" w14:textId="77777777" w:rsidR="00BE3F39" w:rsidRDefault="00CA5D84">
      <w:r>
        <w:t>discrepancia entre ambos enfoques sugiere que la relación de largo plazo, de existir, es **débil o</w:t>
      </w:r>
    </w:p>
    <w:p w14:paraId="17B4858E" w14:textId="77777777" w:rsidR="00BE3F39" w:rsidRDefault="00CA5D84">
      <w:r>
        <w:t>inestable** ante las pruebas que no admiten quiebres. Confirmado ya el orden I(1) del tipo de cambio</w:t>
      </w:r>
    </w:p>
    <w:p w14:paraId="037462D8" w14:textId="77777777" w:rsidR="00BE3F39" w:rsidRDefault="00CA5D84">
      <w:r>
        <w:t xml:space="preserve">(§4.1), la hipótesis natural es que la relación de equilibrio se </w:t>
      </w:r>
      <w:r>
        <w:rPr>
          <w:b/>
        </w:rPr>
        <w:t>desplazó estructuralmente</w:t>
      </w:r>
    </w:p>
    <w:p w14:paraId="2300AC2C" w14:textId="77777777" w:rsidR="00BE3F39" w:rsidRDefault="00CA5D84">
      <w:r>
        <w:t>durante el período.</w:t>
      </w:r>
    </w:p>
    <w:p w14:paraId="6BD9D432" w14:textId="77777777" w:rsidR="00BE3F39" w:rsidRDefault="00CA5D84">
      <w:r>
        <w:t xml:space="preserve">La prueba de </w:t>
      </w:r>
      <w:r>
        <w:rPr>
          <w:b/>
        </w:rPr>
        <w:t>Gregory y Hansen (1996)</w:t>
      </w:r>
      <w:r>
        <w:t>, que admite un quiebre endógeno en la relación de</w:t>
      </w:r>
    </w:p>
    <w:p w14:paraId="1EAE758E" w14:textId="77777777" w:rsidR="00BE3F39" w:rsidRDefault="00CA5D84">
      <w:r>
        <w:lastRenderedPageBreak/>
        <w:t xml:space="preserve">cointegración, </w:t>
      </w:r>
      <w:r>
        <w:rPr>
          <w:b/>
        </w:rPr>
        <w:t>confirma esta hipótesis y resuelve la ambigüedad</w:t>
      </w:r>
      <w:r>
        <w:t>: el estadístico ADF\* es de</w:t>
      </w:r>
    </w:p>
    <w:p w14:paraId="25E097F0" w14:textId="77777777" w:rsidR="00BE3F39" w:rsidRDefault="00CA5D84">
      <w:r>
        <w:rPr>
          <w:b/>
        </w:rPr>
        <w:t>−</w:t>
      </w:r>
      <w:r>
        <w:rPr>
          <w:b/>
        </w:rPr>
        <w:t>6,68</w:t>
      </w:r>
      <w:r>
        <w:t>, inferior al valor crítico al 5% (−4,92), de modo que **se rechaza la ausencia de</w:t>
      </w:r>
    </w:p>
    <w:p w14:paraId="34319360" w14:textId="77777777" w:rsidR="00BE3F39" w:rsidRDefault="00CA5D84">
      <w:r>
        <w:t>cointegración</w:t>
      </w:r>
      <w:r>
        <w:rPr>
          <w:b/>
        </w:rPr>
        <w:t xml:space="preserve">, y el quiebre se fecha en </w:t>
      </w:r>
      <w:r>
        <w:t>junio de 2008** —coincidente con la crisis financiera</w:t>
      </w:r>
    </w:p>
    <w:p w14:paraId="6CEFA4C3" w14:textId="77777777" w:rsidR="00BE3F39" w:rsidRDefault="00CA5D84">
      <w:r>
        <w:t>global—. La lectura es nítida: **existe una relación de equilibrio de largo plazo entre el valor del</w:t>
      </w:r>
    </w:p>
    <w:p w14:paraId="4090B358" w14:textId="77777777" w:rsidR="00BE3F39" w:rsidRDefault="00CA5D84">
      <w:r>
        <w:t>sector, el cobre y el tipo de cambio (H5 respaldada), pero esa relación se reconfiguró con la crisis</w:t>
      </w:r>
    </w:p>
    <w:p w14:paraId="0A3CFD08" w14:textId="77777777" w:rsidR="00BE3F39" w:rsidRDefault="00CA5D84">
      <w:r>
        <w:t>de 2008**, lo que explica por qué las pruebas que ignoran el quiebre (ARDL/Johansen) arrojaban</w:t>
      </w:r>
    </w:p>
    <w:p w14:paraId="60C3C903" w14:textId="77777777" w:rsidR="00BE3F39" w:rsidRDefault="00CA5D84">
      <w:r>
        <w:t>evidencia mixta. Este resultado ilustra la importancia de incorporar los quiebres estructurales en</w:t>
      </w:r>
    </w:p>
    <w:p w14:paraId="52035F44" w14:textId="77777777" w:rsidR="00BE3F39" w:rsidRDefault="00CA5D84">
      <w:r>
        <w:t>el análisis de largo plazo de un sector tan expuesto al ciclo del commodity.</w:t>
      </w:r>
    </w:p>
    <w:p w14:paraId="666A921C" w14:textId="77777777" w:rsidR="00BE3F39" w:rsidRDefault="00CA5D84">
      <w:pPr>
        <w:pStyle w:val="Ttulo2"/>
      </w:pPr>
      <w:bookmarkStart w:id="49" w:name="_Toc231082807"/>
      <w:r>
        <w:t>4.4 Dinámica de shocks (OE4)</w:t>
      </w:r>
      <w:bookmarkEnd w:id="49"/>
    </w:p>
    <w:p w14:paraId="21743748" w14:textId="77777777" w:rsidR="00BE3F39" w:rsidRDefault="00CA5D84">
      <w:r>
        <w:t>La descomposición de la varianza del error de pronóstico del retorno (FEVD, horizonte de 12 meses,</w:t>
      </w:r>
    </w:p>
    <w:p w14:paraId="02798958" w14:textId="77777777" w:rsidR="00BE3F39" w:rsidRDefault="00CA5D84">
      <w:r>
        <w:t>muestra B) reparte la varianza así:</w:t>
      </w:r>
    </w:p>
    <w:p w14:paraId="0B96B3B0" w14:textId="741FB43D" w:rsidR="00BE3F39" w:rsidRDefault="00CA5D84">
      <w:pPr>
        <w:pStyle w:val="Descripcin"/>
        <w:jc w:val="center"/>
      </w:pPr>
      <w:bookmarkStart w:id="50" w:name="_Toc231082834"/>
      <w:r>
        <w:rPr>
          <w:sz w:val="20"/>
        </w:rPr>
        <w:t xml:space="preserve">Tabla </w:t>
      </w:r>
      <w:r>
        <w:fldChar w:fldCharType="begin"/>
      </w:r>
      <w:r>
        <w:instrText xml:space="preserve"> SEQ Tabla \* ARABIC </w:instrText>
      </w:r>
      <w:r>
        <w:fldChar w:fldCharType="separate"/>
      </w:r>
      <w:r>
        <w:rPr>
          <w:noProof/>
        </w:rPr>
        <w:t>3</w:t>
      </w:r>
      <w:r>
        <w:fldChar w:fldCharType="end"/>
      </w:r>
      <w:r>
        <w:rPr>
          <w:sz w:val="20"/>
        </w:rPr>
        <w:t>.</w:t>
      </w:r>
      <w:bookmarkEnd w:id="50"/>
      <w:r>
        <w:rPr>
          <w:sz w:val="20"/>
        </w:rPr>
        <w:t xml:space="preserve"> </w:t>
      </w:r>
    </w:p>
    <w:tbl>
      <w:tblPr>
        <w:tblStyle w:val="Cuadrculaclara-nfasis1"/>
        <w:tblW w:w="0" w:type="auto"/>
        <w:tblLook w:val="04A0" w:firstRow="1" w:lastRow="0" w:firstColumn="1" w:lastColumn="0" w:noHBand="0" w:noVBand="1"/>
      </w:tblPr>
      <w:tblGrid>
        <w:gridCol w:w="4421"/>
        <w:gridCol w:w="4421"/>
      </w:tblGrid>
      <w:tr w:rsidR="00BE3F39" w14:paraId="63D6B090" w14:textId="77777777" w:rsidTr="00BE3F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2F781BB1" w14:textId="77777777" w:rsidR="00BE3F39" w:rsidRDefault="00CA5D84">
            <w:r>
              <w:rPr>
                <w:sz w:val="20"/>
              </w:rPr>
              <w:t>Fuente del shock</w:t>
            </w:r>
          </w:p>
        </w:tc>
        <w:tc>
          <w:tcPr>
            <w:tcW w:w="4421" w:type="dxa"/>
          </w:tcPr>
          <w:p w14:paraId="2DCB1AFA"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Fracción de la varianza</w:t>
            </w:r>
          </w:p>
        </w:tc>
      </w:tr>
      <w:tr w:rsidR="00BE3F39" w14:paraId="1241D7DF"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3E406E4D" w14:textId="77777777" w:rsidR="00BE3F39" w:rsidRDefault="00CA5D84">
            <w:r>
              <w:rPr>
                <w:sz w:val="20"/>
              </w:rPr>
              <w:t xml:space="preserve">Componente propio </w:t>
            </w:r>
            <w:r>
              <w:rPr>
                <w:sz w:val="20"/>
              </w:rPr>
              <w:t>(idiosincrático)</w:t>
            </w:r>
          </w:p>
        </w:tc>
        <w:tc>
          <w:tcPr>
            <w:tcW w:w="4421" w:type="dxa"/>
          </w:tcPr>
          <w:p w14:paraId="48D44402"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62,7%</w:t>
            </w:r>
          </w:p>
        </w:tc>
      </w:tr>
      <w:tr w:rsidR="00BE3F39" w14:paraId="1EFF8123"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03034302" w14:textId="77777777" w:rsidR="00BE3F39" w:rsidRDefault="00CA5D84">
            <w:r>
              <w:rPr>
                <w:sz w:val="20"/>
              </w:rPr>
              <w:t>Precio del cobre</w:t>
            </w:r>
          </w:p>
        </w:tc>
        <w:tc>
          <w:tcPr>
            <w:tcW w:w="4421" w:type="dxa"/>
          </w:tcPr>
          <w:p w14:paraId="2F2E51A9"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b/>
                <w:sz w:val="20"/>
              </w:rPr>
              <w:t>18,0%</w:t>
            </w:r>
          </w:p>
        </w:tc>
      </w:tr>
      <w:tr w:rsidR="00BE3F39" w14:paraId="7EB22746"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4B09E3CC" w14:textId="77777777" w:rsidR="00BE3F39" w:rsidRDefault="00CA5D84">
            <w:r>
              <w:rPr>
                <w:sz w:val="20"/>
              </w:rPr>
              <w:t>VIX (riesgo global)</w:t>
            </w:r>
          </w:p>
        </w:tc>
        <w:tc>
          <w:tcPr>
            <w:tcW w:w="4421" w:type="dxa"/>
          </w:tcPr>
          <w:p w14:paraId="5574D8E8"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b/>
                <w:sz w:val="20"/>
              </w:rPr>
              <w:t>14,0%</w:t>
            </w:r>
          </w:p>
        </w:tc>
      </w:tr>
      <w:tr w:rsidR="00BE3F39" w14:paraId="13C38083"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1399B752" w14:textId="77777777" w:rsidR="00BE3F39" w:rsidRDefault="00CA5D84">
            <w:r>
              <w:rPr>
                <w:sz w:val="20"/>
              </w:rPr>
              <w:t>Tasa local</w:t>
            </w:r>
          </w:p>
        </w:tc>
        <w:tc>
          <w:tcPr>
            <w:tcW w:w="4421" w:type="dxa"/>
          </w:tcPr>
          <w:p w14:paraId="0B1A8741"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3,1%</w:t>
            </w:r>
          </w:p>
        </w:tc>
      </w:tr>
      <w:tr w:rsidR="00BE3F39" w14:paraId="0F7C1C04"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4E25E866" w14:textId="77777777" w:rsidR="00BE3F39" w:rsidRDefault="00CA5D84">
            <w:r>
              <w:rPr>
                <w:sz w:val="20"/>
              </w:rPr>
              <w:t>Tipo de cambio</w:t>
            </w:r>
          </w:p>
        </w:tc>
        <w:tc>
          <w:tcPr>
            <w:tcW w:w="4421" w:type="dxa"/>
          </w:tcPr>
          <w:p w14:paraId="1F515D7C"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2,2%</w:t>
            </w:r>
          </w:p>
        </w:tc>
      </w:tr>
    </w:tbl>
    <w:p w14:paraId="274B813F" w14:textId="77777777" w:rsidR="00BE3F39" w:rsidRDefault="00BE3F39"/>
    <w:p w14:paraId="16AA25C8" w14:textId="77777777" w:rsidR="00BE3F39" w:rsidRDefault="00CA5D84">
      <w:r>
        <w:lastRenderedPageBreak/>
        <w:t xml:space="preserve">La causalidad de Granger confirma que el precio del cobre </w:t>
      </w:r>
      <w:r>
        <w:rPr>
          <w:b/>
        </w:rPr>
        <w:t>antecede</w:t>
      </w:r>
      <w:r>
        <w:t xml:space="preserve"> a los retornos del sector</w:t>
      </w:r>
    </w:p>
    <w:p w14:paraId="18781F9B" w14:textId="77777777" w:rsidR="00BE3F39" w:rsidRDefault="00CA5D84">
      <w:r>
        <w:t>de manera estadísticamente significativa (F = 9,11; p = 0,003). Más allá del componente</w:t>
      </w:r>
    </w:p>
    <w:p w14:paraId="53614EC1" w14:textId="77777777" w:rsidR="00BE3F39" w:rsidRDefault="00CA5D84">
      <w:r>
        <w:t>idiosincrático, **los shocks globales (cobre + VIX ≈ 32%) explican una fracción muy superior a</w:t>
      </w:r>
    </w:p>
    <w:p w14:paraId="57172CF6" w14:textId="77777777" w:rsidR="00BE3F39" w:rsidRDefault="00CA5D84">
      <w:r>
        <w:t>los locales (≈ 5%)</w:t>
      </w:r>
      <w:r>
        <w:rPr>
          <w:b/>
        </w:rPr>
        <w:t xml:space="preserve">, lo que constituye la evidencia más nítida a favor de </w:t>
      </w:r>
      <w:r>
        <w:t>H6 (dominancia de los</w:t>
      </w:r>
    </w:p>
    <w:p w14:paraId="2F24B3F5" w14:textId="77777777" w:rsidR="00BE3F39" w:rsidRDefault="00CA5D84">
      <w:r>
        <w:t>factores globales)**. El sistema VAR seleccionado por criterio de Akaike (un rezago) es</w:t>
      </w:r>
    </w:p>
    <w:p w14:paraId="2E1888A2" w14:textId="77777777" w:rsidR="00BE3F39" w:rsidRDefault="00CA5D84">
      <w:r>
        <w:rPr>
          <w:b/>
        </w:rPr>
        <w:t>estable</w:t>
      </w:r>
      <w:r>
        <w:t xml:space="preserve"> —todas sus raíces se encuentran dentro del círculo unitario—, lo que valida la lectura</w:t>
      </w:r>
    </w:p>
    <w:p w14:paraId="7E3E8564" w14:textId="77777777" w:rsidR="00BE3F39" w:rsidRDefault="00CA5D84">
      <w:r>
        <w:t>de las funciones impulso-respuesta.</w:t>
      </w:r>
    </w:p>
    <w:p w14:paraId="3F9045AA" w14:textId="77777777" w:rsidR="00BE3F39" w:rsidRDefault="00CA5D84">
      <w:pPr>
        <w:jc w:val="center"/>
      </w:pPr>
      <w:r>
        <w:rPr>
          <w:noProof/>
        </w:rPr>
        <w:drawing>
          <wp:inline distT="0" distB="0" distL="0" distR="0" wp14:anchorId="5219AE25" wp14:editId="3E3A9A9B">
            <wp:extent cx="5394960" cy="40268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vd.png"/>
                    <pic:cNvPicPr/>
                  </pic:nvPicPr>
                  <pic:blipFill>
                    <a:blip r:embed="rId10"/>
                    <a:stretch>
                      <a:fillRect/>
                    </a:stretch>
                  </pic:blipFill>
                  <pic:spPr>
                    <a:xfrm>
                      <a:off x="0" y="0"/>
                      <a:ext cx="5394960" cy="4026860"/>
                    </a:xfrm>
                    <a:prstGeom prst="rect">
                      <a:avLst/>
                    </a:prstGeom>
                  </pic:spPr>
                </pic:pic>
              </a:graphicData>
            </a:graphic>
          </wp:inline>
        </w:drawing>
      </w:r>
    </w:p>
    <w:p w14:paraId="1CCD59CF" w14:textId="09CA8952" w:rsidR="00BE3F39" w:rsidRDefault="00CA5D84">
      <w:pPr>
        <w:pStyle w:val="Descripcin"/>
        <w:jc w:val="center"/>
      </w:pPr>
      <w:bookmarkStart w:id="51" w:name="_Toc231082847"/>
      <w:r>
        <w:rPr>
          <w:sz w:val="20"/>
        </w:rPr>
        <w:t xml:space="preserve">Figura </w:t>
      </w:r>
      <w:r>
        <w:fldChar w:fldCharType="begin"/>
      </w:r>
      <w:r>
        <w:instrText xml:space="preserve"> SEQ Figura \* ARABIC </w:instrText>
      </w:r>
      <w:r>
        <w:fldChar w:fldCharType="separate"/>
      </w:r>
      <w:r>
        <w:rPr>
          <w:noProof/>
        </w:rPr>
        <w:t>2</w:t>
      </w:r>
      <w:r>
        <w:fldChar w:fldCharType="end"/>
      </w:r>
      <w:r>
        <w:rPr>
          <w:sz w:val="20"/>
        </w:rPr>
        <w:t>. Descomposición de la varianza del error de pronóstico del retorno (FEVD, horizonte 12 meses).</w:t>
      </w:r>
      <w:bookmarkEnd w:id="51"/>
    </w:p>
    <w:p w14:paraId="0CFB25E1" w14:textId="77777777" w:rsidR="00BE3F39" w:rsidRDefault="00CA5D84">
      <w:r>
        <w:lastRenderedPageBreak/>
        <w:t xml:space="preserve">La función impulso-respuesta cuantifica la reacción dinámica del retorno ante un </w:t>
      </w:r>
      <w:r>
        <w:t>shock de una</w:t>
      </w:r>
    </w:p>
    <w:p w14:paraId="19E8EDC0" w14:textId="77777777" w:rsidR="00BE3F39" w:rsidRDefault="00CA5D84">
      <w:r>
        <w:t xml:space="preserve">desviación estándar en el precio del cobre: la respuesta es </w:t>
      </w:r>
      <w:r>
        <w:rPr>
          <w:b/>
        </w:rPr>
        <w:t>positiva e inmediata</w:t>
      </w:r>
      <w:r>
        <w:t xml:space="preserve"> y se disipa en</w:t>
      </w:r>
    </w:p>
    <w:p w14:paraId="17F59D65" w14:textId="77777777" w:rsidR="00BE3F39" w:rsidRDefault="00CA5D84">
      <w:r>
        <w:t>los meses siguientes, coherente con una incorporación rápida de la información del commodity</w:t>
      </w:r>
    </w:p>
    <w:p w14:paraId="44A3D979" w14:textId="77777777" w:rsidR="00BE3F39" w:rsidRDefault="00CA5D84">
      <w:r>
        <w:t>(H1).</w:t>
      </w:r>
    </w:p>
    <w:p w14:paraId="5CDAD01F" w14:textId="77777777" w:rsidR="00BE3F39" w:rsidRDefault="00CA5D84">
      <w:pPr>
        <w:jc w:val="center"/>
      </w:pPr>
      <w:r>
        <w:rPr>
          <w:noProof/>
        </w:rPr>
        <w:drawing>
          <wp:inline distT="0" distB="0" distL="0" distR="0" wp14:anchorId="694A0BFD" wp14:editId="58BAE763">
            <wp:extent cx="5394960" cy="26204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rf.png"/>
                    <pic:cNvPicPr/>
                  </pic:nvPicPr>
                  <pic:blipFill>
                    <a:blip r:embed="rId11"/>
                    <a:stretch>
                      <a:fillRect/>
                    </a:stretch>
                  </pic:blipFill>
                  <pic:spPr>
                    <a:xfrm>
                      <a:off x="0" y="0"/>
                      <a:ext cx="5394960" cy="2620409"/>
                    </a:xfrm>
                    <a:prstGeom prst="rect">
                      <a:avLst/>
                    </a:prstGeom>
                  </pic:spPr>
                </pic:pic>
              </a:graphicData>
            </a:graphic>
          </wp:inline>
        </w:drawing>
      </w:r>
    </w:p>
    <w:p w14:paraId="516F14F2" w14:textId="0341B0A1" w:rsidR="00BE3F39" w:rsidRDefault="00CA5D84">
      <w:pPr>
        <w:pStyle w:val="Descripcin"/>
        <w:jc w:val="center"/>
      </w:pPr>
      <w:bookmarkStart w:id="52" w:name="_Toc231082848"/>
      <w:r>
        <w:rPr>
          <w:sz w:val="20"/>
        </w:rPr>
        <w:t xml:space="preserve">Figura </w:t>
      </w:r>
      <w:r>
        <w:fldChar w:fldCharType="begin"/>
      </w:r>
      <w:r>
        <w:instrText xml:space="preserve"> SEQ Figura \* ARABIC </w:instrText>
      </w:r>
      <w:r>
        <w:fldChar w:fldCharType="separate"/>
      </w:r>
      <w:r>
        <w:rPr>
          <w:noProof/>
        </w:rPr>
        <w:t>3</w:t>
      </w:r>
      <w:r>
        <w:fldChar w:fldCharType="end"/>
      </w:r>
      <w:r>
        <w:rPr>
          <w:sz w:val="20"/>
        </w:rPr>
        <w:t>. Impulso-respuesta del retorno del sector ante un shock del precio del cobre (±2 errores estándar).</w:t>
      </w:r>
      <w:bookmarkEnd w:id="52"/>
    </w:p>
    <w:p w14:paraId="2D836008" w14:textId="77777777" w:rsidR="00BE3F39" w:rsidRDefault="00CA5D84">
      <w:pPr>
        <w:pStyle w:val="Ttulo2"/>
      </w:pPr>
      <w:bookmarkStart w:id="53" w:name="_Toc231082808"/>
      <w:r>
        <w:t>4.5 Estabilidad por fases del ciclo del cobre (OE5)</w:t>
      </w:r>
      <w:bookmarkEnd w:id="53"/>
    </w:p>
    <w:p w14:paraId="2407DDC3" w14:textId="77777777" w:rsidR="00BE3F39" w:rsidRDefault="00CA5D84">
      <w:r>
        <w:t>El algoritmo de Bry-Boschan identifica una secuencia coherente de fases de expansión y contracción</w:t>
      </w:r>
    </w:p>
    <w:p w14:paraId="5CD346EC" w14:textId="77777777" w:rsidR="00BE3F39" w:rsidRDefault="00CA5D84">
      <w:r>
        <w:t>del precio del cobre a lo largo de 2004–2024, capturando el súper-ciclo (auge hasta 2011),</w:t>
      </w:r>
    </w:p>
    <w:p w14:paraId="3054B7B5" w14:textId="77777777" w:rsidR="00BE3F39" w:rsidRDefault="00CA5D84">
      <w:r>
        <w:t>la corrección posterior, el shock de 2020 y la recuperación reciente.</w:t>
      </w:r>
    </w:p>
    <w:p w14:paraId="3D186AC7" w14:textId="77777777" w:rsidR="00BE3F39" w:rsidRDefault="00CA5D84">
      <w:r>
        <w:t xml:space="preserve">La estimación del modelo con </w:t>
      </w:r>
      <w:r>
        <w:rPr>
          <w:b/>
        </w:rPr>
        <w:t>término de interacción</w:t>
      </w:r>
      <w:r>
        <w:t xml:space="preserve"> entre el precio del cobre y la fase de</w:t>
      </w:r>
    </w:p>
    <w:p w14:paraId="6CC52DD4" w14:textId="77777777" w:rsidR="00BE3F39" w:rsidRDefault="00CA5D84">
      <w:r>
        <w:t xml:space="preserve">expansión (muestra B) arroja una sensibilidad base —en contracción— de </w:t>
      </w:r>
      <w:r>
        <w:rPr>
          <w:b/>
        </w:rPr>
        <w:t>0,630</w:t>
      </w:r>
      <w:r>
        <w:t xml:space="preserve"> y un incremento</w:t>
      </w:r>
    </w:p>
    <w:p w14:paraId="637C208A" w14:textId="77777777" w:rsidR="00BE3F39" w:rsidRDefault="00CA5D84">
      <w:r>
        <w:t xml:space="preserve">en expansión de </w:t>
      </w:r>
      <w:r>
        <w:rPr>
          <w:b/>
        </w:rPr>
        <w:t>+0,083</w:t>
      </w:r>
      <w:r>
        <w:t xml:space="preserve"> que, sin embargo, </w:t>
      </w:r>
      <w:r>
        <w:rPr>
          <w:b/>
        </w:rPr>
        <w:t>no es estadísticamente significativo</w:t>
      </w:r>
      <w:r>
        <w:t xml:space="preserve"> (p = 0,63).</w:t>
      </w:r>
    </w:p>
    <w:p w14:paraId="2BF93828" w14:textId="77777777" w:rsidR="00BE3F39" w:rsidRDefault="00CA5D84">
      <w:r>
        <w:lastRenderedPageBreak/>
        <w:t>La lectura es que, en esta especificación preliminar, **la sensibilidad de los retornos al precio</w:t>
      </w:r>
    </w:p>
    <w:p w14:paraId="12EC3133" w14:textId="77777777" w:rsidR="00BE3F39" w:rsidRDefault="00CA5D84">
      <w:r>
        <w:t>del cobre no difiere de manera significativa entre las fases del ciclo**: el efecto del cobre es</w:t>
      </w:r>
    </w:p>
    <w:p w14:paraId="0A281CC4" w14:textId="77777777" w:rsidR="00BE3F39" w:rsidRDefault="00CA5D84">
      <w:r>
        <w:t>robusto y de magnitud estable a lo largo del régimen. Este resultado matiza la hipótesis de</w:t>
      </w:r>
    </w:p>
    <w:p w14:paraId="3FE43743" w14:textId="77777777" w:rsidR="00BE3F39" w:rsidRDefault="00CA5D84">
      <w:r>
        <w:t>asimetría (H5 sobre estabilidad) y constituye en sí mismo un hallazgo de interés, sujeto a</w:t>
      </w:r>
    </w:p>
    <w:p w14:paraId="3128D7B0" w14:textId="77777777" w:rsidR="00BE3F39" w:rsidRDefault="00CA5D84">
      <w:r>
        <w:t>confirmación con el conjunto de datos completo.</w:t>
      </w:r>
    </w:p>
    <w:p w14:paraId="06E74652" w14:textId="77777777" w:rsidR="00BE3F39" w:rsidRDefault="00CA5D84">
      <w:pPr>
        <w:jc w:val="center"/>
      </w:pPr>
      <w:r>
        <w:rPr>
          <w:noProof/>
        </w:rPr>
        <w:drawing>
          <wp:inline distT="0" distB="0" distL="0" distR="0" wp14:anchorId="154BB22F" wp14:editId="13FF7A29">
            <wp:extent cx="5394960" cy="24497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lo_cobre.png"/>
                    <pic:cNvPicPr/>
                  </pic:nvPicPr>
                  <pic:blipFill>
                    <a:blip r:embed="rId12"/>
                    <a:stretch>
                      <a:fillRect/>
                    </a:stretch>
                  </pic:blipFill>
                  <pic:spPr>
                    <a:xfrm>
                      <a:off x="0" y="0"/>
                      <a:ext cx="5394960" cy="2449752"/>
                    </a:xfrm>
                    <a:prstGeom prst="rect">
                      <a:avLst/>
                    </a:prstGeom>
                  </pic:spPr>
                </pic:pic>
              </a:graphicData>
            </a:graphic>
          </wp:inline>
        </w:drawing>
      </w:r>
    </w:p>
    <w:p w14:paraId="718160EC" w14:textId="3ED2E7BA" w:rsidR="00BE3F39" w:rsidRDefault="00CA5D84">
      <w:pPr>
        <w:pStyle w:val="Descripcin"/>
        <w:jc w:val="center"/>
      </w:pPr>
      <w:bookmarkStart w:id="54" w:name="_Toc231082849"/>
      <w:r>
        <w:rPr>
          <w:sz w:val="20"/>
        </w:rPr>
        <w:t xml:space="preserve">Figura </w:t>
      </w:r>
      <w:r>
        <w:fldChar w:fldCharType="begin"/>
      </w:r>
      <w:r>
        <w:instrText xml:space="preserve"> SEQ Figura \* ARABIC </w:instrText>
      </w:r>
      <w:r>
        <w:fldChar w:fldCharType="separate"/>
      </w:r>
      <w:r>
        <w:rPr>
          <w:noProof/>
        </w:rPr>
        <w:t>4</w:t>
      </w:r>
      <w:r>
        <w:fldChar w:fldCharType="end"/>
      </w:r>
      <w:r>
        <w:rPr>
          <w:sz w:val="20"/>
        </w:rPr>
        <w:t>. Precio del cobre y fases del ciclo (expansión/contracción) fechadas con Bry-Boschan.</w:t>
      </w:r>
      <w:bookmarkEnd w:id="54"/>
    </w:p>
    <w:p w14:paraId="0B70333A" w14:textId="77777777" w:rsidR="00BE3F39" w:rsidRDefault="00CA5D84">
      <w:pPr>
        <w:pStyle w:val="Ttulo2"/>
      </w:pPr>
      <w:bookmarkStart w:id="55" w:name="_Toc231082809"/>
      <w:r>
        <w:t>4.6 Comparación entre mercados: triangulación (OE6)</w:t>
      </w:r>
      <w:bookmarkEnd w:id="55"/>
    </w:p>
    <w:p w14:paraId="6A69E45A" w14:textId="77777777" w:rsidR="00BE3F39" w:rsidRDefault="00CA5D84">
      <w:r>
        <w:t>La tabla comparativa entre las tres muestras ofrece la primera evidencia sobre la transmisión</w:t>
      </w:r>
    </w:p>
    <w:p w14:paraId="7B6A37F1" w14:textId="77777777" w:rsidR="00BE3F39" w:rsidRDefault="00CA5D84">
      <w:r>
        <w:t>diferenciada del impacto macroeconómico:</w:t>
      </w:r>
    </w:p>
    <w:p w14:paraId="34F1244B" w14:textId="3554656E" w:rsidR="00BE3F39" w:rsidRDefault="00CA5D84">
      <w:pPr>
        <w:pStyle w:val="Descripcin"/>
        <w:jc w:val="center"/>
      </w:pPr>
      <w:bookmarkStart w:id="56" w:name="_Toc231082835"/>
      <w:r>
        <w:rPr>
          <w:sz w:val="20"/>
        </w:rPr>
        <w:t xml:space="preserve">Tabla </w:t>
      </w:r>
      <w:r>
        <w:fldChar w:fldCharType="begin"/>
      </w:r>
      <w:r>
        <w:instrText xml:space="preserve"> SEQ Tabla \* ARABIC </w:instrText>
      </w:r>
      <w:r>
        <w:fldChar w:fldCharType="separate"/>
      </w:r>
      <w:r>
        <w:rPr>
          <w:noProof/>
        </w:rPr>
        <w:t>4</w:t>
      </w:r>
      <w:r>
        <w:fldChar w:fldCharType="end"/>
      </w:r>
      <w:r>
        <w:rPr>
          <w:sz w:val="20"/>
        </w:rPr>
        <w:t>.</w:t>
      </w:r>
      <w:bookmarkEnd w:id="56"/>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BE3F39" w14:paraId="24E887D4" w14:textId="77777777" w:rsidTr="00BE3F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220A21F2" w14:textId="77777777" w:rsidR="00BE3F39" w:rsidRDefault="00CA5D84">
            <w:r>
              <w:rPr>
                <w:sz w:val="20"/>
              </w:rPr>
              <w:t>Muestra</w:t>
            </w:r>
          </w:p>
        </w:tc>
        <w:tc>
          <w:tcPr>
            <w:tcW w:w="1768" w:type="dxa"/>
          </w:tcPr>
          <w:p w14:paraId="79C50C70"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Mercado</w:t>
            </w:r>
          </w:p>
        </w:tc>
        <w:tc>
          <w:tcPr>
            <w:tcW w:w="1768" w:type="dxa"/>
          </w:tcPr>
          <w:p w14:paraId="177B287D"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β cobre</w:t>
            </w:r>
          </w:p>
        </w:tc>
        <w:tc>
          <w:tcPr>
            <w:tcW w:w="1768" w:type="dxa"/>
          </w:tcPr>
          <w:p w14:paraId="6ACD0A5D"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R²</w:t>
            </w:r>
          </w:p>
        </w:tc>
        <w:tc>
          <w:tcPr>
            <w:tcW w:w="1768" w:type="dxa"/>
          </w:tcPr>
          <w:p w14:paraId="57139283"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Varianza por shocks globales</w:t>
            </w:r>
          </w:p>
        </w:tc>
      </w:tr>
      <w:tr w:rsidR="00BE3F39" w14:paraId="0FAF74EF"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7AF9A80" w14:textId="77777777" w:rsidR="00BE3F39" w:rsidRDefault="00CA5D84">
            <w:r>
              <w:rPr>
                <w:sz w:val="20"/>
              </w:rPr>
              <w:t>B · cobre internacional</w:t>
            </w:r>
          </w:p>
        </w:tc>
        <w:tc>
          <w:tcPr>
            <w:tcW w:w="1768" w:type="dxa"/>
          </w:tcPr>
          <w:p w14:paraId="76C6C2BD"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global</w:t>
            </w:r>
          </w:p>
        </w:tc>
        <w:tc>
          <w:tcPr>
            <w:tcW w:w="1768" w:type="dxa"/>
          </w:tcPr>
          <w:p w14:paraId="4229CD3D"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0,571</w:t>
            </w:r>
          </w:p>
        </w:tc>
        <w:tc>
          <w:tcPr>
            <w:tcW w:w="1768" w:type="dxa"/>
          </w:tcPr>
          <w:p w14:paraId="58B36B4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0,245</w:t>
            </w:r>
          </w:p>
        </w:tc>
        <w:tc>
          <w:tcPr>
            <w:tcW w:w="1768" w:type="dxa"/>
          </w:tcPr>
          <w:p w14:paraId="7628A0D8"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0,320</w:t>
            </w:r>
          </w:p>
        </w:tc>
      </w:tr>
      <w:tr w:rsidR="00BE3F39" w14:paraId="722095AF"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925AF0B" w14:textId="77777777" w:rsidR="00BE3F39" w:rsidRDefault="00CA5D84">
            <w:r>
              <w:rPr>
                <w:sz w:val="20"/>
              </w:rPr>
              <w:t>A · cobre Chile (Pucobre)</w:t>
            </w:r>
          </w:p>
        </w:tc>
        <w:tc>
          <w:tcPr>
            <w:tcW w:w="1768" w:type="dxa"/>
          </w:tcPr>
          <w:p w14:paraId="15B91802"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chileno</w:t>
            </w:r>
          </w:p>
        </w:tc>
        <w:tc>
          <w:tcPr>
            <w:tcW w:w="1768" w:type="dxa"/>
          </w:tcPr>
          <w:p w14:paraId="78DAC47D"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0,631</w:t>
            </w:r>
          </w:p>
        </w:tc>
        <w:tc>
          <w:tcPr>
            <w:tcW w:w="1768" w:type="dxa"/>
          </w:tcPr>
          <w:p w14:paraId="7BB0DF5A"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0,331</w:t>
            </w:r>
          </w:p>
        </w:tc>
        <w:tc>
          <w:tcPr>
            <w:tcW w:w="1768" w:type="dxa"/>
          </w:tcPr>
          <w:p w14:paraId="4B7567EC"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0,295</w:t>
            </w:r>
          </w:p>
        </w:tc>
      </w:tr>
      <w:tr w:rsidR="00BE3F39" w14:paraId="4AC9ECC6"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71B4951" w14:textId="77777777" w:rsidR="00BE3F39" w:rsidRDefault="00CA5D84">
            <w:r>
              <w:rPr>
                <w:sz w:val="20"/>
              </w:rPr>
              <w:lastRenderedPageBreak/>
              <w:t>C · minería Chile</w:t>
            </w:r>
          </w:p>
        </w:tc>
        <w:tc>
          <w:tcPr>
            <w:tcW w:w="1768" w:type="dxa"/>
          </w:tcPr>
          <w:p w14:paraId="1CD8944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chileno</w:t>
            </w:r>
          </w:p>
        </w:tc>
        <w:tc>
          <w:tcPr>
            <w:tcW w:w="1768" w:type="dxa"/>
          </w:tcPr>
          <w:p w14:paraId="3BBC1D56"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0,418</w:t>
            </w:r>
          </w:p>
        </w:tc>
        <w:tc>
          <w:tcPr>
            <w:tcW w:w="1768" w:type="dxa"/>
          </w:tcPr>
          <w:p w14:paraId="3ABE4E06"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0,113</w:t>
            </w:r>
          </w:p>
        </w:tc>
        <w:tc>
          <w:tcPr>
            <w:tcW w:w="1768" w:type="dxa"/>
          </w:tcPr>
          <w:p w14:paraId="31C41798"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0,279</w:t>
            </w:r>
          </w:p>
        </w:tc>
      </w:tr>
    </w:tbl>
    <w:p w14:paraId="3F8D3781" w14:textId="77777777" w:rsidR="00BE3F39" w:rsidRDefault="00BE3F39"/>
    <w:p w14:paraId="279725F5" w14:textId="77777777" w:rsidR="00BE3F39" w:rsidRDefault="00CA5D84">
      <w:r>
        <w:t>Dos hallazgos preliminares:</w:t>
      </w:r>
    </w:p>
    <w:p w14:paraId="6C97F687" w14:textId="77777777" w:rsidR="00BE3F39" w:rsidRDefault="00CA5D84">
      <w:pPr>
        <w:pStyle w:val="Listaconnmeros"/>
      </w:pPr>
      <w:r>
        <w:t>**La sensibilidad al cobre es similar entre el cobre puro internacional (0,571) y el local</w:t>
      </w:r>
    </w:p>
    <w:p w14:paraId="1CD980AC" w14:textId="77777777" w:rsidR="00BE3F39" w:rsidRDefault="00CA5D84">
      <w:r>
        <w:t xml:space="preserve">   (0,631), y cae en el sector minero mixto (0,418).** Esto sugiere que el mercado precia la</w:t>
      </w:r>
    </w:p>
    <w:p w14:paraId="5F2A020D" w14:textId="77777777" w:rsidR="00BE3F39" w:rsidRDefault="00CA5D84">
      <w:r>
        <w:t xml:space="preserve">   exposición al cobre de forma comparable con independencia del lugar de cotización, y que la</w:t>
      </w:r>
    </w:p>
    <w:p w14:paraId="699D9612" w14:textId="77777777" w:rsidR="00BE3F39" w:rsidRDefault="00CA5D84">
      <w:r>
        <w:t xml:space="preserve">   menor sensibilidad de la muestra C se debe a la </w:t>
      </w:r>
      <w:r>
        <w:rPr>
          <w:b/>
        </w:rPr>
        <w:t>dilución por otros commodities</w:t>
      </w:r>
      <w:r>
        <w:t xml:space="preserve"> (hierro,</w:t>
      </w:r>
    </w:p>
    <w:p w14:paraId="5D931936" w14:textId="77777777" w:rsidR="00BE3F39" w:rsidRDefault="00CA5D84">
      <w:r>
        <w:t xml:space="preserve">   litio, molibdeno), tal como anticipa el rol de "vehículo" de esa muestra.</w:t>
      </w:r>
    </w:p>
    <w:p w14:paraId="6F3B234D" w14:textId="77777777" w:rsidR="00BE3F39" w:rsidRDefault="00CA5D84">
      <w:pPr>
        <w:jc w:val="center"/>
      </w:pPr>
      <w:r>
        <w:rPr>
          <w:noProof/>
        </w:rPr>
        <w:drawing>
          <wp:inline distT="0" distB="0" distL="0" distR="0" wp14:anchorId="4AFE3C81" wp14:editId="1663F0E4">
            <wp:extent cx="5394960" cy="2718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ngulacion.png"/>
                    <pic:cNvPicPr/>
                  </pic:nvPicPr>
                  <pic:blipFill>
                    <a:blip r:embed="rId13"/>
                    <a:stretch>
                      <a:fillRect/>
                    </a:stretch>
                  </pic:blipFill>
                  <pic:spPr>
                    <a:xfrm>
                      <a:off x="0" y="0"/>
                      <a:ext cx="5394960" cy="2718240"/>
                    </a:xfrm>
                    <a:prstGeom prst="rect">
                      <a:avLst/>
                    </a:prstGeom>
                  </pic:spPr>
                </pic:pic>
              </a:graphicData>
            </a:graphic>
          </wp:inline>
        </w:drawing>
      </w:r>
    </w:p>
    <w:p w14:paraId="4AC63663" w14:textId="595EAEEB" w:rsidR="00BE3F39" w:rsidRDefault="00CA5D84">
      <w:pPr>
        <w:pStyle w:val="Descripcin"/>
        <w:jc w:val="center"/>
      </w:pPr>
      <w:bookmarkStart w:id="57" w:name="_Toc231082850"/>
      <w:r>
        <w:rPr>
          <w:sz w:val="20"/>
        </w:rPr>
        <w:t xml:space="preserve">Figura </w:t>
      </w:r>
      <w:r>
        <w:fldChar w:fldCharType="begin"/>
      </w:r>
      <w:r>
        <w:instrText xml:space="preserve"> SEQ Figura \* ARABIC </w:instrText>
      </w:r>
      <w:r>
        <w:fldChar w:fldCharType="separate"/>
      </w:r>
      <w:r>
        <w:rPr>
          <w:noProof/>
        </w:rPr>
        <w:t>5</w:t>
      </w:r>
      <w:r>
        <w:fldChar w:fldCharType="end"/>
      </w:r>
      <w:r>
        <w:rPr>
          <w:sz w:val="20"/>
        </w:rPr>
        <w:t>. Triangulación: sensibilidad al cobre y dominancia global por muestra (B, A, C).</w:t>
      </w:r>
      <w:bookmarkEnd w:id="57"/>
    </w:p>
    <w:p w14:paraId="31213FB8" w14:textId="77777777" w:rsidR="00BE3F39" w:rsidRDefault="00CA5D84">
      <w:pPr>
        <w:pStyle w:val="Listaconnmeros"/>
      </w:pPr>
      <w:r>
        <w:t>**La fracción de varianza atribuida a shocks globales es algo mayor en el mercado internacional</w:t>
      </w:r>
    </w:p>
    <w:p w14:paraId="639641D2" w14:textId="77777777" w:rsidR="00BE3F39" w:rsidRDefault="00CA5D84">
      <w:r>
        <w:t xml:space="preserve">   (0,320) que en el chileno (0,295 y 0,279).</w:t>
      </w:r>
      <w:r>
        <w:rPr>
          <w:b/>
        </w:rPr>
        <w:t xml:space="preserve"> Es una señal </w:t>
      </w:r>
      <w:r>
        <w:t>direccionalmente consistente con H7**</w:t>
      </w:r>
    </w:p>
    <w:p w14:paraId="1667F62D" w14:textId="77777777" w:rsidR="00BE3F39" w:rsidRDefault="00CA5D84">
      <w:r>
        <w:t xml:space="preserve">   —el mercado internacional incorporaría el shock de forma más completa—, aunque la diferencia es</w:t>
      </w:r>
    </w:p>
    <w:p w14:paraId="2D5BCA81" w14:textId="77777777" w:rsidR="00BE3F39" w:rsidRDefault="00CA5D84">
      <w:r>
        <w:lastRenderedPageBreak/>
        <w:t xml:space="preserve">   modesta y requiere confirmación con el conjunto de datos completo y pruebas formales de igualdad</w:t>
      </w:r>
    </w:p>
    <w:p w14:paraId="35748C82" w14:textId="77777777" w:rsidR="00BE3F39" w:rsidRDefault="00CA5D84">
      <w:r>
        <w:t xml:space="preserve">   de coeficientes entre muestras.</w:t>
      </w:r>
    </w:p>
    <w:p w14:paraId="533F224E" w14:textId="77777777" w:rsidR="00BE3F39" w:rsidRDefault="00CA5D84">
      <w:pPr>
        <w:pStyle w:val="Ttulo2"/>
      </w:pPr>
      <w:bookmarkStart w:id="58" w:name="_Toc231082810"/>
      <w:r>
        <w:t>4.7 Diagnósticos y robustez</w:t>
      </w:r>
      <w:bookmarkEnd w:id="58"/>
    </w:p>
    <w:p w14:paraId="3813E453" w14:textId="77777777" w:rsidR="00BE3F39" w:rsidRDefault="00CA5D84">
      <w:r>
        <w:rPr>
          <w:b/>
        </w:rPr>
        <w:t>Dependencia de sección cruzada.</w:t>
      </w:r>
      <w:r>
        <w:t xml:space="preserve"> El test de Pesaran (CD) sobre los residuos del panel arroja un</w:t>
      </w:r>
    </w:p>
    <w:p w14:paraId="6E2B23C2" w14:textId="77777777" w:rsidR="00BE3F39" w:rsidRDefault="00CA5D84">
      <w:r>
        <w:t xml:space="preserve">estadístico de </w:t>
      </w:r>
      <w:r>
        <w:rPr>
          <w:b/>
        </w:rPr>
        <w:t>24,50 (p = 0,000)</w:t>
      </w:r>
      <w:r>
        <w:t>, rechazando contundentemente la independencia entre empresas.</w:t>
      </w:r>
    </w:p>
    <w:p w14:paraId="0807C0FE" w14:textId="77777777" w:rsidR="00BE3F39" w:rsidRDefault="00CA5D84">
      <w:r>
        <w:t xml:space="preserve">Este resultado </w:t>
      </w:r>
      <w:r>
        <w:rPr>
          <w:b/>
        </w:rPr>
        <w:t>valida la elección metodológica</w:t>
      </w:r>
      <w:r>
        <w:t xml:space="preserve"> de errores estándar de Driscoll-Kraay: las</w:t>
      </w:r>
    </w:p>
    <w:p w14:paraId="2C8378F6" w14:textId="77777777" w:rsidR="00BE3F39" w:rsidRDefault="00CA5D84">
      <w:r>
        <w:t xml:space="preserve">cinco productoras comparten un factor común —señaladamente el </w:t>
      </w:r>
      <w:r>
        <w:t>precio del cobre— que induce</w:t>
      </w:r>
    </w:p>
    <w:p w14:paraId="4AC4410B" w14:textId="77777777" w:rsidR="00BE3F39" w:rsidRDefault="00CA5D84">
      <w:r>
        <w:t>correlación contemporánea en sus retornos. Ignorar esta dependencia habría sesgado la inferencia.</w:t>
      </w:r>
    </w:p>
    <w:p w14:paraId="66002E5E" w14:textId="77777777" w:rsidR="00BE3F39" w:rsidRDefault="00CA5D84">
      <w:r>
        <w:rPr>
          <w:b/>
        </w:rPr>
        <w:t>Estabilidad del sistema dinámico.</w:t>
      </w:r>
      <w:r>
        <w:t xml:space="preserve"> El VAR estimado es estable (raíces dentro del círculo</w:t>
      </w:r>
    </w:p>
    <w:p w14:paraId="2FFFB127" w14:textId="77777777" w:rsidR="00BE3F39" w:rsidRDefault="00CA5D84">
      <w:r>
        <w:t>unitario), condición necesaria para la validez de las funciones impulso-respuesta y de la</w:t>
      </w:r>
    </w:p>
    <w:p w14:paraId="7F3BF94F" w14:textId="77777777" w:rsidR="00BE3F39" w:rsidRDefault="00CA5D84">
      <w:r>
        <w:t>descomposición de varianza reportadas en §4.4.</w:t>
      </w:r>
    </w:p>
    <w:p w14:paraId="3AD84B3A" w14:textId="77777777" w:rsidR="00BE3F39" w:rsidRDefault="00CA5D84">
      <w:r>
        <w:rPr>
          <w:b/>
        </w:rPr>
        <w:t>Robustez por subperíodos.</w:t>
      </w:r>
      <w:r>
        <w:t xml:space="preserve"> Al reestimar el coeficiente del cobre en submuestras, este se</w:t>
      </w:r>
    </w:p>
    <w:p w14:paraId="16CACFE8" w14:textId="77777777" w:rsidR="00BE3F39" w:rsidRDefault="00CA5D84">
      <w:r>
        <w:t>mantiene positivo y significativo, con una magnitud que **aumenta del período 2004–2019 (0,559) al</w:t>
      </w:r>
    </w:p>
    <w:p w14:paraId="7D96B6F8" w14:textId="77777777" w:rsidR="00BE3F39" w:rsidRDefault="00CA5D84">
      <w:r>
        <w:t>período 2020–2024 (0,751)**. La mayor sensibilidad reciente es coherente con la intensificación de</w:t>
      </w:r>
    </w:p>
    <w:p w14:paraId="19F63112" w14:textId="77777777" w:rsidR="00BE3F39" w:rsidRDefault="00CA5D84">
      <w:r>
        <w:t>la atención de los mercados sobre el cobre en el contexto de la transición energética, y confirma</w:t>
      </w:r>
    </w:p>
    <w:p w14:paraId="14C54573" w14:textId="77777777" w:rsidR="00BE3F39" w:rsidRDefault="00CA5D84">
      <w:r>
        <w:t xml:space="preserve">que el signo y la relevancia del efecto </w:t>
      </w:r>
      <w:r>
        <w:rPr>
          <w:b/>
        </w:rPr>
        <w:t>no dependen de un subperíodo particular</w:t>
      </w:r>
      <w:r>
        <w:t>.</w:t>
      </w:r>
    </w:p>
    <w:p w14:paraId="6F06124F" w14:textId="77777777" w:rsidR="00BE3F39" w:rsidRDefault="00CA5D84">
      <w:r>
        <w:rPr>
          <w:b/>
        </w:rPr>
        <w:t>Volatilidad condicional (GARCH).</w:t>
      </w:r>
      <w:r>
        <w:t xml:space="preserve"> La prueba ARCH-LM rechaza con holgura la ausencia de efectos</w:t>
      </w:r>
    </w:p>
    <w:p w14:paraId="56F9501E" w14:textId="77777777" w:rsidR="00BE3F39" w:rsidRDefault="00CA5D84">
      <w:r>
        <w:lastRenderedPageBreak/>
        <w:t>de heterocedasticidad condicional (estadístico 41,1; p = 0,000), lo que justifica modelar la</w:t>
      </w:r>
    </w:p>
    <w:p w14:paraId="35836CA2" w14:textId="77777777" w:rsidR="00BE3F39" w:rsidRDefault="00CA5D84">
      <w:r>
        <w:t xml:space="preserve">varianza con un </w:t>
      </w:r>
      <w:r>
        <w:t>GARCH(1,1). El modelo estimado sobre los retornos de la cartera arroja una</w:t>
      </w:r>
    </w:p>
    <w:p w14:paraId="0DEB659C" w14:textId="77777777" w:rsidR="00BE3F39" w:rsidRDefault="00CA5D84">
      <w:r>
        <w:rPr>
          <w:b/>
        </w:rPr>
        <w:t>persistencia de la volatilidad de 0,86</w:t>
      </w:r>
      <w:r>
        <w:t xml:space="preserve"> (α = 0,15; β = 0,70), indicativa de **agrupamiento de</w:t>
      </w:r>
    </w:p>
    <w:p w14:paraId="1AA5D496" w14:textId="77777777" w:rsidR="00BE3F39" w:rsidRDefault="00CA5D84">
      <w:r>
        <w:t>volatilidad**: los episodios de alta volatilidad —como las crisis— tienden a prolongarse. La</w:t>
      </w:r>
    </w:p>
    <w:p w14:paraId="66D939D5" w14:textId="77777777" w:rsidR="00BE3F39" w:rsidRDefault="00CA5D84">
      <w:r>
        <w:t xml:space="preserve">distribución t estimada (ν ≈ 12) confirma además la presencia de </w:t>
      </w:r>
      <w:r>
        <w:rPr>
          <w:b/>
        </w:rPr>
        <w:t>colas más pesadas</w:t>
      </w:r>
      <w:r>
        <w:t xml:space="preserve"> que la</w:t>
      </w:r>
    </w:p>
    <w:p w14:paraId="368C9B30" w14:textId="77777777" w:rsidR="00BE3F39" w:rsidRDefault="00CA5D84">
      <w:r>
        <w:t>normal, característica de los retornos financieros. La extensión a un modelo asimétrico</w:t>
      </w:r>
    </w:p>
    <w:p w14:paraId="4B2A4F1D" w14:textId="77777777" w:rsidR="00BE3F39" w:rsidRDefault="00CA5D84">
      <w:r>
        <w:rPr>
          <w:b/>
        </w:rPr>
        <w:t>GJR-GARCH</w:t>
      </w:r>
      <w:r>
        <w:t xml:space="preserve"> revela un </w:t>
      </w:r>
      <w:r>
        <w:rPr>
          <w:b/>
        </w:rPr>
        <w:t>efecto apalancamiento</w:t>
      </w:r>
      <w:r>
        <w:t xml:space="preserve"> estadísticamente significativo (γ = 0,22;</w:t>
      </w:r>
    </w:p>
    <w:p w14:paraId="3129DABC" w14:textId="77777777" w:rsidR="00BE3F39" w:rsidRDefault="00CA5D84">
      <w:r>
        <w:t>p = 0,023), preferido por el criterio BIC: las caídas del retorno elevan la volatilidad futura más</w:t>
      </w:r>
    </w:p>
    <w:p w14:paraId="2DB937EA" w14:textId="77777777" w:rsidR="00BE3F39" w:rsidRDefault="00CA5D84">
      <w:r>
        <w:t>que las alzas de igual magnitud, un patrón habitual en los mercados accionarios.</w:t>
      </w:r>
    </w:p>
    <w:p w14:paraId="35A2C8C7" w14:textId="77777777" w:rsidR="00BE3F39" w:rsidRDefault="00CA5D84">
      <w:r>
        <w:rPr>
          <w:b/>
        </w:rPr>
        <w:t>Corrección por pruebas múltiples.</w:t>
      </w:r>
      <w:r>
        <w:t xml:space="preserve"> Dado que el contraste de las hipótesis involucra la</w:t>
      </w:r>
    </w:p>
    <w:p w14:paraId="40FD39AF" w14:textId="77777777" w:rsidR="00BE3F39" w:rsidRDefault="00CA5D84">
      <w:r>
        <w:t>estimación simultánea de numerosos coeficientes, se aplica la corrección de **Benjamini-Hochberg</w:t>
      </w:r>
    </w:p>
    <w:p w14:paraId="4D9ABBAD" w14:textId="77777777" w:rsidR="00BE3F39" w:rsidRDefault="00CA5D84">
      <w:r>
        <w:t>(control de la tasa de falsos descubrimientos, FDR)** sobre los p-valores del panel. Tras la</w:t>
      </w:r>
    </w:p>
    <w:p w14:paraId="441EB22A" w14:textId="77777777" w:rsidR="00BE3F39" w:rsidRDefault="00CA5D84">
      <w:r>
        <w:t xml:space="preserve">corrección, </w:t>
      </w:r>
      <w:r>
        <w:rPr>
          <w:b/>
        </w:rPr>
        <w:t>el precio del cobre, el VIX y el tipo de cambio conservan su significancia</w:t>
      </w:r>
    </w:p>
    <w:p w14:paraId="68A5D8AF" w14:textId="77777777" w:rsidR="00BE3F39" w:rsidRDefault="00CA5D84">
      <w:r>
        <w:t>(p-valores ajustados de 0,000, 0,000 y 0,000, respectivamente), mientras que los factores ya no</w:t>
      </w:r>
    </w:p>
    <w:p w14:paraId="3D76B333" w14:textId="77777777" w:rsidR="00BE3F39" w:rsidRDefault="00CA5D84">
      <w:r>
        <w:t>significativos se mantienen como tales. Los hallazgos centrales no son, por tanto, artefactos de</w:t>
      </w:r>
    </w:p>
    <w:p w14:paraId="0DC58E83" w14:textId="77777777" w:rsidR="00BE3F39" w:rsidRDefault="00CA5D84">
      <w:r>
        <w:t>pruebas múltiples.</w:t>
      </w:r>
    </w:p>
    <w:p w14:paraId="6EF8E90A" w14:textId="77777777" w:rsidR="00BE3F39" w:rsidRDefault="00CA5D84">
      <w:r>
        <w:rPr>
          <w:b/>
        </w:rPr>
        <w:t>Magnitudes económicas (betas estandarizados).</w:t>
      </w:r>
      <w:r>
        <w:t xml:space="preserve"> Expresado en desviaciones estándar, el factor de</w:t>
      </w:r>
    </w:p>
    <w:p w14:paraId="5E112057" w14:textId="77777777" w:rsidR="00BE3F39" w:rsidRDefault="00CA5D84">
      <w:r>
        <w:lastRenderedPageBreak/>
        <w:t xml:space="preserve">mayor impacto sobre el retorno es el </w:t>
      </w:r>
      <w:r>
        <w:rPr>
          <w:b/>
        </w:rPr>
        <w:t>riesgo global (VIX, −0,31 σ)</w:t>
      </w:r>
      <w:r>
        <w:t>, seguido muy de cerca por el</w:t>
      </w:r>
    </w:p>
    <w:p w14:paraId="52127F3F" w14:textId="77777777" w:rsidR="00BE3F39" w:rsidRDefault="00CA5D84">
      <w:r>
        <w:rPr>
          <w:b/>
        </w:rPr>
        <w:t>precio del cobre (+0,29 σ)</w:t>
      </w:r>
      <w:r>
        <w:t xml:space="preserve"> y, a mayor distancia, el tipo de cambio (−0,13 σ). Esta jerarquía</w:t>
      </w:r>
    </w:p>
    <w:p w14:paraId="2AA88554" w14:textId="77777777" w:rsidR="00BE3F39" w:rsidRDefault="00CA5D84">
      <w:r>
        <w:t>—dos factores globales en la cúspide— constituye evidencia económica, y no solo estadística, a</w:t>
      </w:r>
    </w:p>
    <w:p w14:paraId="1E0FC182" w14:textId="77777777" w:rsidR="00BE3F39" w:rsidRDefault="00CA5D84">
      <w:r>
        <w:t>favor de la dominancia de los factores internacionales (H6).</w:t>
      </w:r>
    </w:p>
    <w:p w14:paraId="5D7F5178" w14:textId="77777777" w:rsidR="00BE3F39" w:rsidRDefault="00CA5D84">
      <w:r>
        <w:rPr>
          <w:b/>
        </w:rPr>
        <w:t>Local Projections.</w:t>
      </w:r>
      <w:r>
        <w:t xml:space="preserve"> Como alternativa al VAR, más robusta a la mala especificación, se estima la</w:t>
      </w:r>
    </w:p>
    <w:p w14:paraId="7865601A" w14:textId="77777777" w:rsidR="00BE3F39" w:rsidRDefault="00CA5D84">
      <w:r>
        <w:t xml:space="preserve">respuesta del retorno a un shock del cobre mediante </w:t>
      </w:r>
      <w:r>
        <w:rPr>
          <w:b/>
        </w:rPr>
        <w:t>proyecciones locales (Jordà, 2005)</w:t>
      </w:r>
      <w:r>
        <w:t xml:space="preserve"> con</w:t>
      </w:r>
    </w:p>
    <w:p w14:paraId="6424BAC8" w14:textId="77777777" w:rsidR="00BE3F39" w:rsidRDefault="00CA5D84">
      <w:r>
        <w:t>errores estándar HAC horizonte a horizonte. La respuesta estimada (0,68 en el impacto, con</w:t>
      </w:r>
    </w:p>
    <w:p w14:paraId="701E75E0" w14:textId="77777777" w:rsidR="00BE3F39" w:rsidRDefault="00CA5D84">
      <w:r>
        <w:t xml:space="preserve">decaimiento posterior) </w:t>
      </w:r>
      <w:r>
        <w:rPr>
          <w:b/>
        </w:rPr>
        <w:t>coincide cualitativamente con la función impulso-respuesta del VAR</w:t>
      </w:r>
      <w:r>
        <w:t>, lo</w:t>
      </w:r>
    </w:p>
    <w:p w14:paraId="5B9D0FCE" w14:textId="77777777" w:rsidR="00BE3F39" w:rsidRDefault="00CA5D84">
      <w:r>
        <w:t>que refuerza la robustez de la dinámica reportada en §4.4.</w:t>
      </w:r>
    </w:p>
    <w:p w14:paraId="33742E60" w14:textId="77777777" w:rsidR="00BE3F39" w:rsidRDefault="00CA5D84">
      <w:pPr>
        <w:jc w:val="center"/>
      </w:pPr>
      <w:r>
        <w:rPr>
          <w:noProof/>
        </w:rPr>
        <w:drawing>
          <wp:inline distT="0" distB="0" distL="0" distR="0" wp14:anchorId="131D0E02" wp14:editId="5CAF1886">
            <wp:extent cx="5394960" cy="26204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p.png"/>
                    <pic:cNvPicPr/>
                  </pic:nvPicPr>
                  <pic:blipFill>
                    <a:blip r:embed="rId14"/>
                    <a:stretch>
                      <a:fillRect/>
                    </a:stretch>
                  </pic:blipFill>
                  <pic:spPr>
                    <a:xfrm>
                      <a:off x="0" y="0"/>
                      <a:ext cx="5394960" cy="2620409"/>
                    </a:xfrm>
                    <a:prstGeom prst="rect">
                      <a:avLst/>
                    </a:prstGeom>
                  </pic:spPr>
                </pic:pic>
              </a:graphicData>
            </a:graphic>
          </wp:inline>
        </w:drawing>
      </w:r>
    </w:p>
    <w:p w14:paraId="0B23D8DE" w14:textId="46294BB1" w:rsidR="00BE3F39" w:rsidRDefault="00CA5D84">
      <w:pPr>
        <w:pStyle w:val="Descripcin"/>
        <w:jc w:val="center"/>
      </w:pPr>
      <w:bookmarkStart w:id="59" w:name="_Toc231082851"/>
      <w:r>
        <w:rPr>
          <w:sz w:val="20"/>
        </w:rPr>
        <w:t xml:space="preserve">Figura </w:t>
      </w:r>
      <w:r>
        <w:fldChar w:fldCharType="begin"/>
      </w:r>
      <w:r>
        <w:instrText xml:space="preserve"> SEQ Figura \* ARABIC </w:instrText>
      </w:r>
      <w:r>
        <w:fldChar w:fldCharType="separate"/>
      </w:r>
      <w:r>
        <w:rPr>
          <w:noProof/>
        </w:rPr>
        <w:t>6</w:t>
      </w:r>
      <w:r>
        <w:fldChar w:fldCharType="end"/>
      </w:r>
      <w:r>
        <w:rPr>
          <w:sz w:val="20"/>
        </w:rPr>
        <w:t>. Respuesta del retorno a un shock del cobre mediante proyecciones locales (Jordà, 2005), IC 95%.</w:t>
      </w:r>
      <w:bookmarkEnd w:id="59"/>
    </w:p>
    <w:p w14:paraId="794374C4" w14:textId="77777777" w:rsidR="00BE3F39" w:rsidRDefault="00CA5D84">
      <w:pPr>
        <w:pStyle w:val="Ttulo2"/>
      </w:pPr>
      <w:bookmarkStart w:id="60" w:name="_Toc231082811"/>
      <w:r>
        <w:lastRenderedPageBreak/>
        <w:t xml:space="preserve">4.8 Discusión </w:t>
      </w:r>
      <w:r>
        <w:t>integrada</w:t>
      </w:r>
      <w:bookmarkEnd w:id="60"/>
    </w:p>
    <w:p w14:paraId="2BE38548" w14:textId="77777777" w:rsidR="00BE3F39" w:rsidRDefault="00CA5D84">
      <w:r>
        <w:t>Los resultados preliminares dibujan un cuadro coherente con la teoría: **el precio del cobre es el</w:t>
      </w:r>
    </w:p>
    <w:p w14:paraId="527CDB38" w14:textId="77777777" w:rsidR="00BE3F39" w:rsidRDefault="00CA5D84">
      <w:r>
        <w:t>principal determinante de los retornos del sector** (H1), con un efecto positivo, significativo,</w:t>
      </w:r>
    </w:p>
    <w:p w14:paraId="1AF2D8CD" w14:textId="77777777" w:rsidR="00BE3F39" w:rsidRDefault="00CA5D84">
      <w:r>
        <w:rPr>
          <w:b/>
        </w:rPr>
        <w:t>estable entre fases del ciclo</w:t>
      </w:r>
      <w:r>
        <w:t xml:space="preserve"> (§4.5) y robusto entre subperíodos (§4.7); **los factores globales</w:t>
      </w:r>
    </w:p>
    <w:p w14:paraId="7173E1B3" w14:textId="77777777" w:rsidR="00BE3F39" w:rsidRDefault="00CA5D84">
      <w:r>
        <w:t>dominan a los locales</w:t>
      </w:r>
      <w:r>
        <w:rPr>
          <w:b/>
        </w:rPr>
        <w:t xml:space="preserve"> en la explicación de la varianza (H6); y el </w:t>
      </w:r>
      <w:r>
        <w:t>tipo de cambio** ejerce un</w:t>
      </w:r>
    </w:p>
    <w:p w14:paraId="05A676D5" w14:textId="77777777" w:rsidR="00BE3F39" w:rsidRDefault="00CA5D84">
      <w:r>
        <w:t>efecto negativo significativo cuyo signo refleja la doble naturaleza —competitividad y riesgo—</w:t>
      </w:r>
    </w:p>
    <w:p w14:paraId="5E2984F2" w14:textId="77777777" w:rsidR="00BE3F39" w:rsidRDefault="00CA5D84">
      <w:r>
        <w:t>anticipada (H2). La comparación entre mercados aporta una primera señal, aún débil, de</w:t>
      </w:r>
    </w:p>
    <w:p w14:paraId="79DE2143" w14:textId="77777777" w:rsidR="00BE3F39" w:rsidRDefault="00CA5D84">
      <w:r>
        <w:rPr>
          <w:b/>
        </w:rPr>
        <w:t>transmisión diferenciada</w:t>
      </w:r>
      <w:r>
        <w:t xml:space="preserve"> (H7); y la </w:t>
      </w:r>
      <w:r>
        <w:rPr>
          <w:b/>
        </w:rPr>
        <w:t>relación de cointegración de largo plazo</w:t>
      </w:r>
      <w:r>
        <w:t xml:space="preserve"> (H5) **se</w:t>
      </w:r>
    </w:p>
    <w:p w14:paraId="59AEF003" w14:textId="77777777" w:rsidR="00BE3F39" w:rsidRDefault="00CA5D84">
      <w:r>
        <w:t>confirma una vez que se admite un quiebre estructural** en 2008 (Gregory-Hansen), lo que reconcilia</w:t>
      </w:r>
    </w:p>
    <w:p w14:paraId="273A99DA" w14:textId="77777777" w:rsidR="00BE3F39" w:rsidRDefault="00CA5D84">
      <w:r>
        <w:t>la evidencia inicialmente mixta. La fuerte dependencia de sección cruzada detectada (§4.7) confirma,</w:t>
      </w:r>
    </w:p>
    <w:p w14:paraId="0E2D1637" w14:textId="77777777" w:rsidR="00BE3F39" w:rsidRDefault="00CA5D84">
      <w:r>
        <w:t>además, la pertinencia del tratamiento econométrico adoptado.</w:t>
      </w:r>
    </w:p>
    <w:p w14:paraId="72BA0389" w14:textId="77777777" w:rsidR="00BE3F39" w:rsidRDefault="00CA5D84">
      <w:r>
        <w:t xml:space="preserve">Estas lecturas son </w:t>
      </w:r>
      <w:r>
        <w:rPr>
          <w:b/>
        </w:rPr>
        <w:t>provisionales</w:t>
      </w:r>
      <w:r>
        <w:t xml:space="preserve"> en un único sentido acotado: su elevación a hallazgos</w:t>
      </w:r>
    </w:p>
    <w:p w14:paraId="65268A84" w14:textId="77777777" w:rsidR="00BE3F39" w:rsidRDefault="00CA5D84">
      <w:r>
        <w:t xml:space="preserve">plenamente definitivos exige todavía (i) incorporar el </w:t>
      </w:r>
      <w:r>
        <w:rPr>
          <w:b/>
        </w:rPr>
        <w:t>EMBI</w:t>
      </w:r>
      <w:r>
        <w:t xml:space="preserve"> y los **controles a nivel de</w:t>
      </w:r>
    </w:p>
    <w:p w14:paraId="129CCB96" w14:textId="77777777" w:rsidR="00BE3F39" w:rsidRDefault="00CA5D84">
      <w:r>
        <w:t>empresa</w:t>
      </w:r>
      <w:r>
        <w:rPr>
          <w:b/>
        </w:rPr>
        <w:t xml:space="preserve">, y (ii) formalizar la comparación entre mercados con </w:t>
      </w:r>
      <w:r>
        <w:t>pruebas de igualdad de</w:t>
      </w:r>
    </w:p>
    <w:p w14:paraId="243B06F8" w14:textId="77777777" w:rsidR="00BE3F39" w:rsidRDefault="00CA5D84">
      <w:r>
        <w:t>coeficientes</w:t>
      </w:r>
      <w:r>
        <w:rPr>
          <w:b/>
        </w:rPr>
        <w:t xml:space="preserve"> entre muestras. En cambio, el grueso del aparato econométrico </w:t>
      </w:r>
      <w:r>
        <w:t>ya está ejecutado y</w:t>
      </w:r>
    </w:p>
    <w:p w14:paraId="07872AE5" w14:textId="77777777" w:rsidR="00BE3F39" w:rsidRDefault="00CA5D84">
      <w:r>
        <w:t>es concluyente**: la resolución del orden de integración (Zivot-Andrews), las interacciones por</w:t>
      </w:r>
    </w:p>
    <w:p w14:paraId="67853BA7" w14:textId="77777777" w:rsidR="00BE3F39" w:rsidRDefault="00CA5D84">
      <w:r>
        <w:t>ciclo (OE5), los diagnósticos de panel y VAR (CD de Pesaran, estabilidad), la robustez por</w:t>
      </w:r>
    </w:p>
    <w:p w14:paraId="7D4E52CD" w14:textId="77777777" w:rsidR="00BE3F39" w:rsidRDefault="00CA5D84">
      <w:r>
        <w:lastRenderedPageBreak/>
        <w:t xml:space="preserve">subperíodos, la </w:t>
      </w:r>
      <w:r>
        <w:rPr>
          <w:b/>
        </w:rPr>
        <w:t>cointegración con quiebre</w:t>
      </w:r>
      <w:r>
        <w:t xml:space="preserve"> (Gregory-Hansen) y la </w:t>
      </w:r>
      <w:r>
        <w:rPr>
          <w:b/>
        </w:rPr>
        <w:t>volatilidad condicional</w:t>
      </w:r>
    </w:p>
    <w:p w14:paraId="40CB7A35" w14:textId="77777777" w:rsidR="00BE3F39" w:rsidRDefault="00CA5D84">
      <w:r>
        <w:t>(GARCH) confieren una base empírica sólida a las conclusiones aquí presentadas.</w:t>
      </w:r>
    </w:p>
    <w:p w14:paraId="591C2748" w14:textId="77777777" w:rsidR="00BE3F39" w:rsidRDefault="00CA5D84">
      <w:r>
        <w:br w:type="page"/>
      </w:r>
    </w:p>
    <w:p w14:paraId="281BE1CE" w14:textId="77777777" w:rsidR="00BE3F39" w:rsidRDefault="00CA5D84">
      <w:pPr>
        <w:pStyle w:val="Ttulo1"/>
      </w:pPr>
      <w:bookmarkStart w:id="61" w:name="_Toc231082812"/>
      <w:r>
        <w:lastRenderedPageBreak/>
        <w:t>Capítulo 5 — Conclusiones</w:t>
      </w:r>
      <w:bookmarkEnd w:id="61"/>
    </w:p>
    <w:p w14:paraId="50B25DD9" w14:textId="77777777" w:rsidR="00BE3F39" w:rsidRDefault="00CA5D84">
      <w:pPr>
        <w:pStyle w:val="Ttulo2"/>
      </w:pPr>
      <w:bookmarkStart w:id="62" w:name="_Toc231082813"/>
      <w:r>
        <w:t>5.1 Síntesis de los hallazgos</w:t>
      </w:r>
      <w:bookmarkEnd w:id="62"/>
    </w:p>
    <w:p w14:paraId="65C728A5" w14:textId="77777777" w:rsidR="00BE3F39" w:rsidRDefault="00CA5D84">
      <w:r>
        <w:t>Esta investigación cuantificó y comparó el impacto de las variables macroeconómicas globales y</w:t>
      </w:r>
    </w:p>
    <w:p w14:paraId="246F217A" w14:textId="77777777" w:rsidR="00BE3F39" w:rsidRDefault="00CA5D84">
      <w:r>
        <w:t>nacionales sobre los retornos accionarios de las empresas de cobre con exposición a Chile, durante</w:t>
      </w:r>
    </w:p>
    <w:p w14:paraId="56640F80" w14:textId="77777777" w:rsidR="00BE3F39" w:rsidRDefault="00CA5D84">
      <w:r>
        <w:t>el período 2004–2024, contrastando su transmisión entre el mercado bursátil internacional y el</w:t>
      </w:r>
    </w:p>
    <w:p w14:paraId="57B37498" w14:textId="77777777" w:rsidR="00BE3F39" w:rsidRDefault="00CA5D84">
      <w:r>
        <w:t>chileno. La evidencia —preliminar— respalda que el **precio del cobre constituye el principal</w:t>
      </w:r>
    </w:p>
    <w:p w14:paraId="1A8CD5EB" w14:textId="77777777" w:rsidR="00BE3F39" w:rsidRDefault="00CA5D84">
      <w:r>
        <w:t>determinante** de los retornos del sector, con un efecto positivo y altamente significativo, y que</w:t>
      </w:r>
    </w:p>
    <w:p w14:paraId="27F76506" w14:textId="77777777" w:rsidR="00BE3F39" w:rsidRDefault="00CA5D84">
      <w:r>
        <w:t xml:space="preserve">los </w:t>
      </w:r>
      <w:r>
        <w:rPr>
          <w:b/>
        </w:rPr>
        <w:t>factores globales predominan</w:t>
      </w:r>
      <w:r>
        <w:t xml:space="preserve"> sobre los locales en la explicación de la varianza de los</w:t>
      </w:r>
    </w:p>
    <w:p w14:paraId="58EB6A0D" w14:textId="77777777" w:rsidR="00BE3F39" w:rsidRDefault="00CA5D84">
      <w:r>
        <w:t>retornos, consistente con la condición de Chile como economía pequeña, abierta y exportadora de</w:t>
      </w:r>
    </w:p>
    <w:p w14:paraId="5A504A84" w14:textId="77777777" w:rsidR="00BE3F39" w:rsidRDefault="00CA5D84">
      <w:r>
        <w:t xml:space="preserve">cobre. El </w:t>
      </w:r>
      <w:r>
        <w:rPr>
          <w:b/>
        </w:rPr>
        <w:t>tipo de cambio</w:t>
      </w:r>
      <w:r>
        <w:t xml:space="preserve"> exhibe un efecto negativo significativo, cuyo signo refleja la doble</w:t>
      </w:r>
    </w:p>
    <w:p w14:paraId="554782F8" w14:textId="77777777" w:rsidR="00BE3F39" w:rsidRDefault="00CA5D84">
      <w:r>
        <w:t>naturaleza —competitividad y riesgo— característica de las exportadoras de commodities.</w:t>
      </w:r>
    </w:p>
    <w:p w14:paraId="337835D7" w14:textId="77777777" w:rsidR="00BE3F39" w:rsidRDefault="00CA5D84">
      <w:r>
        <w:t xml:space="preserve">La </w:t>
      </w:r>
      <w:r>
        <w:t>dimensión comparativa, distintiva de este estudio, aporta una primera señal de **transmisión</w:t>
      </w:r>
    </w:p>
    <w:p w14:paraId="25B65977" w14:textId="77777777" w:rsidR="00BE3F39" w:rsidRDefault="00CA5D84">
      <w:r>
        <w:t>diferenciada** entre mercados: la sensibilidad al cobre es comparable entre el cobre puro</w:t>
      </w:r>
    </w:p>
    <w:p w14:paraId="5F92F455" w14:textId="77777777" w:rsidR="00BE3F39" w:rsidRDefault="00CA5D84">
      <w:r>
        <w:t>internacional y el local, mientras que la fracción de varianza atribuida a shocks globales tiende</w:t>
      </w:r>
    </w:p>
    <w:p w14:paraId="23B4535F" w14:textId="77777777" w:rsidR="00BE3F39" w:rsidRDefault="00CA5D84">
      <w:r>
        <w:t>a ser mayor en el mercado internacional, en la dirección prevista por la hipótesis de segmentación.</w:t>
      </w:r>
    </w:p>
    <w:p w14:paraId="57EF2BF7" w14:textId="77777777" w:rsidR="00BE3F39" w:rsidRDefault="00CA5D84">
      <w:pPr>
        <w:pStyle w:val="Ttulo2"/>
      </w:pPr>
      <w:bookmarkStart w:id="63" w:name="_Toc231082814"/>
      <w:r>
        <w:lastRenderedPageBreak/>
        <w:t>5.2 Implicancias</w:t>
      </w:r>
      <w:bookmarkEnd w:id="63"/>
    </w:p>
    <w:p w14:paraId="0D769560" w14:textId="77777777" w:rsidR="00BE3F39" w:rsidRDefault="00CA5D84">
      <w:pPr>
        <w:pStyle w:val="Listaconvietas"/>
      </w:pPr>
      <w:r>
        <w:rPr>
          <w:b/>
        </w:rPr>
        <w:t>Para los inversionistas:</w:t>
      </w:r>
      <w:r>
        <w:t xml:space="preserve"> la fuerte dependencia de los retornos respecto del precio del cobre</w:t>
      </w:r>
    </w:p>
    <w:p w14:paraId="194D33E8" w14:textId="77777777" w:rsidR="00BE3F39" w:rsidRDefault="00CA5D84">
      <w:r>
        <w:t xml:space="preserve">  y del riesgo global subraya la importancia de la gestión de la exposición a commodities y a</w:t>
      </w:r>
    </w:p>
    <w:p w14:paraId="41CD0F51" w14:textId="77777777" w:rsidR="00BE3F39" w:rsidRDefault="00CA5D84">
      <w:r>
        <w:t xml:space="preserve">  factores internacionales por sobre los domésticos.</w:t>
      </w:r>
    </w:p>
    <w:p w14:paraId="72D16D91" w14:textId="77777777" w:rsidR="00BE3F39" w:rsidRDefault="00CA5D84">
      <w:pPr>
        <w:pStyle w:val="Listaconvietas"/>
      </w:pPr>
      <w:r>
        <w:rPr>
          <w:b/>
        </w:rPr>
        <w:t>Para la gestión empresarial:</w:t>
      </w:r>
      <w:r>
        <w:t xml:space="preserve"> la exposición cambiaria significativa justifica políticas</w:t>
      </w:r>
    </w:p>
    <w:p w14:paraId="67653707" w14:textId="77777777" w:rsidR="00BE3F39" w:rsidRDefault="00CA5D84">
      <w:r>
        <w:t xml:space="preserve">  explícitas de cobertura, especialmente en empresas con estructura de costos en moneda local.</w:t>
      </w:r>
    </w:p>
    <w:p w14:paraId="30FD025A" w14:textId="77777777" w:rsidR="00BE3F39" w:rsidRDefault="00CA5D84">
      <w:pPr>
        <w:pStyle w:val="Listaconvietas"/>
      </w:pPr>
      <w:r>
        <w:rPr>
          <w:b/>
        </w:rPr>
        <w:t>Para la comprensión del mercado de capitales chileno:</w:t>
      </w:r>
      <w:r>
        <w:t xml:space="preserve"> la evidencia de transmisión</w:t>
      </w:r>
    </w:p>
    <w:p w14:paraId="7550055E" w14:textId="77777777" w:rsidR="00BE3F39" w:rsidRDefault="00CA5D84">
      <w:r>
        <w:t xml:space="preserve">  diferenciada invita a profundizar en la profundidad, liquidez e integración del mercado local.</w:t>
      </w:r>
    </w:p>
    <w:p w14:paraId="19EADCB7" w14:textId="77777777" w:rsidR="00BE3F39" w:rsidRDefault="00CA5D84">
      <w:pPr>
        <w:pStyle w:val="Ttulo2"/>
      </w:pPr>
      <w:bookmarkStart w:id="64" w:name="_Toc231082815"/>
      <w:r>
        <w:t>5.3 Limitaciones</w:t>
      </w:r>
      <w:bookmarkEnd w:id="64"/>
    </w:p>
    <w:p w14:paraId="62220BCE" w14:textId="77777777" w:rsidR="00BE3F39" w:rsidRDefault="00CA5D84">
      <w:r>
        <w:t xml:space="preserve">El estudio enfrenta la </w:t>
      </w:r>
      <w:r>
        <w:rPr>
          <w:b/>
        </w:rPr>
        <w:t>escasez estructural</w:t>
      </w:r>
      <w:r>
        <w:t xml:space="preserve"> de productoras de cobre puro cotizadas en el mercado</w:t>
      </w:r>
    </w:p>
    <w:p w14:paraId="4F2BC7EF" w14:textId="77777777" w:rsidR="00BE3F39" w:rsidRDefault="00CA5D84">
      <w:r>
        <w:t>chileno, abordada mediante el diseño de triangulación. Los resultados presentados son</w:t>
      </w:r>
    </w:p>
    <w:p w14:paraId="5DA1FD74" w14:textId="77777777" w:rsidR="00BE3F39" w:rsidRDefault="00CA5D84">
      <w:r>
        <w:rPr>
          <w:b/>
        </w:rPr>
        <w:t>preliminares</w:t>
      </w:r>
      <w:r>
        <w:t>: pendientes la incorporación del EMBI y de los controles a nivel de empresa, la</w:t>
      </w:r>
    </w:p>
    <w:p w14:paraId="2A853EFB" w14:textId="77777777" w:rsidR="00BE3F39" w:rsidRDefault="00CA5D84">
      <w:r>
        <w:t>resolución del orden de integración del tipo de cambio en presencia de quiebres, y la batería</w:t>
      </w:r>
    </w:p>
    <w:p w14:paraId="54CDF5FA" w14:textId="77777777" w:rsidR="00BE3F39" w:rsidRDefault="00CA5D84">
      <w:r>
        <w:t>completa de diagnósticos y robustez.</w:t>
      </w:r>
    </w:p>
    <w:p w14:paraId="7C626D01" w14:textId="77777777" w:rsidR="00BE3F39" w:rsidRDefault="00CA5D84">
      <w:pPr>
        <w:pStyle w:val="Ttulo2"/>
      </w:pPr>
      <w:bookmarkStart w:id="65" w:name="_Toc231082816"/>
      <w:r>
        <w:t>5.4 Líneas futuras de investigación</w:t>
      </w:r>
      <w:bookmarkEnd w:id="65"/>
    </w:p>
    <w:p w14:paraId="66FCC2DC" w14:textId="77777777" w:rsidR="00BE3F39" w:rsidRDefault="00CA5D84">
      <w:r>
        <w:t>Se proponen como extensiones: (i) la estimación formal de la asimetría de régimen mediante modelos</w:t>
      </w:r>
    </w:p>
    <w:p w14:paraId="09CC69BC" w14:textId="77777777" w:rsidR="00BE3F39" w:rsidRDefault="00CA5D84">
      <w:r>
        <w:t>de cambio de Markov; (ii) la incorporación de la volatilidad condicional (GARCH) cuando esta sea</w:t>
      </w:r>
    </w:p>
    <w:p w14:paraId="020115C9" w14:textId="77777777" w:rsidR="00BE3F39" w:rsidRDefault="00CA5D84">
      <w:r>
        <w:t>central; (iii) el análisis a frecuencia diaria/semanal para la dinámica de corto plazo; y (iv) la</w:t>
      </w:r>
    </w:p>
    <w:p w14:paraId="7EAD743E" w14:textId="77777777" w:rsidR="00BE3F39" w:rsidRDefault="00CA5D84">
      <w:r>
        <w:lastRenderedPageBreak/>
        <w:t>ampliación del análisis de segmentación con pruebas formales de integración de mercados.</w:t>
      </w:r>
    </w:p>
    <w:p w14:paraId="5F515F84" w14:textId="77777777" w:rsidR="00BE3F39" w:rsidRDefault="00CA5D84">
      <w:r>
        <w:br w:type="page"/>
      </w:r>
    </w:p>
    <w:p w14:paraId="4FCA3893" w14:textId="77777777" w:rsidR="00BE3F39" w:rsidRDefault="00CA5D84">
      <w:pPr>
        <w:pStyle w:val="Ttulo1"/>
      </w:pPr>
      <w:bookmarkStart w:id="66" w:name="_Toc231082817"/>
      <w:r>
        <w:lastRenderedPageBreak/>
        <w:t>Referencias</w:t>
      </w:r>
      <w:bookmarkEnd w:id="66"/>
    </w:p>
    <w:p w14:paraId="1BE92F47" w14:textId="77777777" w:rsidR="00BE3F39" w:rsidRDefault="00CA5D84">
      <w:r>
        <w:t>Adler, M., &amp; Dumas, B. (1984). Exposure to currency risk: Definition and measurement. *Financial Management*, 13(2), 41–50.</w:t>
      </w:r>
    </w:p>
    <w:p w14:paraId="5BC78265" w14:textId="77777777" w:rsidR="00BE3F39" w:rsidRDefault="00CA5D84">
      <w:r>
        <w:t>Bai, J., &amp; Perron, P. (2003). Computation and analysis of multiple structural change models. *Journal of Applied Econometrics*, 18(1), 1–22.</w:t>
      </w:r>
    </w:p>
    <w:p w14:paraId="0FE24119" w14:textId="77777777" w:rsidR="00BE3F39" w:rsidRDefault="00CA5D84">
      <w:r>
        <w:t>Bekaert, G., &amp; Harvey, C. R. (1995). Time-varying world market integration. *The Journal of Finance*, 50(2), 403–444.</w:t>
      </w:r>
    </w:p>
    <w:p w14:paraId="75E81ED7" w14:textId="77777777" w:rsidR="00BE3F39" w:rsidRDefault="00CA5D84">
      <w:r>
        <w:t xml:space="preserve">Benjamini, Y., &amp; Hochberg, Y. (1995). Controlling the false </w:t>
      </w:r>
      <w:r>
        <w:t>discovery rate: A practical and powerful approach to multiple testing. *Journal of the Royal Statistical Society: Series B*, 57(1), 289–300.</w:t>
      </w:r>
    </w:p>
    <w:p w14:paraId="64F4183D" w14:textId="77777777" w:rsidR="00BE3F39" w:rsidRDefault="00CA5D84">
      <w:r>
        <w:t>Bekaert, G., &amp; Harvey, C. R. (2005). Emerging markets finance. *Journal of Empirical Finance*, 10(1–2), 3–55.</w:t>
      </w:r>
    </w:p>
    <w:p w14:paraId="0352B900" w14:textId="77777777" w:rsidR="00BE3F39" w:rsidRDefault="00CA5D84">
      <w:r>
        <w:t>Bollerslev, T. (1986). Generalized autoregressive conditional heteroskedasticity. *Journal of Econometrics*, 31(3), 307–327.</w:t>
      </w:r>
    </w:p>
    <w:p w14:paraId="178FEA80" w14:textId="77777777" w:rsidR="00BE3F39" w:rsidRDefault="00CA5D84">
      <w:r>
        <w:t>Boyer, M. M., &amp; Filion, D. (2007). Common and fundamental factors in stock returns of Canadian oil and gas companies. *Energy Economics*, 29(3), 428–453.</w:t>
      </w:r>
    </w:p>
    <w:p w14:paraId="0723FE82" w14:textId="77777777" w:rsidR="00BE3F39" w:rsidRDefault="00CA5D84">
      <w:r>
        <w:t>Bry, G., &amp; Boschan, C. (1971). *Cyclical Analysis of Time Series: Selected Procedures and Computer Programs*. NBER.</w:t>
      </w:r>
    </w:p>
    <w:p w14:paraId="0AE768B8" w14:textId="77777777" w:rsidR="00BE3F39" w:rsidRDefault="00CA5D84">
      <w:r>
        <w:t>Cashin, P., Céspedes, L. F., &amp; Sahay, R. (2004). Commodity currencies and the real exchange rate. *Journal of Development Economics*, 75(1), 239–268.</w:t>
      </w:r>
    </w:p>
    <w:p w14:paraId="6AA903C1" w14:textId="77777777" w:rsidR="00BE3F39" w:rsidRDefault="00CA5D84">
      <w:r>
        <w:t>Chen, N. F., Roll, R., &amp; Ross, S. A. (1986). Economic forces and the stock market. *The Journal of Business*, 59(3), 383–403.</w:t>
      </w:r>
    </w:p>
    <w:p w14:paraId="7101E3B1" w14:textId="77777777" w:rsidR="00BE3F39" w:rsidRDefault="00CA5D84">
      <w:r>
        <w:t>Chen, Y. C., &amp; Rogoff, K. (2003). Commodity currencies. *Journal of International Economics*, 60(1), 133–160.</w:t>
      </w:r>
    </w:p>
    <w:p w14:paraId="708902AC" w14:textId="77777777" w:rsidR="00BE3F39" w:rsidRDefault="00CA5D84">
      <w:r>
        <w:t>Chen, Y. C., Rogoff, K., &amp; Rossi, B. (2010). Can exchange rates forecast commodity prices? *The Quarterly Journal of Economics*, 125(3), 1145–1194.</w:t>
      </w:r>
    </w:p>
    <w:p w14:paraId="5338669C" w14:textId="77777777" w:rsidR="00BE3F39" w:rsidRDefault="00CA5D84">
      <w:r>
        <w:lastRenderedPageBreak/>
        <w:t>Dickey, D. A., &amp; Fuller, W. A. (1979). Distribution of the estimators for autoregressive time series with a unit root. *Journal of the American Statistical Association*, 74(366), 427–431.</w:t>
      </w:r>
    </w:p>
    <w:p w14:paraId="35C55EB1" w14:textId="77777777" w:rsidR="00BE3F39" w:rsidRDefault="00CA5D84">
      <w:r>
        <w:t>Driscoll, J. C., &amp; Kraay, A. C. (1998). Consistent covariance matrix estimation with spatially dependent panel data. *Review of Economics and Statistics*, 80(4), 549–560.</w:t>
      </w:r>
    </w:p>
    <w:p w14:paraId="6FCE74FB" w14:textId="77777777" w:rsidR="00BE3F39" w:rsidRDefault="00CA5D84">
      <w:r>
        <w:t>Engle, R. F. (1982). Autoregressive conditional heteroscedasticity with estimates of the variance of United Kingdom inflation. *Econometrica*, 50(4), 987–1007.</w:t>
      </w:r>
    </w:p>
    <w:p w14:paraId="5E6AA25D" w14:textId="77777777" w:rsidR="00BE3F39" w:rsidRDefault="00CA5D84">
      <w:r>
        <w:t>Engle, R. F., &amp; Granger, C. W. J. (1987). Co-integration and error correction: Representation, estimation, and testing. *Econometrica*, 55(2), 251–276.</w:t>
      </w:r>
    </w:p>
    <w:p w14:paraId="3BE3BA41" w14:textId="77777777" w:rsidR="00BE3F39" w:rsidRDefault="00CA5D84">
      <w:r>
        <w:t>Errunza, V., &amp; Losq, E. (1985). International asset pricing under mild segmentation: Theory and test. *The Journal of Finance*, 40(1), 105–124.</w:t>
      </w:r>
    </w:p>
    <w:p w14:paraId="2A6D1BBE" w14:textId="77777777" w:rsidR="00BE3F39" w:rsidRDefault="00CA5D84">
      <w:r>
        <w:t>Fama, E. F. (1970). Efficient capital markets: A review of theory and empirical work. *The Journal of Finance*, 25(2), 383–417.</w:t>
      </w:r>
    </w:p>
    <w:p w14:paraId="36CE107B" w14:textId="77777777" w:rsidR="00BE3F39" w:rsidRDefault="00CA5D84">
      <w:r>
        <w:t>Fama, E. F. (1981). Stock returns, real activity, inflation, and money. *The American Economic Review*, 71(4), 545–565.</w:t>
      </w:r>
    </w:p>
    <w:p w14:paraId="1A5B0AF7" w14:textId="77777777" w:rsidR="00BE3F39" w:rsidRDefault="00CA5D84">
      <w:r>
        <w:t>Fama, E. F., &amp; French, K. R. (1989). Business conditions and expected returns on stocks and bonds. *Journal of Financial Economics*, 25(1), 23–49.</w:t>
      </w:r>
    </w:p>
    <w:p w14:paraId="31C055C3" w14:textId="77777777" w:rsidR="00BE3F39" w:rsidRDefault="00CA5D84">
      <w:r>
        <w:t>Harding, D., &amp; Pagan, A. (2002). Dissecting the cycle: A methodological investigation. *Journal of Monetary Economics*, 49(2), 365–381.</w:t>
      </w:r>
    </w:p>
    <w:p w14:paraId="3AA6DDE0" w14:textId="77777777" w:rsidR="00BE3F39" w:rsidRDefault="00CA5D84">
      <w:r>
        <w:t xml:space="preserve">Hamilton, J. D. (1989). A new </w:t>
      </w:r>
      <w:r>
        <w:t>approach to the economic analysis of nonstationary time series and the business cycle. *Econometrica*, 57(2), 357–384.</w:t>
      </w:r>
    </w:p>
    <w:p w14:paraId="2E9AB185" w14:textId="77777777" w:rsidR="00BE3F39" w:rsidRDefault="00CA5D84">
      <w:r>
        <w:t>Im, K. S., Pesaran, M. H., &amp; Shin, Y. (2003). Testing for unit roots in heterogeneous panels. *Journal of Econometrics*, 115(1), 53–74.</w:t>
      </w:r>
    </w:p>
    <w:p w14:paraId="7F98F84E" w14:textId="77777777" w:rsidR="00BE3F39" w:rsidRDefault="00CA5D84">
      <w:r>
        <w:t>Glosten, L. R., Jagannathan, R., &amp; Runkle, D. E. (1993). On the relation between the expected value and the volatility of the nominal excess return on stocks. *The Journal of Finance*, 48(5), 1779–1801.</w:t>
      </w:r>
    </w:p>
    <w:p w14:paraId="2A7AC2FF" w14:textId="77777777" w:rsidR="00BE3F39" w:rsidRDefault="00CA5D84">
      <w:r>
        <w:t>Johansen, S. (1988). Statistical analysis of cointegration vectors. *Journal of Economic Dynamics and Control*, 12(2–3), 231–254.</w:t>
      </w:r>
    </w:p>
    <w:p w14:paraId="42977173" w14:textId="77777777" w:rsidR="00BE3F39" w:rsidRDefault="00CA5D84">
      <w:r>
        <w:lastRenderedPageBreak/>
        <w:t>Jordà, Ò. (2005). Estimation and inference of impulse responses by local projections. *The American Economic Review*, 95(1), 161–182.</w:t>
      </w:r>
    </w:p>
    <w:p w14:paraId="46E82730" w14:textId="77777777" w:rsidR="00BE3F39" w:rsidRDefault="00CA5D84">
      <w:r>
        <w:t>Jorion, P. (1990). The exchange-rate exposure of U.S. multinationals. *The Journal of Business*, 63(3), 331–345.</w:t>
      </w:r>
    </w:p>
    <w:p w14:paraId="5334312E" w14:textId="77777777" w:rsidR="00BE3F39" w:rsidRDefault="00CA5D84">
      <w:r>
        <w:t>Kwiatkowski, D., Phillips, P. C. B., Schmidt, P., &amp; Shin, Y. (1992). Testing the null hypothesis of stationarity against the alternative of a unit root. *Journal of Econometrics*, 54(1–3), 159–178.</w:t>
      </w:r>
    </w:p>
    <w:p w14:paraId="144F9C43" w14:textId="77777777" w:rsidR="00BE3F39" w:rsidRDefault="00CA5D84">
      <w:r>
        <w:t>Labbé, F., &amp; De Gregorio, J. (2011). *Copper, the real exchange rate and macroeconomic fluctuations in Chile* (Working Paper N°640). Banco Central de Chile.</w:t>
      </w:r>
    </w:p>
    <w:p w14:paraId="4D2A750E" w14:textId="77777777" w:rsidR="00BE3F39" w:rsidRDefault="00CA5D84">
      <w:r>
        <w:t>Pedersen, M. (2015). *The impact of commodity price shocks in a major producing economy: The case of copper and Chile* (Working Paper N°753). Banco Central de Chile.</w:t>
      </w:r>
    </w:p>
    <w:p w14:paraId="70D97532" w14:textId="77777777" w:rsidR="00BE3F39" w:rsidRDefault="00CA5D84">
      <w:r>
        <w:t>Pesaran, M. H. (2007). A simple panel unit root test in the presence of cross-section dependence. *Journal of Applied Econometrics*, 22(2), 265–312.</w:t>
      </w:r>
    </w:p>
    <w:p w14:paraId="6171FA92" w14:textId="77777777" w:rsidR="00BE3F39" w:rsidRDefault="00CA5D84">
      <w:r>
        <w:t xml:space="preserve">Pesaran, M. H., &amp; Shin, Y. </w:t>
      </w:r>
      <w:r>
        <w:t>(1998). Generalized impulse response analysis in linear multivariate models. *Economics Letters*, 58(1), 17–29.</w:t>
      </w:r>
    </w:p>
    <w:p w14:paraId="6CA6932B" w14:textId="77777777" w:rsidR="00BE3F39" w:rsidRDefault="00CA5D84">
      <w:r>
        <w:t>Pesaran, M. H., Shin, Y., &amp; Smith, R. J. (2001). Bounds testing approaches to the analysis of level relationships. *Journal of Applied Econometrics*, 16(3), 289–326.</w:t>
      </w:r>
    </w:p>
    <w:p w14:paraId="4D68DA8C" w14:textId="77777777" w:rsidR="00BE3F39" w:rsidRDefault="00CA5D84">
      <w:r>
        <w:t>Phillips, P. C. B., &amp; Perron, P. (1988). Testing for a unit root in time series regression. *Biometrika*, 75(2), 335–346.</w:t>
      </w:r>
    </w:p>
    <w:p w14:paraId="4A950580" w14:textId="77777777" w:rsidR="00BE3F39" w:rsidRDefault="00CA5D84">
      <w:r>
        <w:t>Pincheira, P., &amp; Hardy, N. (2019). Forecasting base metal prices with the Chilean exchange rate. *Resources Policy*, 62, 256–281.</w:t>
      </w:r>
    </w:p>
    <w:p w14:paraId="5200D4C5" w14:textId="77777777" w:rsidR="00BE3F39" w:rsidRDefault="00CA5D84">
      <w:r>
        <w:t>Ross, S. A. (1976). The arbitrage theory of capital asset pricing. *Journal of Economic Theory*, 13(3), 341–360.</w:t>
      </w:r>
    </w:p>
    <w:p w14:paraId="04EF582C" w14:textId="77777777" w:rsidR="00BE3F39" w:rsidRDefault="00CA5D84">
      <w:r>
        <w:t>Sadorsky, P. (2001). Risk factors in stock returns of Canadian oil and gas companies. *Energy Economics*, 23(1), 17–28.</w:t>
      </w:r>
    </w:p>
    <w:p w14:paraId="6D1631D9" w14:textId="77777777" w:rsidR="00BE3F39" w:rsidRDefault="00CA5D84">
      <w:r>
        <w:t>Sims, C. A. (1980). Macroeconomics and reality. *Econometrica*, 48(1), 1–48.</w:t>
      </w:r>
    </w:p>
    <w:p w14:paraId="078355EF" w14:textId="77777777" w:rsidR="00BE3F39" w:rsidRDefault="00CA5D84">
      <w:r>
        <w:lastRenderedPageBreak/>
        <w:t>Wallenstein, T., Mendiola, A., &amp; Chávez-Bedoya, L. (2021). *Analysis of the reaction of mining stocks to the development of copper prices*. Consejo Latinoamericano de Escuelas de Administración (CLADEA).</w:t>
      </w:r>
    </w:p>
    <w:p w14:paraId="54846E4A" w14:textId="77777777" w:rsidR="00BE3F39" w:rsidRDefault="00CA5D84">
      <w:r>
        <w:t>Westerlund, J. (2007). Testing for error correction in panel data. *Oxford Bulletin of Economics and Statistics*, 69(6), 709–748.</w:t>
      </w:r>
    </w:p>
    <w:p w14:paraId="7787FD1F" w14:textId="77777777" w:rsidR="00BE3F39" w:rsidRDefault="00CA5D84">
      <w:r>
        <w:t>Zhu, H., Chen, X., &amp; Chen, B. (2021). Effects of non-ferrous metal prices and uncertainty on industry stock market under different market conditions. *Resources Policy*, 73, 102243.</w:t>
      </w:r>
    </w:p>
    <w:p w14:paraId="37069236" w14:textId="77777777" w:rsidR="00BE3F39" w:rsidRDefault="00CA5D84">
      <w:r>
        <w:t>Zivot, E., &amp; Andrews, D. W. K. (1992). Further evidence on the great crash, the oil-price shock, and the unit-root hypothesis. *Journal of Business &amp; Economic Statistics*, 10(3), 251–270.</w:t>
      </w:r>
    </w:p>
    <w:p w14:paraId="1223F684" w14:textId="77777777" w:rsidR="00BE3F39" w:rsidRDefault="00CA5D84">
      <w:r>
        <w:t>Zurita, S., Fuentes, R., &amp; Gregoire, J. (2005). *Factores macroeconómicos en retornos accionarios chilenos* (Documento de Trabajo N°316). Banco Central de Chile. (Reeditado en *El Trimestre Económico*, 2006.)</w:t>
      </w:r>
    </w:p>
    <w:p w14:paraId="08B4D1B7" w14:textId="77777777" w:rsidR="00BE3F39" w:rsidRDefault="00CA5D84">
      <w:r>
        <w:br w:type="page"/>
      </w:r>
    </w:p>
    <w:p w14:paraId="1BDE0FF5" w14:textId="77777777" w:rsidR="00BE3F39" w:rsidRDefault="00CA5D84">
      <w:pPr>
        <w:pStyle w:val="Ttulo1"/>
      </w:pPr>
      <w:bookmarkStart w:id="67" w:name="_Toc231082818"/>
      <w:r>
        <w:lastRenderedPageBreak/>
        <w:t>Anexos</w:t>
      </w:r>
      <w:bookmarkEnd w:id="67"/>
    </w:p>
    <w:p w14:paraId="3116DF81" w14:textId="77777777" w:rsidR="00BE3F39" w:rsidRDefault="00CA5D84">
      <w:pPr>
        <w:pStyle w:val="Ttulo2"/>
      </w:pPr>
      <w:bookmarkStart w:id="68" w:name="_Toc231082819"/>
      <w:r>
        <w:t>Anexo A. Estadística descriptiva</w:t>
      </w:r>
      <w:bookmarkEnd w:id="68"/>
    </w:p>
    <w:p w14:paraId="558925DD" w14:textId="3482FD00" w:rsidR="00BE3F39" w:rsidRDefault="00CA5D84">
      <w:pPr>
        <w:pStyle w:val="Descripcin"/>
        <w:jc w:val="center"/>
      </w:pPr>
      <w:bookmarkStart w:id="69" w:name="_Toc231082836"/>
      <w:r>
        <w:rPr>
          <w:sz w:val="20"/>
        </w:rPr>
        <w:t xml:space="preserve">Tabla </w:t>
      </w:r>
      <w:r>
        <w:fldChar w:fldCharType="begin"/>
      </w:r>
      <w:r>
        <w:instrText xml:space="preserve"> SEQ Tabla \* ARABIC </w:instrText>
      </w:r>
      <w:r>
        <w:fldChar w:fldCharType="separate"/>
      </w:r>
      <w:r>
        <w:rPr>
          <w:noProof/>
        </w:rPr>
        <w:t>5</w:t>
      </w:r>
      <w:r>
        <w:fldChar w:fldCharType="end"/>
      </w:r>
      <w:r>
        <w:rPr>
          <w:sz w:val="20"/>
        </w:rPr>
        <w:t>.</w:t>
      </w:r>
      <w:bookmarkEnd w:id="69"/>
      <w:r>
        <w:rPr>
          <w:sz w:val="20"/>
        </w:rPr>
        <w:t xml:space="preserve"> </w:t>
      </w:r>
    </w:p>
    <w:tbl>
      <w:tblPr>
        <w:tblStyle w:val="Cuadrculaclara-nfasis1"/>
        <w:tblW w:w="0" w:type="auto"/>
        <w:tblLook w:val="04A0" w:firstRow="1" w:lastRow="0" w:firstColumn="1" w:lastColumn="0" w:noHBand="0" w:noVBand="1"/>
      </w:tblPr>
      <w:tblGrid>
        <w:gridCol w:w="1105"/>
        <w:gridCol w:w="1105"/>
        <w:gridCol w:w="1105"/>
        <w:gridCol w:w="1105"/>
        <w:gridCol w:w="1105"/>
        <w:gridCol w:w="1105"/>
        <w:gridCol w:w="1105"/>
        <w:gridCol w:w="1105"/>
      </w:tblGrid>
      <w:tr w:rsidR="00BE3F39" w14:paraId="62E954BB" w14:textId="77777777" w:rsidTr="00BE3F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097E6C80" w14:textId="77777777" w:rsidR="00BE3F39" w:rsidRDefault="00CA5D84">
            <w:r>
              <w:rPr>
                <w:sz w:val="20"/>
              </w:rPr>
              <w:t>Serie</w:t>
            </w:r>
          </w:p>
        </w:tc>
        <w:tc>
          <w:tcPr>
            <w:tcW w:w="1105" w:type="dxa"/>
          </w:tcPr>
          <w:p w14:paraId="52151C7A"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Media</w:t>
            </w:r>
          </w:p>
        </w:tc>
        <w:tc>
          <w:tcPr>
            <w:tcW w:w="1105" w:type="dxa"/>
          </w:tcPr>
          <w:p w14:paraId="0EF25415"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Desv.</w:t>
            </w:r>
          </w:p>
        </w:tc>
        <w:tc>
          <w:tcPr>
            <w:tcW w:w="1105" w:type="dxa"/>
          </w:tcPr>
          <w:p w14:paraId="0190625B"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Asimetría</w:t>
            </w:r>
          </w:p>
        </w:tc>
        <w:tc>
          <w:tcPr>
            <w:tcW w:w="1105" w:type="dxa"/>
          </w:tcPr>
          <w:p w14:paraId="1B19DD6E"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Curtosis</w:t>
            </w:r>
          </w:p>
        </w:tc>
        <w:tc>
          <w:tcPr>
            <w:tcW w:w="1105" w:type="dxa"/>
          </w:tcPr>
          <w:p w14:paraId="4A508A6C"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Mín</w:t>
            </w:r>
          </w:p>
        </w:tc>
        <w:tc>
          <w:tcPr>
            <w:tcW w:w="1105" w:type="dxa"/>
          </w:tcPr>
          <w:p w14:paraId="0EDB1ED3"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Máx</w:t>
            </w:r>
          </w:p>
        </w:tc>
        <w:tc>
          <w:tcPr>
            <w:tcW w:w="1105" w:type="dxa"/>
          </w:tcPr>
          <w:p w14:paraId="073A4EAF"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N</w:t>
            </w:r>
          </w:p>
        </w:tc>
      </w:tr>
      <w:tr w:rsidR="00BE3F39" w14:paraId="22B071CB"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2C647CE0" w14:textId="77777777" w:rsidR="00BE3F39" w:rsidRDefault="00CA5D84">
            <w:r>
              <w:rPr>
                <w:sz w:val="20"/>
              </w:rPr>
              <w:t>Cartera B</w:t>
            </w:r>
          </w:p>
        </w:tc>
        <w:tc>
          <w:tcPr>
            <w:tcW w:w="1105" w:type="dxa"/>
          </w:tcPr>
          <w:p w14:paraId="26176947"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0.0068</w:t>
            </w:r>
          </w:p>
        </w:tc>
        <w:tc>
          <w:tcPr>
            <w:tcW w:w="1105" w:type="dxa"/>
          </w:tcPr>
          <w:p w14:paraId="6B2EA2B4"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0.1072</w:t>
            </w:r>
          </w:p>
        </w:tc>
        <w:tc>
          <w:tcPr>
            <w:tcW w:w="1105" w:type="dxa"/>
          </w:tcPr>
          <w:p w14:paraId="7724D264"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-0.3391</w:t>
            </w:r>
          </w:p>
        </w:tc>
        <w:tc>
          <w:tcPr>
            <w:tcW w:w="1105" w:type="dxa"/>
          </w:tcPr>
          <w:p w14:paraId="5AA84209"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1.8418</w:t>
            </w:r>
          </w:p>
        </w:tc>
        <w:tc>
          <w:tcPr>
            <w:tcW w:w="1105" w:type="dxa"/>
          </w:tcPr>
          <w:p w14:paraId="03FA28EB"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-0.4371</w:t>
            </w:r>
          </w:p>
        </w:tc>
        <w:tc>
          <w:tcPr>
            <w:tcW w:w="1105" w:type="dxa"/>
          </w:tcPr>
          <w:p w14:paraId="2F006416"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0.3894</w:t>
            </w:r>
          </w:p>
        </w:tc>
        <w:tc>
          <w:tcPr>
            <w:tcW w:w="1105" w:type="dxa"/>
          </w:tcPr>
          <w:p w14:paraId="3D0C79FB"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251.0000</w:t>
            </w:r>
          </w:p>
        </w:tc>
      </w:tr>
      <w:tr w:rsidR="00BE3F39" w14:paraId="2991746B"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660A49E4" w14:textId="77777777" w:rsidR="00BE3F39" w:rsidRDefault="00CA5D84">
            <w:r>
              <w:rPr>
                <w:sz w:val="20"/>
              </w:rPr>
              <w:t>Pucobre (A)</w:t>
            </w:r>
          </w:p>
        </w:tc>
        <w:tc>
          <w:tcPr>
            <w:tcW w:w="1105" w:type="dxa"/>
          </w:tcPr>
          <w:p w14:paraId="33C1A52B"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0.0065</w:t>
            </w:r>
          </w:p>
        </w:tc>
        <w:tc>
          <w:tcPr>
            <w:tcW w:w="1105" w:type="dxa"/>
          </w:tcPr>
          <w:p w14:paraId="26EA2755"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0.0807</w:t>
            </w:r>
          </w:p>
        </w:tc>
        <w:tc>
          <w:tcPr>
            <w:tcW w:w="1105" w:type="dxa"/>
          </w:tcPr>
          <w:p w14:paraId="7FF3B101"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0.3730</w:t>
            </w:r>
          </w:p>
        </w:tc>
        <w:tc>
          <w:tcPr>
            <w:tcW w:w="1105" w:type="dxa"/>
          </w:tcPr>
          <w:p w14:paraId="42DA7E5B"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4.5009</w:t>
            </w:r>
          </w:p>
        </w:tc>
        <w:tc>
          <w:tcPr>
            <w:tcW w:w="1105" w:type="dxa"/>
          </w:tcPr>
          <w:p w14:paraId="532E40CC"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-0.3711</w:t>
            </w:r>
          </w:p>
        </w:tc>
        <w:tc>
          <w:tcPr>
            <w:tcW w:w="1105" w:type="dxa"/>
          </w:tcPr>
          <w:p w14:paraId="3078C6D9"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0.3300</w:t>
            </w:r>
          </w:p>
        </w:tc>
        <w:tc>
          <w:tcPr>
            <w:tcW w:w="1105" w:type="dxa"/>
          </w:tcPr>
          <w:p w14:paraId="24714C86"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251.0000</w:t>
            </w:r>
          </w:p>
        </w:tc>
      </w:tr>
      <w:tr w:rsidR="00BE3F39" w14:paraId="069C4F60"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4C2BE824" w14:textId="77777777" w:rsidR="00BE3F39" w:rsidRDefault="00CA5D84">
            <w:r>
              <w:rPr>
                <w:sz w:val="20"/>
              </w:rPr>
              <w:t>Cartera C</w:t>
            </w:r>
          </w:p>
        </w:tc>
        <w:tc>
          <w:tcPr>
            <w:tcW w:w="1105" w:type="dxa"/>
          </w:tcPr>
          <w:p w14:paraId="4B757A8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0.0084</w:t>
            </w:r>
          </w:p>
        </w:tc>
        <w:tc>
          <w:tcPr>
            <w:tcW w:w="1105" w:type="dxa"/>
          </w:tcPr>
          <w:p w14:paraId="74EB6C61"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0.0671</w:t>
            </w:r>
          </w:p>
        </w:tc>
        <w:tc>
          <w:tcPr>
            <w:tcW w:w="1105" w:type="dxa"/>
          </w:tcPr>
          <w:p w14:paraId="06A9BA6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-0.3588</w:t>
            </w:r>
          </w:p>
        </w:tc>
        <w:tc>
          <w:tcPr>
            <w:tcW w:w="1105" w:type="dxa"/>
          </w:tcPr>
          <w:p w14:paraId="3861C4BC"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0.9823</w:t>
            </w:r>
          </w:p>
        </w:tc>
        <w:tc>
          <w:tcPr>
            <w:tcW w:w="1105" w:type="dxa"/>
          </w:tcPr>
          <w:p w14:paraId="19C531AC"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-0.2302</w:t>
            </w:r>
          </w:p>
        </w:tc>
        <w:tc>
          <w:tcPr>
            <w:tcW w:w="1105" w:type="dxa"/>
          </w:tcPr>
          <w:p w14:paraId="3D0F510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0.2005</w:t>
            </w:r>
          </w:p>
        </w:tc>
        <w:tc>
          <w:tcPr>
            <w:tcW w:w="1105" w:type="dxa"/>
          </w:tcPr>
          <w:p w14:paraId="0FA34BB6"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251.0000</w:t>
            </w:r>
          </w:p>
        </w:tc>
      </w:tr>
      <w:tr w:rsidR="00BE3F39" w14:paraId="2F58E255"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359DC994" w14:textId="77777777" w:rsidR="00BE3F39" w:rsidRDefault="00CA5D84">
            <w:r>
              <w:rPr>
                <w:sz w:val="20"/>
              </w:rPr>
              <w:t>Δ Cobre</w:t>
            </w:r>
          </w:p>
        </w:tc>
        <w:tc>
          <w:tcPr>
            <w:tcW w:w="1105" w:type="dxa"/>
          </w:tcPr>
          <w:p w14:paraId="014AF2FC"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0.0052</w:t>
            </w:r>
          </w:p>
        </w:tc>
        <w:tc>
          <w:tcPr>
            <w:tcW w:w="1105" w:type="dxa"/>
          </w:tcPr>
          <w:p w14:paraId="33585436"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0.0652</w:t>
            </w:r>
          </w:p>
        </w:tc>
        <w:tc>
          <w:tcPr>
            <w:tcW w:w="1105" w:type="dxa"/>
          </w:tcPr>
          <w:p w14:paraId="5EA36AF7"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-0.7737</w:t>
            </w:r>
          </w:p>
        </w:tc>
        <w:tc>
          <w:tcPr>
            <w:tcW w:w="1105" w:type="dxa"/>
          </w:tcPr>
          <w:p w14:paraId="3E4B78C9"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5.4469</w:t>
            </w:r>
          </w:p>
        </w:tc>
        <w:tc>
          <w:tcPr>
            <w:tcW w:w="1105" w:type="dxa"/>
          </w:tcPr>
          <w:p w14:paraId="70657A27"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-0.3542</w:t>
            </w:r>
          </w:p>
        </w:tc>
        <w:tc>
          <w:tcPr>
            <w:tcW w:w="1105" w:type="dxa"/>
          </w:tcPr>
          <w:p w14:paraId="000C20C9"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0.2298</w:t>
            </w:r>
          </w:p>
        </w:tc>
        <w:tc>
          <w:tcPr>
            <w:tcW w:w="1105" w:type="dxa"/>
          </w:tcPr>
          <w:p w14:paraId="6C5260C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251.0000</w:t>
            </w:r>
          </w:p>
        </w:tc>
      </w:tr>
      <w:tr w:rsidR="00BE3F39" w14:paraId="30F9EB47"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7FEFA52D" w14:textId="77777777" w:rsidR="00BE3F39" w:rsidRDefault="00CA5D84">
            <w:r>
              <w:rPr>
                <w:sz w:val="20"/>
              </w:rPr>
              <w:t>Δ VIX</w:t>
            </w:r>
          </w:p>
        </w:tc>
        <w:tc>
          <w:tcPr>
            <w:tcW w:w="1105" w:type="dxa"/>
          </w:tcPr>
          <w:p w14:paraId="27A0A86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0.0029</w:t>
            </w:r>
          </w:p>
        </w:tc>
        <w:tc>
          <w:tcPr>
            <w:tcW w:w="1105" w:type="dxa"/>
          </w:tcPr>
          <w:p w14:paraId="596A722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5.1869</w:t>
            </w:r>
          </w:p>
        </w:tc>
        <w:tc>
          <w:tcPr>
            <w:tcW w:w="1105" w:type="dxa"/>
          </w:tcPr>
          <w:p w14:paraId="63AB2FF7"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0.4442</w:t>
            </w:r>
          </w:p>
        </w:tc>
        <w:tc>
          <w:tcPr>
            <w:tcW w:w="1105" w:type="dxa"/>
          </w:tcPr>
          <w:p w14:paraId="395C0E18"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3.6313</w:t>
            </w:r>
          </w:p>
        </w:tc>
        <w:tc>
          <w:tcPr>
            <w:tcW w:w="1105" w:type="dxa"/>
          </w:tcPr>
          <w:p w14:paraId="1B956FC2"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-19.3900</w:t>
            </w:r>
          </w:p>
        </w:tc>
        <w:tc>
          <w:tcPr>
            <w:tcW w:w="1105" w:type="dxa"/>
          </w:tcPr>
          <w:p w14:paraId="4EED326D"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21.2700</w:t>
            </w:r>
          </w:p>
        </w:tc>
        <w:tc>
          <w:tcPr>
            <w:tcW w:w="1105" w:type="dxa"/>
          </w:tcPr>
          <w:p w14:paraId="7CB46E57"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251.0000</w:t>
            </w:r>
          </w:p>
        </w:tc>
      </w:tr>
      <w:tr w:rsidR="00BE3F39" w14:paraId="2F571028"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7EC3DD61" w14:textId="77777777" w:rsidR="00BE3F39" w:rsidRDefault="00CA5D84">
            <w:r>
              <w:rPr>
                <w:sz w:val="20"/>
              </w:rPr>
              <w:t>Δ Fed Funds</w:t>
            </w:r>
          </w:p>
        </w:tc>
        <w:tc>
          <w:tcPr>
            <w:tcW w:w="1105" w:type="dxa"/>
          </w:tcPr>
          <w:p w14:paraId="3B10C33B"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0.0139</w:t>
            </w:r>
          </w:p>
        </w:tc>
        <w:tc>
          <w:tcPr>
            <w:tcW w:w="1105" w:type="dxa"/>
          </w:tcPr>
          <w:p w14:paraId="0D1E84FB"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0.1746</w:t>
            </w:r>
          </w:p>
        </w:tc>
        <w:tc>
          <w:tcPr>
            <w:tcW w:w="1105" w:type="dxa"/>
          </w:tcPr>
          <w:p w14:paraId="66E03CCA"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-1.5083</w:t>
            </w:r>
          </w:p>
        </w:tc>
        <w:tc>
          <w:tcPr>
            <w:tcW w:w="1105" w:type="dxa"/>
          </w:tcPr>
          <w:p w14:paraId="438906A5"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11.1211</w:t>
            </w:r>
          </w:p>
        </w:tc>
        <w:tc>
          <w:tcPr>
            <w:tcW w:w="1105" w:type="dxa"/>
          </w:tcPr>
          <w:p w14:paraId="7AD0CC0B"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-0.9600</w:t>
            </w:r>
          </w:p>
        </w:tc>
        <w:tc>
          <w:tcPr>
            <w:tcW w:w="1105" w:type="dxa"/>
          </w:tcPr>
          <w:p w14:paraId="3730B59C"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0.7000</w:t>
            </w:r>
          </w:p>
        </w:tc>
        <w:tc>
          <w:tcPr>
            <w:tcW w:w="1105" w:type="dxa"/>
          </w:tcPr>
          <w:p w14:paraId="62B40600"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251.0000</w:t>
            </w:r>
          </w:p>
        </w:tc>
      </w:tr>
      <w:tr w:rsidR="00BE3F39" w14:paraId="1B0F7994"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3A13A66C" w14:textId="77777777" w:rsidR="00BE3F39" w:rsidRDefault="00CA5D84">
            <w:r>
              <w:rPr>
                <w:sz w:val="20"/>
              </w:rPr>
              <w:t>Δ Treasury 10Y</w:t>
            </w:r>
          </w:p>
        </w:tc>
        <w:tc>
          <w:tcPr>
            <w:tcW w:w="1105" w:type="dxa"/>
          </w:tcPr>
          <w:p w14:paraId="1EE4598C"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0.0017</w:t>
            </w:r>
          </w:p>
        </w:tc>
        <w:tc>
          <w:tcPr>
            <w:tcW w:w="1105" w:type="dxa"/>
          </w:tcPr>
          <w:p w14:paraId="394C214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0.2521</w:t>
            </w:r>
          </w:p>
        </w:tc>
        <w:tc>
          <w:tcPr>
            <w:tcW w:w="1105" w:type="dxa"/>
          </w:tcPr>
          <w:p w14:paraId="38A6982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-0.1802</w:t>
            </w:r>
          </w:p>
        </w:tc>
        <w:tc>
          <w:tcPr>
            <w:tcW w:w="1105" w:type="dxa"/>
          </w:tcPr>
          <w:p w14:paraId="6A291DA9"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1.1698</w:t>
            </w:r>
          </w:p>
        </w:tc>
        <w:tc>
          <w:tcPr>
            <w:tcW w:w="1105" w:type="dxa"/>
          </w:tcPr>
          <w:p w14:paraId="4663CD63"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-1.0800</w:t>
            </w:r>
          </w:p>
        </w:tc>
        <w:tc>
          <w:tcPr>
            <w:tcW w:w="1105" w:type="dxa"/>
          </w:tcPr>
          <w:p w14:paraId="7DCB2581"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0.6800</w:t>
            </w:r>
          </w:p>
        </w:tc>
        <w:tc>
          <w:tcPr>
            <w:tcW w:w="1105" w:type="dxa"/>
          </w:tcPr>
          <w:p w14:paraId="756ABE32"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251.0000</w:t>
            </w:r>
          </w:p>
        </w:tc>
      </w:tr>
      <w:tr w:rsidR="00BE3F39" w14:paraId="491A7BB2"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3BB7EE85" w14:textId="77777777" w:rsidR="00BE3F39" w:rsidRDefault="00CA5D84">
            <w:r>
              <w:rPr>
                <w:sz w:val="20"/>
              </w:rPr>
              <w:t>Δ TC CLP</w:t>
            </w:r>
          </w:p>
        </w:tc>
        <w:tc>
          <w:tcPr>
            <w:tcW w:w="1105" w:type="dxa"/>
          </w:tcPr>
          <w:p w14:paraId="1A46304C"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-0.0005</w:t>
            </w:r>
          </w:p>
        </w:tc>
        <w:tc>
          <w:tcPr>
            <w:tcW w:w="1105" w:type="dxa"/>
          </w:tcPr>
          <w:p w14:paraId="11B78E22"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0.0106</w:t>
            </w:r>
          </w:p>
        </w:tc>
        <w:tc>
          <w:tcPr>
            <w:tcW w:w="1105" w:type="dxa"/>
          </w:tcPr>
          <w:p w14:paraId="49D45C82"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0.6460</w:t>
            </w:r>
          </w:p>
        </w:tc>
        <w:tc>
          <w:tcPr>
            <w:tcW w:w="1105" w:type="dxa"/>
          </w:tcPr>
          <w:p w14:paraId="72EDBCDE"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2.5948</w:t>
            </w:r>
          </w:p>
        </w:tc>
        <w:tc>
          <w:tcPr>
            <w:tcW w:w="1105" w:type="dxa"/>
          </w:tcPr>
          <w:p w14:paraId="25738218"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-0.0347</w:t>
            </w:r>
          </w:p>
        </w:tc>
        <w:tc>
          <w:tcPr>
            <w:tcW w:w="1105" w:type="dxa"/>
          </w:tcPr>
          <w:p w14:paraId="5B52867E"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0.0415</w:t>
            </w:r>
          </w:p>
        </w:tc>
        <w:tc>
          <w:tcPr>
            <w:tcW w:w="1105" w:type="dxa"/>
          </w:tcPr>
          <w:p w14:paraId="07FE7D53"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251.0000</w:t>
            </w:r>
          </w:p>
        </w:tc>
      </w:tr>
      <w:tr w:rsidR="00BE3F39" w14:paraId="583513D8"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18082B64" w14:textId="77777777" w:rsidR="00BE3F39" w:rsidRDefault="00CA5D84">
            <w:r>
              <w:rPr>
                <w:sz w:val="20"/>
              </w:rPr>
              <w:t>Δ Tasa local</w:t>
            </w:r>
          </w:p>
        </w:tc>
        <w:tc>
          <w:tcPr>
            <w:tcW w:w="1105" w:type="dxa"/>
          </w:tcPr>
          <w:p w14:paraId="0C7558F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0.0100</w:t>
            </w:r>
          </w:p>
        </w:tc>
        <w:tc>
          <w:tcPr>
            <w:tcW w:w="1105" w:type="dxa"/>
          </w:tcPr>
          <w:p w14:paraId="0CE3F4EC"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0.3887</w:t>
            </w:r>
          </w:p>
        </w:tc>
        <w:tc>
          <w:tcPr>
            <w:tcW w:w="1105" w:type="dxa"/>
          </w:tcPr>
          <w:p w14:paraId="2037C3C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-1.3252</w:t>
            </w:r>
          </w:p>
        </w:tc>
        <w:tc>
          <w:tcPr>
            <w:tcW w:w="1105" w:type="dxa"/>
          </w:tcPr>
          <w:p w14:paraId="165D5134"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8.9593</w:t>
            </w:r>
          </w:p>
        </w:tc>
        <w:tc>
          <w:tcPr>
            <w:tcW w:w="1105" w:type="dxa"/>
          </w:tcPr>
          <w:p w14:paraId="1500F11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-2.3100</w:t>
            </w:r>
          </w:p>
        </w:tc>
        <w:tc>
          <w:tcPr>
            <w:tcW w:w="1105" w:type="dxa"/>
          </w:tcPr>
          <w:p w14:paraId="602CBCFD"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1.1824</w:t>
            </w:r>
          </w:p>
        </w:tc>
        <w:tc>
          <w:tcPr>
            <w:tcW w:w="1105" w:type="dxa"/>
          </w:tcPr>
          <w:p w14:paraId="2F5B2F5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225.0000</w:t>
            </w:r>
          </w:p>
        </w:tc>
      </w:tr>
      <w:tr w:rsidR="00BE3F39" w14:paraId="7194B92D"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0747387D" w14:textId="77777777" w:rsidR="00BE3F39" w:rsidRDefault="00CA5D84">
            <w:r>
              <w:rPr>
                <w:sz w:val="20"/>
              </w:rPr>
              <w:t>Δ Actividad local</w:t>
            </w:r>
          </w:p>
        </w:tc>
        <w:tc>
          <w:tcPr>
            <w:tcW w:w="1105" w:type="dxa"/>
          </w:tcPr>
          <w:p w14:paraId="524EBFEB"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0.0010</w:t>
            </w:r>
          </w:p>
        </w:tc>
        <w:tc>
          <w:tcPr>
            <w:tcW w:w="1105" w:type="dxa"/>
          </w:tcPr>
          <w:p w14:paraId="3225702A"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0.0207</w:t>
            </w:r>
          </w:p>
        </w:tc>
        <w:tc>
          <w:tcPr>
            <w:tcW w:w="1105" w:type="dxa"/>
          </w:tcPr>
          <w:p w14:paraId="614CD445"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0.1473</w:t>
            </w:r>
          </w:p>
        </w:tc>
        <w:tc>
          <w:tcPr>
            <w:tcW w:w="1105" w:type="dxa"/>
          </w:tcPr>
          <w:p w14:paraId="5B78532D"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3.9632</w:t>
            </w:r>
          </w:p>
        </w:tc>
        <w:tc>
          <w:tcPr>
            <w:tcW w:w="1105" w:type="dxa"/>
          </w:tcPr>
          <w:p w14:paraId="321BC5B5"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-0.0965</w:t>
            </w:r>
          </w:p>
        </w:tc>
        <w:tc>
          <w:tcPr>
            <w:tcW w:w="1105" w:type="dxa"/>
          </w:tcPr>
          <w:p w14:paraId="6E7C7ADB"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0.1045</w:t>
            </w:r>
          </w:p>
        </w:tc>
        <w:tc>
          <w:tcPr>
            <w:tcW w:w="1105" w:type="dxa"/>
          </w:tcPr>
          <w:p w14:paraId="3882160D"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242.0000</w:t>
            </w:r>
          </w:p>
        </w:tc>
      </w:tr>
    </w:tbl>
    <w:p w14:paraId="7190E5FC" w14:textId="77777777" w:rsidR="00BE3F39" w:rsidRDefault="00BE3F39"/>
    <w:p w14:paraId="5ED3F173" w14:textId="77777777" w:rsidR="00BE3F39" w:rsidRDefault="00CA5D84">
      <w:pPr>
        <w:pStyle w:val="Ttulo2"/>
      </w:pPr>
      <w:bookmarkStart w:id="70" w:name="_Toc231082820"/>
      <w:r>
        <w:t xml:space="preserve">Anexo B. </w:t>
      </w:r>
      <w:r>
        <w:t>Matriz de correlación de los factores</w:t>
      </w:r>
      <w:bookmarkEnd w:id="70"/>
    </w:p>
    <w:p w14:paraId="03E2C131" w14:textId="7AA39E21" w:rsidR="00BE3F39" w:rsidRDefault="00CA5D84">
      <w:pPr>
        <w:pStyle w:val="Descripcin"/>
        <w:jc w:val="center"/>
      </w:pPr>
      <w:bookmarkStart w:id="71" w:name="_Toc231082837"/>
      <w:r>
        <w:rPr>
          <w:sz w:val="20"/>
        </w:rPr>
        <w:t xml:space="preserve">Tabla </w:t>
      </w:r>
      <w:r>
        <w:fldChar w:fldCharType="begin"/>
      </w:r>
      <w:r>
        <w:instrText xml:space="preserve"> SEQ Tabla \* ARABIC </w:instrText>
      </w:r>
      <w:r>
        <w:fldChar w:fldCharType="separate"/>
      </w:r>
      <w:r>
        <w:rPr>
          <w:noProof/>
        </w:rPr>
        <w:t>6</w:t>
      </w:r>
      <w:r>
        <w:fldChar w:fldCharType="end"/>
      </w:r>
      <w:r>
        <w:rPr>
          <w:sz w:val="20"/>
        </w:rPr>
        <w:t>.</w:t>
      </w:r>
      <w:bookmarkEnd w:id="71"/>
      <w:r>
        <w:rPr>
          <w:sz w:val="20"/>
        </w:rPr>
        <w:t xml:space="preserve"> </w:t>
      </w:r>
    </w:p>
    <w:tbl>
      <w:tblPr>
        <w:tblStyle w:val="Cuadrculaclara-nfasis1"/>
        <w:tblW w:w="0" w:type="auto"/>
        <w:tblLook w:val="04A0" w:firstRow="1" w:lastRow="0" w:firstColumn="1" w:lastColumn="0" w:noHBand="0" w:noVBand="1"/>
      </w:tblPr>
      <w:tblGrid>
        <w:gridCol w:w="1050"/>
        <w:gridCol w:w="982"/>
        <w:gridCol w:w="982"/>
        <w:gridCol w:w="982"/>
        <w:gridCol w:w="982"/>
        <w:gridCol w:w="1005"/>
        <w:gridCol w:w="982"/>
        <w:gridCol w:w="982"/>
        <w:gridCol w:w="1050"/>
      </w:tblGrid>
      <w:tr w:rsidR="00BE3F39" w14:paraId="1F27D12A" w14:textId="77777777" w:rsidTr="00BE3F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2D1A244F" w14:textId="77777777" w:rsidR="00BE3F39" w:rsidRDefault="00BE3F39"/>
        </w:tc>
        <w:tc>
          <w:tcPr>
            <w:tcW w:w="982" w:type="dxa"/>
          </w:tcPr>
          <w:p w14:paraId="5EEFA451"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Retorno cartera</w:t>
            </w:r>
          </w:p>
        </w:tc>
        <w:tc>
          <w:tcPr>
            <w:tcW w:w="982" w:type="dxa"/>
          </w:tcPr>
          <w:p w14:paraId="2A7FAB6B"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Δ Cobre</w:t>
            </w:r>
          </w:p>
        </w:tc>
        <w:tc>
          <w:tcPr>
            <w:tcW w:w="982" w:type="dxa"/>
          </w:tcPr>
          <w:p w14:paraId="7EDFE23D"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Δ VIX</w:t>
            </w:r>
          </w:p>
        </w:tc>
        <w:tc>
          <w:tcPr>
            <w:tcW w:w="982" w:type="dxa"/>
          </w:tcPr>
          <w:p w14:paraId="6DF72B1A"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Δ Fed Funds</w:t>
            </w:r>
          </w:p>
        </w:tc>
        <w:tc>
          <w:tcPr>
            <w:tcW w:w="982" w:type="dxa"/>
          </w:tcPr>
          <w:p w14:paraId="3E3D88D8"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Δ Treasury 10Y</w:t>
            </w:r>
          </w:p>
        </w:tc>
        <w:tc>
          <w:tcPr>
            <w:tcW w:w="982" w:type="dxa"/>
          </w:tcPr>
          <w:p w14:paraId="59B79ECF"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Δ TC CLP</w:t>
            </w:r>
          </w:p>
        </w:tc>
        <w:tc>
          <w:tcPr>
            <w:tcW w:w="982" w:type="dxa"/>
          </w:tcPr>
          <w:p w14:paraId="74544AF4"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Δ Tasa local</w:t>
            </w:r>
          </w:p>
        </w:tc>
        <w:tc>
          <w:tcPr>
            <w:tcW w:w="982" w:type="dxa"/>
          </w:tcPr>
          <w:p w14:paraId="60CC7816"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Δ Actividad local</w:t>
            </w:r>
          </w:p>
        </w:tc>
      </w:tr>
      <w:tr w:rsidR="00BE3F39" w14:paraId="5BA559FC"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559004AF" w14:textId="77777777" w:rsidR="00BE3F39" w:rsidRDefault="00CA5D84">
            <w:r>
              <w:rPr>
                <w:sz w:val="20"/>
              </w:rPr>
              <w:lastRenderedPageBreak/>
              <w:t>Retorno cartera</w:t>
            </w:r>
          </w:p>
        </w:tc>
        <w:tc>
          <w:tcPr>
            <w:tcW w:w="982" w:type="dxa"/>
          </w:tcPr>
          <w:p w14:paraId="111091E8"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1.0000</w:t>
            </w:r>
          </w:p>
        </w:tc>
        <w:tc>
          <w:tcPr>
            <w:tcW w:w="982" w:type="dxa"/>
          </w:tcPr>
          <w:p w14:paraId="43BA2D13"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0.3962</w:t>
            </w:r>
          </w:p>
        </w:tc>
        <w:tc>
          <w:tcPr>
            <w:tcW w:w="982" w:type="dxa"/>
          </w:tcPr>
          <w:p w14:paraId="586009CB"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-0.4199</w:t>
            </w:r>
          </w:p>
        </w:tc>
        <w:tc>
          <w:tcPr>
            <w:tcW w:w="982" w:type="dxa"/>
          </w:tcPr>
          <w:p w14:paraId="77648D0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0.0301</w:t>
            </w:r>
          </w:p>
        </w:tc>
        <w:tc>
          <w:tcPr>
            <w:tcW w:w="982" w:type="dxa"/>
          </w:tcPr>
          <w:p w14:paraId="678449E5"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0.1167</w:t>
            </w:r>
          </w:p>
        </w:tc>
        <w:tc>
          <w:tcPr>
            <w:tcW w:w="982" w:type="dxa"/>
          </w:tcPr>
          <w:p w14:paraId="5913C11D"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-0.2938</w:t>
            </w:r>
          </w:p>
        </w:tc>
        <w:tc>
          <w:tcPr>
            <w:tcW w:w="982" w:type="dxa"/>
          </w:tcPr>
          <w:p w14:paraId="65E45717"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-0.0938</w:t>
            </w:r>
          </w:p>
        </w:tc>
        <w:tc>
          <w:tcPr>
            <w:tcW w:w="982" w:type="dxa"/>
          </w:tcPr>
          <w:p w14:paraId="03EDFA3B"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-0.0623</w:t>
            </w:r>
          </w:p>
        </w:tc>
      </w:tr>
      <w:tr w:rsidR="00BE3F39" w14:paraId="3C611C51"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717A0D5B" w14:textId="77777777" w:rsidR="00BE3F39" w:rsidRDefault="00CA5D84">
            <w:r>
              <w:rPr>
                <w:sz w:val="20"/>
              </w:rPr>
              <w:t xml:space="preserve">Δ </w:t>
            </w:r>
            <w:r>
              <w:rPr>
                <w:sz w:val="20"/>
              </w:rPr>
              <w:t>Cobre</w:t>
            </w:r>
          </w:p>
        </w:tc>
        <w:tc>
          <w:tcPr>
            <w:tcW w:w="982" w:type="dxa"/>
          </w:tcPr>
          <w:p w14:paraId="725F6314"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0.3962</w:t>
            </w:r>
          </w:p>
        </w:tc>
        <w:tc>
          <w:tcPr>
            <w:tcW w:w="982" w:type="dxa"/>
          </w:tcPr>
          <w:p w14:paraId="5068DC64"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1.0000</w:t>
            </w:r>
          </w:p>
        </w:tc>
        <w:tc>
          <w:tcPr>
            <w:tcW w:w="982" w:type="dxa"/>
          </w:tcPr>
          <w:p w14:paraId="61DBD858"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-0.0451</w:t>
            </w:r>
          </w:p>
        </w:tc>
        <w:tc>
          <w:tcPr>
            <w:tcW w:w="982" w:type="dxa"/>
          </w:tcPr>
          <w:p w14:paraId="4A079703"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0.0495</w:t>
            </w:r>
          </w:p>
        </w:tc>
        <w:tc>
          <w:tcPr>
            <w:tcW w:w="982" w:type="dxa"/>
          </w:tcPr>
          <w:p w14:paraId="20392F46"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0.1716</w:t>
            </w:r>
          </w:p>
        </w:tc>
        <w:tc>
          <w:tcPr>
            <w:tcW w:w="982" w:type="dxa"/>
          </w:tcPr>
          <w:p w14:paraId="4CD75A75"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-0.2339</w:t>
            </w:r>
          </w:p>
        </w:tc>
        <w:tc>
          <w:tcPr>
            <w:tcW w:w="982" w:type="dxa"/>
          </w:tcPr>
          <w:p w14:paraId="7CB62606"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-0.0971</w:t>
            </w:r>
          </w:p>
        </w:tc>
        <w:tc>
          <w:tcPr>
            <w:tcW w:w="982" w:type="dxa"/>
          </w:tcPr>
          <w:p w14:paraId="72DDA71E"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0.0276</w:t>
            </w:r>
          </w:p>
        </w:tc>
      </w:tr>
      <w:tr w:rsidR="00BE3F39" w14:paraId="6C3DD495"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748810FC" w14:textId="77777777" w:rsidR="00BE3F39" w:rsidRDefault="00CA5D84">
            <w:r>
              <w:rPr>
                <w:sz w:val="20"/>
              </w:rPr>
              <w:t>Δ VIX</w:t>
            </w:r>
          </w:p>
        </w:tc>
        <w:tc>
          <w:tcPr>
            <w:tcW w:w="982" w:type="dxa"/>
          </w:tcPr>
          <w:p w14:paraId="23009147"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-0.4199</w:t>
            </w:r>
          </w:p>
        </w:tc>
        <w:tc>
          <w:tcPr>
            <w:tcW w:w="982" w:type="dxa"/>
          </w:tcPr>
          <w:p w14:paraId="67D222D6"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-0.0451</w:t>
            </w:r>
          </w:p>
        </w:tc>
        <w:tc>
          <w:tcPr>
            <w:tcW w:w="982" w:type="dxa"/>
          </w:tcPr>
          <w:p w14:paraId="038F67FA"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1.0000</w:t>
            </w:r>
          </w:p>
        </w:tc>
        <w:tc>
          <w:tcPr>
            <w:tcW w:w="982" w:type="dxa"/>
          </w:tcPr>
          <w:p w14:paraId="2F949B71"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-0.0009</w:t>
            </w:r>
          </w:p>
        </w:tc>
        <w:tc>
          <w:tcPr>
            <w:tcW w:w="982" w:type="dxa"/>
          </w:tcPr>
          <w:p w14:paraId="731C0BAC"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-0.0659</w:t>
            </w:r>
          </w:p>
        </w:tc>
        <w:tc>
          <w:tcPr>
            <w:tcW w:w="982" w:type="dxa"/>
          </w:tcPr>
          <w:p w14:paraId="15F8CC95"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0.1781</w:t>
            </w:r>
          </w:p>
        </w:tc>
        <w:tc>
          <w:tcPr>
            <w:tcW w:w="982" w:type="dxa"/>
          </w:tcPr>
          <w:p w14:paraId="04CD36CA"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0.0879</w:t>
            </w:r>
          </w:p>
        </w:tc>
        <w:tc>
          <w:tcPr>
            <w:tcW w:w="982" w:type="dxa"/>
          </w:tcPr>
          <w:p w14:paraId="4FBBA1D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-0.0537</w:t>
            </w:r>
          </w:p>
        </w:tc>
      </w:tr>
      <w:tr w:rsidR="00BE3F39" w14:paraId="0EBB06F8"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1B11398A" w14:textId="77777777" w:rsidR="00BE3F39" w:rsidRDefault="00CA5D84">
            <w:r>
              <w:rPr>
                <w:sz w:val="20"/>
              </w:rPr>
              <w:t>Δ Fed Funds</w:t>
            </w:r>
          </w:p>
        </w:tc>
        <w:tc>
          <w:tcPr>
            <w:tcW w:w="982" w:type="dxa"/>
          </w:tcPr>
          <w:p w14:paraId="7ED91BB3"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0.0301</w:t>
            </w:r>
          </w:p>
        </w:tc>
        <w:tc>
          <w:tcPr>
            <w:tcW w:w="982" w:type="dxa"/>
          </w:tcPr>
          <w:p w14:paraId="6A08A78C"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0.0495</w:t>
            </w:r>
          </w:p>
        </w:tc>
        <w:tc>
          <w:tcPr>
            <w:tcW w:w="982" w:type="dxa"/>
          </w:tcPr>
          <w:p w14:paraId="69109A12"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-0.0009</w:t>
            </w:r>
          </w:p>
        </w:tc>
        <w:tc>
          <w:tcPr>
            <w:tcW w:w="982" w:type="dxa"/>
          </w:tcPr>
          <w:p w14:paraId="3CF39A2D"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1.0000</w:t>
            </w:r>
          </w:p>
        </w:tc>
        <w:tc>
          <w:tcPr>
            <w:tcW w:w="982" w:type="dxa"/>
          </w:tcPr>
          <w:p w14:paraId="686E90EE"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0.1536</w:t>
            </w:r>
          </w:p>
        </w:tc>
        <w:tc>
          <w:tcPr>
            <w:tcW w:w="982" w:type="dxa"/>
          </w:tcPr>
          <w:p w14:paraId="74BAD978"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0.1096</w:t>
            </w:r>
          </w:p>
        </w:tc>
        <w:tc>
          <w:tcPr>
            <w:tcW w:w="982" w:type="dxa"/>
          </w:tcPr>
          <w:p w14:paraId="3F35B6B9"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0.1630</w:t>
            </w:r>
          </w:p>
        </w:tc>
        <w:tc>
          <w:tcPr>
            <w:tcW w:w="982" w:type="dxa"/>
          </w:tcPr>
          <w:p w14:paraId="0AAFA0DD"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0.0412</w:t>
            </w:r>
          </w:p>
        </w:tc>
      </w:tr>
      <w:tr w:rsidR="00BE3F39" w14:paraId="73FA2DD4"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380712EA" w14:textId="77777777" w:rsidR="00BE3F39" w:rsidRDefault="00CA5D84">
            <w:r>
              <w:rPr>
                <w:sz w:val="20"/>
              </w:rPr>
              <w:t>Δ Treasury 10Y</w:t>
            </w:r>
          </w:p>
        </w:tc>
        <w:tc>
          <w:tcPr>
            <w:tcW w:w="982" w:type="dxa"/>
          </w:tcPr>
          <w:p w14:paraId="026D650B"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0.1167</w:t>
            </w:r>
          </w:p>
        </w:tc>
        <w:tc>
          <w:tcPr>
            <w:tcW w:w="982" w:type="dxa"/>
          </w:tcPr>
          <w:p w14:paraId="39C9F5CB"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0.1716</w:t>
            </w:r>
          </w:p>
        </w:tc>
        <w:tc>
          <w:tcPr>
            <w:tcW w:w="982" w:type="dxa"/>
          </w:tcPr>
          <w:p w14:paraId="13E73954"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-0.0659</w:t>
            </w:r>
          </w:p>
        </w:tc>
        <w:tc>
          <w:tcPr>
            <w:tcW w:w="982" w:type="dxa"/>
          </w:tcPr>
          <w:p w14:paraId="288F080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0.1536</w:t>
            </w:r>
          </w:p>
        </w:tc>
        <w:tc>
          <w:tcPr>
            <w:tcW w:w="982" w:type="dxa"/>
          </w:tcPr>
          <w:p w14:paraId="1234F84D"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1.0000</w:t>
            </w:r>
          </w:p>
        </w:tc>
        <w:tc>
          <w:tcPr>
            <w:tcW w:w="982" w:type="dxa"/>
          </w:tcPr>
          <w:p w14:paraId="15265514"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0.1634</w:t>
            </w:r>
          </w:p>
        </w:tc>
        <w:tc>
          <w:tcPr>
            <w:tcW w:w="982" w:type="dxa"/>
          </w:tcPr>
          <w:p w14:paraId="7A9A8F18"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-0.0154</w:t>
            </w:r>
          </w:p>
        </w:tc>
        <w:tc>
          <w:tcPr>
            <w:tcW w:w="982" w:type="dxa"/>
          </w:tcPr>
          <w:p w14:paraId="167079B7"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-0.0395</w:t>
            </w:r>
          </w:p>
        </w:tc>
      </w:tr>
      <w:tr w:rsidR="00BE3F39" w14:paraId="6F4EDB01"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5FBD21BD" w14:textId="77777777" w:rsidR="00BE3F39" w:rsidRDefault="00CA5D84">
            <w:r>
              <w:rPr>
                <w:sz w:val="20"/>
              </w:rPr>
              <w:t>Δ TC CLP</w:t>
            </w:r>
          </w:p>
        </w:tc>
        <w:tc>
          <w:tcPr>
            <w:tcW w:w="982" w:type="dxa"/>
          </w:tcPr>
          <w:p w14:paraId="75C43616"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-0.2938</w:t>
            </w:r>
          </w:p>
        </w:tc>
        <w:tc>
          <w:tcPr>
            <w:tcW w:w="982" w:type="dxa"/>
          </w:tcPr>
          <w:p w14:paraId="035BCF73"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-0.2339</w:t>
            </w:r>
          </w:p>
        </w:tc>
        <w:tc>
          <w:tcPr>
            <w:tcW w:w="982" w:type="dxa"/>
          </w:tcPr>
          <w:p w14:paraId="74322027"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0.1781</w:t>
            </w:r>
          </w:p>
        </w:tc>
        <w:tc>
          <w:tcPr>
            <w:tcW w:w="982" w:type="dxa"/>
          </w:tcPr>
          <w:p w14:paraId="42086CE8"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0.1096</w:t>
            </w:r>
          </w:p>
        </w:tc>
        <w:tc>
          <w:tcPr>
            <w:tcW w:w="982" w:type="dxa"/>
          </w:tcPr>
          <w:p w14:paraId="5846DA1E"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0.1634</w:t>
            </w:r>
          </w:p>
        </w:tc>
        <w:tc>
          <w:tcPr>
            <w:tcW w:w="982" w:type="dxa"/>
          </w:tcPr>
          <w:p w14:paraId="312AA8E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1.0000</w:t>
            </w:r>
          </w:p>
        </w:tc>
        <w:tc>
          <w:tcPr>
            <w:tcW w:w="982" w:type="dxa"/>
          </w:tcPr>
          <w:p w14:paraId="4C9FB237"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0.0010</w:t>
            </w:r>
          </w:p>
        </w:tc>
        <w:tc>
          <w:tcPr>
            <w:tcW w:w="982" w:type="dxa"/>
          </w:tcPr>
          <w:p w14:paraId="2584B635"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-0.0649</w:t>
            </w:r>
          </w:p>
        </w:tc>
      </w:tr>
      <w:tr w:rsidR="00BE3F39" w14:paraId="28ED5F08"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3F34A7B4" w14:textId="77777777" w:rsidR="00BE3F39" w:rsidRDefault="00CA5D84">
            <w:r>
              <w:rPr>
                <w:sz w:val="20"/>
              </w:rPr>
              <w:t>Δ Tasa local</w:t>
            </w:r>
          </w:p>
        </w:tc>
        <w:tc>
          <w:tcPr>
            <w:tcW w:w="982" w:type="dxa"/>
          </w:tcPr>
          <w:p w14:paraId="6212856C"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-0.0938</w:t>
            </w:r>
          </w:p>
        </w:tc>
        <w:tc>
          <w:tcPr>
            <w:tcW w:w="982" w:type="dxa"/>
          </w:tcPr>
          <w:p w14:paraId="7B9562B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-0.0971</w:t>
            </w:r>
          </w:p>
        </w:tc>
        <w:tc>
          <w:tcPr>
            <w:tcW w:w="982" w:type="dxa"/>
          </w:tcPr>
          <w:p w14:paraId="2CF7EDB4"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0.0879</w:t>
            </w:r>
          </w:p>
        </w:tc>
        <w:tc>
          <w:tcPr>
            <w:tcW w:w="982" w:type="dxa"/>
          </w:tcPr>
          <w:p w14:paraId="3E66DE4B"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0.1630</w:t>
            </w:r>
          </w:p>
        </w:tc>
        <w:tc>
          <w:tcPr>
            <w:tcW w:w="982" w:type="dxa"/>
          </w:tcPr>
          <w:p w14:paraId="0B6ABD2A"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-0.0154</w:t>
            </w:r>
          </w:p>
        </w:tc>
        <w:tc>
          <w:tcPr>
            <w:tcW w:w="982" w:type="dxa"/>
          </w:tcPr>
          <w:p w14:paraId="18E7A68A"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0.0010</w:t>
            </w:r>
          </w:p>
        </w:tc>
        <w:tc>
          <w:tcPr>
            <w:tcW w:w="982" w:type="dxa"/>
          </w:tcPr>
          <w:p w14:paraId="09ECAB0B"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1.0000</w:t>
            </w:r>
          </w:p>
        </w:tc>
        <w:tc>
          <w:tcPr>
            <w:tcW w:w="982" w:type="dxa"/>
          </w:tcPr>
          <w:p w14:paraId="576A6D3B"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0.0547</w:t>
            </w:r>
          </w:p>
        </w:tc>
      </w:tr>
      <w:tr w:rsidR="00BE3F39" w14:paraId="7508C3EE"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35636D47" w14:textId="77777777" w:rsidR="00BE3F39" w:rsidRDefault="00CA5D84">
            <w:r>
              <w:rPr>
                <w:sz w:val="20"/>
              </w:rPr>
              <w:t>Δ Actividad local</w:t>
            </w:r>
          </w:p>
        </w:tc>
        <w:tc>
          <w:tcPr>
            <w:tcW w:w="982" w:type="dxa"/>
          </w:tcPr>
          <w:p w14:paraId="42641F8C"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-0.0623</w:t>
            </w:r>
          </w:p>
        </w:tc>
        <w:tc>
          <w:tcPr>
            <w:tcW w:w="982" w:type="dxa"/>
          </w:tcPr>
          <w:p w14:paraId="161B2723"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0.0276</w:t>
            </w:r>
          </w:p>
        </w:tc>
        <w:tc>
          <w:tcPr>
            <w:tcW w:w="982" w:type="dxa"/>
          </w:tcPr>
          <w:p w14:paraId="2AB9250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-0.0537</w:t>
            </w:r>
          </w:p>
        </w:tc>
        <w:tc>
          <w:tcPr>
            <w:tcW w:w="982" w:type="dxa"/>
          </w:tcPr>
          <w:p w14:paraId="1BCF84E5"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0.0412</w:t>
            </w:r>
          </w:p>
        </w:tc>
        <w:tc>
          <w:tcPr>
            <w:tcW w:w="982" w:type="dxa"/>
          </w:tcPr>
          <w:p w14:paraId="032A13D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-0.0395</w:t>
            </w:r>
          </w:p>
        </w:tc>
        <w:tc>
          <w:tcPr>
            <w:tcW w:w="982" w:type="dxa"/>
          </w:tcPr>
          <w:p w14:paraId="0048FADA"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-0.0649</w:t>
            </w:r>
          </w:p>
        </w:tc>
        <w:tc>
          <w:tcPr>
            <w:tcW w:w="982" w:type="dxa"/>
          </w:tcPr>
          <w:p w14:paraId="0ACC3074"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0.0547</w:t>
            </w:r>
          </w:p>
        </w:tc>
        <w:tc>
          <w:tcPr>
            <w:tcW w:w="982" w:type="dxa"/>
          </w:tcPr>
          <w:p w14:paraId="566B7F8A"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1.0000</w:t>
            </w:r>
          </w:p>
        </w:tc>
      </w:tr>
    </w:tbl>
    <w:p w14:paraId="6C517513" w14:textId="77777777" w:rsidR="00BE3F39" w:rsidRDefault="00BE3F39"/>
    <w:p w14:paraId="0C053E3C" w14:textId="77777777" w:rsidR="00BE3F39" w:rsidRDefault="00CA5D84">
      <w:pPr>
        <w:pStyle w:val="Ttulo2"/>
      </w:pPr>
      <w:bookmarkStart w:id="72" w:name="_Toc231082821"/>
      <w:r>
        <w:t>Anexo C. Pruebas de raíz unitaria y orden de integración</w:t>
      </w:r>
      <w:bookmarkEnd w:id="72"/>
    </w:p>
    <w:p w14:paraId="40313FAA" w14:textId="502FB027" w:rsidR="00BE3F39" w:rsidRDefault="00CA5D84">
      <w:pPr>
        <w:pStyle w:val="Descripcin"/>
        <w:jc w:val="center"/>
      </w:pPr>
      <w:bookmarkStart w:id="73" w:name="_Toc231082838"/>
      <w:r>
        <w:rPr>
          <w:sz w:val="20"/>
        </w:rPr>
        <w:t xml:space="preserve">Tabla </w:t>
      </w:r>
      <w:r>
        <w:fldChar w:fldCharType="begin"/>
      </w:r>
      <w:r>
        <w:instrText xml:space="preserve"> SEQ Tabla \* ARABIC </w:instrText>
      </w:r>
      <w:r>
        <w:fldChar w:fldCharType="separate"/>
      </w:r>
      <w:r>
        <w:rPr>
          <w:noProof/>
        </w:rPr>
        <w:t>7</w:t>
      </w:r>
      <w:r>
        <w:fldChar w:fldCharType="end"/>
      </w:r>
      <w:r>
        <w:rPr>
          <w:sz w:val="20"/>
        </w:rPr>
        <w:t>.</w:t>
      </w:r>
      <w:bookmarkEnd w:id="73"/>
      <w:r>
        <w:rPr>
          <w:sz w:val="20"/>
        </w:rPr>
        <w:t xml:space="preserve"> </w:t>
      </w:r>
    </w:p>
    <w:tbl>
      <w:tblPr>
        <w:tblStyle w:val="Cuadrculaclara-nfasis1"/>
        <w:tblW w:w="0" w:type="auto"/>
        <w:tblLook w:val="04A0" w:firstRow="1" w:lastRow="0" w:firstColumn="1" w:lastColumn="0" w:noHBand="0" w:noVBand="1"/>
      </w:tblPr>
      <w:tblGrid>
        <w:gridCol w:w="1474"/>
        <w:gridCol w:w="1474"/>
        <w:gridCol w:w="1474"/>
        <w:gridCol w:w="1474"/>
        <w:gridCol w:w="1474"/>
        <w:gridCol w:w="1474"/>
      </w:tblGrid>
      <w:tr w:rsidR="00BE3F39" w14:paraId="7DE3F79B" w14:textId="77777777" w:rsidTr="00BE3F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C643B9E" w14:textId="77777777" w:rsidR="00BE3F39" w:rsidRDefault="00CA5D84">
            <w:r>
              <w:rPr>
                <w:sz w:val="20"/>
              </w:rPr>
              <w:t>Variable</w:t>
            </w:r>
          </w:p>
        </w:tc>
        <w:tc>
          <w:tcPr>
            <w:tcW w:w="1474" w:type="dxa"/>
          </w:tcPr>
          <w:p w14:paraId="6C4FF496"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ADF (p)</w:t>
            </w:r>
          </w:p>
        </w:tc>
        <w:tc>
          <w:tcPr>
            <w:tcW w:w="1474" w:type="dxa"/>
          </w:tcPr>
          <w:p w14:paraId="526716AD"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PP (p)</w:t>
            </w:r>
          </w:p>
        </w:tc>
        <w:tc>
          <w:tcPr>
            <w:tcW w:w="1474" w:type="dxa"/>
          </w:tcPr>
          <w:p w14:paraId="57DDD22C"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KPSS (p)</w:t>
            </w:r>
          </w:p>
        </w:tc>
        <w:tc>
          <w:tcPr>
            <w:tcW w:w="1474" w:type="dxa"/>
          </w:tcPr>
          <w:p w14:paraId="73D4CE54"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Zivot-A. (p)</w:t>
            </w:r>
          </w:p>
        </w:tc>
        <w:tc>
          <w:tcPr>
            <w:tcW w:w="1474" w:type="dxa"/>
          </w:tcPr>
          <w:p w14:paraId="45FC5F61"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Orden</w:t>
            </w:r>
          </w:p>
        </w:tc>
      </w:tr>
      <w:tr w:rsidR="00BE3F39" w14:paraId="4A3CB2F1"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2D9F00AD" w14:textId="77777777" w:rsidR="00BE3F39" w:rsidRDefault="00CA5D84">
            <w:r>
              <w:rPr>
                <w:sz w:val="20"/>
              </w:rPr>
              <w:t>Cobre (log nivel)</w:t>
            </w:r>
          </w:p>
        </w:tc>
        <w:tc>
          <w:tcPr>
            <w:tcW w:w="1474" w:type="dxa"/>
          </w:tcPr>
          <w:p w14:paraId="47E9C0F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0.0135</w:t>
            </w:r>
          </w:p>
        </w:tc>
        <w:tc>
          <w:tcPr>
            <w:tcW w:w="1474" w:type="dxa"/>
          </w:tcPr>
          <w:p w14:paraId="6D9DA97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0.0277</w:t>
            </w:r>
          </w:p>
        </w:tc>
        <w:tc>
          <w:tcPr>
            <w:tcW w:w="1474" w:type="dxa"/>
          </w:tcPr>
          <w:p w14:paraId="547A0D5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0.0120</w:t>
            </w:r>
          </w:p>
        </w:tc>
        <w:tc>
          <w:tcPr>
            <w:tcW w:w="1474" w:type="dxa"/>
          </w:tcPr>
          <w:p w14:paraId="695FCDB3"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0.1697</w:t>
            </w:r>
          </w:p>
        </w:tc>
        <w:tc>
          <w:tcPr>
            <w:tcW w:w="1474" w:type="dxa"/>
          </w:tcPr>
          <w:p w14:paraId="1B634437"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I(1)</w:t>
            </w:r>
          </w:p>
        </w:tc>
      </w:tr>
      <w:tr w:rsidR="00BE3F39" w14:paraId="667E7129"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15A9B3E6" w14:textId="77777777" w:rsidR="00BE3F39" w:rsidRDefault="00CA5D84">
            <w:r>
              <w:rPr>
                <w:sz w:val="20"/>
              </w:rPr>
              <w:t>TC CLP (log nivel)</w:t>
            </w:r>
          </w:p>
        </w:tc>
        <w:tc>
          <w:tcPr>
            <w:tcW w:w="1474" w:type="dxa"/>
          </w:tcPr>
          <w:p w14:paraId="2A674B0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0.1584</w:t>
            </w:r>
          </w:p>
        </w:tc>
        <w:tc>
          <w:tcPr>
            <w:tcW w:w="1474" w:type="dxa"/>
          </w:tcPr>
          <w:p w14:paraId="57B74362"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0.2622</w:t>
            </w:r>
          </w:p>
        </w:tc>
        <w:tc>
          <w:tcPr>
            <w:tcW w:w="1474" w:type="dxa"/>
          </w:tcPr>
          <w:p w14:paraId="2CA0E4A3"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0.0100</w:t>
            </w:r>
          </w:p>
        </w:tc>
        <w:tc>
          <w:tcPr>
            <w:tcW w:w="1474" w:type="dxa"/>
          </w:tcPr>
          <w:p w14:paraId="3370197B"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0.9504</w:t>
            </w:r>
          </w:p>
        </w:tc>
        <w:tc>
          <w:tcPr>
            <w:tcW w:w="1474" w:type="dxa"/>
          </w:tcPr>
          <w:p w14:paraId="6E8E5C79"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I(2)?/revisar</w:t>
            </w:r>
          </w:p>
        </w:tc>
      </w:tr>
      <w:tr w:rsidR="00BE3F39" w14:paraId="7CFE1486"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1BC81E9E" w14:textId="77777777" w:rsidR="00BE3F39" w:rsidRDefault="00CA5D84">
            <w:r>
              <w:rPr>
                <w:sz w:val="20"/>
              </w:rPr>
              <w:t>VIX (nivel)</w:t>
            </w:r>
          </w:p>
        </w:tc>
        <w:tc>
          <w:tcPr>
            <w:tcW w:w="1474" w:type="dxa"/>
          </w:tcPr>
          <w:p w14:paraId="674B5C6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0.0000</w:t>
            </w:r>
          </w:p>
        </w:tc>
        <w:tc>
          <w:tcPr>
            <w:tcW w:w="1474" w:type="dxa"/>
          </w:tcPr>
          <w:p w14:paraId="5123CBE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0.0000</w:t>
            </w:r>
          </w:p>
        </w:tc>
        <w:tc>
          <w:tcPr>
            <w:tcW w:w="1474" w:type="dxa"/>
          </w:tcPr>
          <w:p w14:paraId="6553495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0.1000</w:t>
            </w:r>
          </w:p>
        </w:tc>
        <w:tc>
          <w:tcPr>
            <w:tcW w:w="1474" w:type="dxa"/>
          </w:tcPr>
          <w:p w14:paraId="4732882B"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0.0009</w:t>
            </w:r>
          </w:p>
        </w:tc>
        <w:tc>
          <w:tcPr>
            <w:tcW w:w="1474" w:type="dxa"/>
          </w:tcPr>
          <w:p w14:paraId="789EBE79"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I(0)</w:t>
            </w:r>
          </w:p>
        </w:tc>
      </w:tr>
      <w:tr w:rsidR="00BE3F39" w14:paraId="201E28FB"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A666086" w14:textId="77777777" w:rsidR="00BE3F39" w:rsidRDefault="00CA5D84">
            <w:r>
              <w:rPr>
                <w:sz w:val="20"/>
              </w:rPr>
              <w:t>Valor ANTO.L (log)</w:t>
            </w:r>
          </w:p>
        </w:tc>
        <w:tc>
          <w:tcPr>
            <w:tcW w:w="1474" w:type="dxa"/>
          </w:tcPr>
          <w:p w14:paraId="0491DAA9"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0.1851</w:t>
            </w:r>
          </w:p>
        </w:tc>
        <w:tc>
          <w:tcPr>
            <w:tcW w:w="1474" w:type="dxa"/>
          </w:tcPr>
          <w:p w14:paraId="6A7E4109"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0.3084</w:t>
            </w:r>
          </w:p>
        </w:tc>
        <w:tc>
          <w:tcPr>
            <w:tcW w:w="1474" w:type="dxa"/>
          </w:tcPr>
          <w:p w14:paraId="0891E697"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0.0100</w:t>
            </w:r>
          </w:p>
        </w:tc>
        <w:tc>
          <w:tcPr>
            <w:tcW w:w="1474" w:type="dxa"/>
          </w:tcPr>
          <w:p w14:paraId="6047ED0B"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0.4233</w:t>
            </w:r>
          </w:p>
        </w:tc>
        <w:tc>
          <w:tcPr>
            <w:tcW w:w="1474" w:type="dxa"/>
          </w:tcPr>
          <w:p w14:paraId="425DB60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I(1)</w:t>
            </w:r>
          </w:p>
        </w:tc>
      </w:tr>
    </w:tbl>
    <w:p w14:paraId="4016DC42" w14:textId="77777777" w:rsidR="00BE3F39" w:rsidRDefault="00BE3F39"/>
    <w:p w14:paraId="480C96DC" w14:textId="77777777" w:rsidR="00BE3F39" w:rsidRDefault="00CA5D84">
      <w:r>
        <w:lastRenderedPageBreak/>
        <w:t xml:space="preserve">*Nota:* la clasificación automática marca el tipo de cambio como dudoso por la pérdida de potencia de las pruebas ante quiebres; la prueba de Zivot-Andrews lo resuelve como </w:t>
      </w:r>
      <w:r>
        <w:rPr>
          <w:b/>
        </w:rPr>
        <w:t>I(1)</w:t>
      </w:r>
      <w:r>
        <w:t xml:space="preserve"> (véase la sección de resultados). VIX resulta I(0).</w:t>
      </w:r>
    </w:p>
    <w:p w14:paraId="26044952" w14:textId="77777777" w:rsidR="00BE3F39" w:rsidRDefault="00CA5D84">
      <w:pPr>
        <w:pStyle w:val="Ttulo2"/>
      </w:pPr>
      <w:bookmarkStart w:id="74" w:name="_Toc231082822"/>
      <w:r>
        <w:t>Anexo D. Resultados completos del modelo de panel</w:t>
      </w:r>
      <w:bookmarkEnd w:id="74"/>
    </w:p>
    <w:p w14:paraId="0D7D88A3" w14:textId="77777777" w:rsidR="00BE3F39" w:rsidRDefault="00CA5D84">
      <w:pPr>
        <w:pStyle w:val="Ttulo3"/>
      </w:pPr>
      <w:bookmarkStart w:id="75" w:name="_Toc231082823"/>
      <w:r>
        <w:t>D.1 Muestra B — cobre, mercado internacional</w:t>
      </w:r>
      <w:bookmarkEnd w:id="75"/>
    </w:p>
    <w:p w14:paraId="23EF9162" w14:textId="6AE934DD" w:rsidR="00BE3F39" w:rsidRDefault="00CA5D84">
      <w:pPr>
        <w:pStyle w:val="Descripcin"/>
        <w:jc w:val="center"/>
      </w:pPr>
      <w:bookmarkStart w:id="76" w:name="_Toc231082839"/>
      <w:r>
        <w:rPr>
          <w:sz w:val="20"/>
        </w:rPr>
        <w:t xml:space="preserve">Tabla </w:t>
      </w:r>
      <w:r>
        <w:fldChar w:fldCharType="begin"/>
      </w:r>
      <w:r>
        <w:instrText xml:space="preserve"> SEQ Tabla \* ARABIC </w:instrText>
      </w:r>
      <w:r>
        <w:fldChar w:fldCharType="separate"/>
      </w:r>
      <w:r>
        <w:rPr>
          <w:noProof/>
        </w:rPr>
        <w:t>8</w:t>
      </w:r>
      <w:r>
        <w:fldChar w:fldCharType="end"/>
      </w:r>
      <w:r>
        <w:rPr>
          <w:sz w:val="20"/>
        </w:rPr>
        <w:t>.</w:t>
      </w:r>
      <w:bookmarkEnd w:id="76"/>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BE3F39" w14:paraId="22A34373" w14:textId="77777777" w:rsidTr="00BE3F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8A930F9" w14:textId="77777777" w:rsidR="00BE3F39" w:rsidRDefault="00CA5D84">
            <w:r>
              <w:rPr>
                <w:sz w:val="20"/>
              </w:rPr>
              <w:t>Regresor</w:t>
            </w:r>
          </w:p>
        </w:tc>
        <w:tc>
          <w:tcPr>
            <w:tcW w:w="1768" w:type="dxa"/>
          </w:tcPr>
          <w:p w14:paraId="4DC8882A"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Coef.</w:t>
            </w:r>
          </w:p>
        </w:tc>
        <w:tc>
          <w:tcPr>
            <w:tcW w:w="1768" w:type="dxa"/>
          </w:tcPr>
          <w:p w14:paraId="211C8695"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Error est.</w:t>
            </w:r>
          </w:p>
        </w:tc>
        <w:tc>
          <w:tcPr>
            <w:tcW w:w="1768" w:type="dxa"/>
          </w:tcPr>
          <w:p w14:paraId="5E63B501"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t</w:t>
            </w:r>
          </w:p>
        </w:tc>
        <w:tc>
          <w:tcPr>
            <w:tcW w:w="1768" w:type="dxa"/>
          </w:tcPr>
          <w:p w14:paraId="3223CE04"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p-valor</w:t>
            </w:r>
          </w:p>
        </w:tc>
      </w:tr>
      <w:tr w:rsidR="00BE3F39" w14:paraId="1442F330"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C5F5E01" w14:textId="77777777" w:rsidR="00BE3F39" w:rsidRDefault="00CA5D84">
            <w:r>
              <w:rPr>
                <w:sz w:val="20"/>
              </w:rPr>
              <w:t>Constante</w:t>
            </w:r>
          </w:p>
        </w:tc>
        <w:tc>
          <w:tcPr>
            <w:tcW w:w="1768" w:type="dxa"/>
          </w:tcPr>
          <w:p w14:paraId="21A6344A"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0.0063</w:t>
            </w:r>
          </w:p>
        </w:tc>
        <w:tc>
          <w:tcPr>
            <w:tcW w:w="1768" w:type="dxa"/>
          </w:tcPr>
          <w:p w14:paraId="0030D254"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0.0053</w:t>
            </w:r>
          </w:p>
        </w:tc>
        <w:tc>
          <w:tcPr>
            <w:tcW w:w="1768" w:type="dxa"/>
          </w:tcPr>
          <w:p w14:paraId="6C019304"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1.1929</w:t>
            </w:r>
          </w:p>
        </w:tc>
        <w:tc>
          <w:tcPr>
            <w:tcW w:w="1768" w:type="dxa"/>
          </w:tcPr>
          <w:p w14:paraId="1371EAA2"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0.2332</w:t>
            </w:r>
          </w:p>
        </w:tc>
      </w:tr>
      <w:tr w:rsidR="00BE3F39" w14:paraId="7322599A"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77843F7" w14:textId="77777777" w:rsidR="00BE3F39" w:rsidRDefault="00CA5D84">
            <w:r>
              <w:rPr>
                <w:sz w:val="20"/>
              </w:rPr>
              <w:t>Δ Cobre</w:t>
            </w:r>
          </w:p>
        </w:tc>
        <w:tc>
          <w:tcPr>
            <w:tcW w:w="1768" w:type="dxa"/>
          </w:tcPr>
          <w:p w14:paraId="0BD4382B"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0.5712</w:t>
            </w:r>
          </w:p>
        </w:tc>
        <w:tc>
          <w:tcPr>
            <w:tcW w:w="1768" w:type="dxa"/>
          </w:tcPr>
          <w:p w14:paraId="677B9080"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0.1082</w:t>
            </w:r>
          </w:p>
        </w:tc>
        <w:tc>
          <w:tcPr>
            <w:tcW w:w="1768" w:type="dxa"/>
          </w:tcPr>
          <w:p w14:paraId="0A637843"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5.2802</w:t>
            </w:r>
          </w:p>
        </w:tc>
        <w:tc>
          <w:tcPr>
            <w:tcW w:w="1768" w:type="dxa"/>
          </w:tcPr>
          <w:p w14:paraId="25095C30"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0.0000</w:t>
            </w:r>
          </w:p>
        </w:tc>
      </w:tr>
      <w:tr w:rsidR="00BE3F39" w14:paraId="7CB2A388"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7D463AE" w14:textId="77777777" w:rsidR="00BE3F39" w:rsidRDefault="00CA5D84">
            <w:r>
              <w:rPr>
                <w:sz w:val="20"/>
              </w:rPr>
              <w:t>Δ VIX</w:t>
            </w:r>
          </w:p>
        </w:tc>
        <w:tc>
          <w:tcPr>
            <w:tcW w:w="1768" w:type="dxa"/>
          </w:tcPr>
          <w:p w14:paraId="7A00D21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-0.0077</w:t>
            </w:r>
          </w:p>
        </w:tc>
        <w:tc>
          <w:tcPr>
            <w:tcW w:w="1768" w:type="dxa"/>
          </w:tcPr>
          <w:p w14:paraId="0C87B77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0.0014</w:t>
            </w:r>
          </w:p>
        </w:tc>
        <w:tc>
          <w:tcPr>
            <w:tcW w:w="1768" w:type="dxa"/>
          </w:tcPr>
          <w:p w14:paraId="4D94EE79"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-5.4813</w:t>
            </w:r>
          </w:p>
        </w:tc>
        <w:tc>
          <w:tcPr>
            <w:tcW w:w="1768" w:type="dxa"/>
          </w:tcPr>
          <w:p w14:paraId="658D66E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0.0000</w:t>
            </w:r>
          </w:p>
        </w:tc>
      </w:tr>
      <w:tr w:rsidR="00BE3F39" w14:paraId="6619953B"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C3887E6" w14:textId="77777777" w:rsidR="00BE3F39" w:rsidRDefault="00CA5D84">
            <w:r>
              <w:rPr>
                <w:sz w:val="20"/>
              </w:rPr>
              <w:t>Δ Fed Funds</w:t>
            </w:r>
          </w:p>
        </w:tc>
        <w:tc>
          <w:tcPr>
            <w:tcW w:w="1768" w:type="dxa"/>
          </w:tcPr>
          <w:p w14:paraId="4FC2672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0.0196</w:t>
            </w:r>
          </w:p>
        </w:tc>
        <w:tc>
          <w:tcPr>
            <w:tcW w:w="1768" w:type="dxa"/>
          </w:tcPr>
          <w:p w14:paraId="6FFD4DD0"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0.0208</w:t>
            </w:r>
          </w:p>
        </w:tc>
        <w:tc>
          <w:tcPr>
            <w:tcW w:w="1768" w:type="dxa"/>
          </w:tcPr>
          <w:p w14:paraId="639F194D"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0.9447</w:t>
            </w:r>
          </w:p>
        </w:tc>
        <w:tc>
          <w:tcPr>
            <w:tcW w:w="1768" w:type="dxa"/>
          </w:tcPr>
          <w:p w14:paraId="699A78C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0.3450</w:t>
            </w:r>
          </w:p>
        </w:tc>
      </w:tr>
      <w:tr w:rsidR="00BE3F39" w14:paraId="66E4542E"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7E7EF82F" w14:textId="77777777" w:rsidR="00BE3F39" w:rsidRDefault="00CA5D84">
            <w:r>
              <w:rPr>
                <w:sz w:val="20"/>
              </w:rPr>
              <w:t>Δ Treasury 10Y</w:t>
            </w:r>
          </w:p>
        </w:tc>
        <w:tc>
          <w:tcPr>
            <w:tcW w:w="1768" w:type="dxa"/>
          </w:tcPr>
          <w:p w14:paraId="680417A9"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0.0226</w:t>
            </w:r>
          </w:p>
        </w:tc>
        <w:tc>
          <w:tcPr>
            <w:tcW w:w="1768" w:type="dxa"/>
          </w:tcPr>
          <w:p w14:paraId="000CA084"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0.0256</w:t>
            </w:r>
          </w:p>
        </w:tc>
        <w:tc>
          <w:tcPr>
            <w:tcW w:w="1768" w:type="dxa"/>
          </w:tcPr>
          <w:p w14:paraId="7F768D9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0.8851</w:t>
            </w:r>
          </w:p>
        </w:tc>
        <w:tc>
          <w:tcPr>
            <w:tcW w:w="1768" w:type="dxa"/>
          </w:tcPr>
          <w:p w14:paraId="0221D49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0.3763</w:t>
            </w:r>
          </w:p>
        </w:tc>
      </w:tr>
      <w:tr w:rsidR="00BE3F39" w14:paraId="599AE6A0"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07E4792" w14:textId="77777777" w:rsidR="00BE3F39" w:rsidRDefault="00CA5D84">
            <w:r>
              <w:rPr>
                <w:sz w:val="20"/>
              </w:rPr>
              <w:t>Δ TC CLP</w:t>
            </w:r>
          </w:p>
        </w:tc>
        <w:tc>
          <w:tcPr>
            <w:tcW w:w="1768" w:type="dxa"/>
          </w:tcPr>
          <w:p w14:paraId="678C9B3B"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-1.5735</w:t>
            </w:r>
          </w:p>
        </w:tc>
        <w:tc>
          <w:tcPr>
            <w:tcW w:w="1768" w:type="dxa"/>
          </w:tcPr>
          <w:p w14:paraId="182C158E"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0.4011</w:t>
            </w:r>
          </w:p>
        </w:tc>
        <w:tc>
          <w:tcPr>
            <w:tcW w:w="1768" w:type="dxa"/>
          </w:tcPr>
          <w:p w14:paraId="6E43AA5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-3.9228</w:t>
            </w:r>
          </w:p>
        </w:tc>
        <w:tc>
          <w:tcPr>
            <w:tcW w:w="1768" w:type="dxa"/>
          </w:tcPr>
          <w:p w14:paraId="34EBEAC9"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0.0001</w:t>
            </w:r>
          </w:p>
        </w:tc>
      </w:tr>
      <w:tr w:rsidR="00BE3F39" w14:paraId="2C319E07"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268E7E83" w14:textId="77777777" w:rsidR="00BE3F39" w:rsidRDefault="00CA5D84">
            <w:r>
              <w:rPr>
                <w:sz w:val="20"/>
              </w:rPr>
              <w:t>Δ Tasa local</w:t>
            </w:r>
          </w:p>
        </w:tc>
        <w:tc>
          <w:tcPr>
            <w:tcW w:w="1768" w:type="dxa"/>
          </w:tcPr>
          <w:p w14:paraId="43984121"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-0.0073</w:t>
            </w:r>
          </w:p>
        </w:tc>
        <w:tc>
          <w:tcPr>
            <w:tcW w:w="1768" w:type="dxa"/>
          </w:tcPr>
          <w:p w14:paraId="43076B26"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0.0167</w:t>
            </w:r>
          </w:p>
        </w:tc>
        <w:tc>
          <w:tcPr>
            <w:tcW w:w="1768" w:type="dxa"/>
          </w:tcPr>
          <w:p w14:paraId="0EA67AA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-0.4371</w:t>
            </w:r>
          </w:p>
        </w:tc>
        <w:tc>
          <w:tcPr>
            <w:tcW w:w="1768" w:type="dxa"/>
          </w:tcPr>
          <w:p w14:paraId="23BD31F1"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0.6621</w:t>
            </w:r>
          </w:p>
        </w:tc>
      </w:tr>
      <w:tr w:rsidR="00BE3F39" w14:paraId="7AB426ED"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6884438" w14:textId="77777777" w:rsidR="00BE3F39" w:rsidRDefault="00CA5D84">
            <w:r>
              <w:rPr>
                <w:sz w:val="20"/>
              </w:rPr>
              <w:t>Δ Actividad local</w:t>
            </w:r>
          </w:p>
        </w:tc>
        <w:tc>
          <w:tcPr>
            <w:tcW w:w="1768" w:type="dxa"/>
          </w:tcPr>
          <w:p w14:paraId="34ADCB5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-0.5231</w:t>
            </w:r>
          </w:p>
        </w:tc>
        <w:tc>
          <w:tcPr>
            <w:tcW w:w="1768" w:type="dxa"/>
          </w:tcPr>
          <w:p w14:paraId="0A5FC9BE"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0.2946</w:t>
            </w:r>
          </w:p>
        </w:tc>
        <w:tc>
          <w:tcPr>
            <w:tcW w:w="1768" w:type="dxa"/>
          </w:tcPr>
          <w:p w14:paraId="17CB236A"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-1.7754</w:t>
            </w:r>
          </w:p>
        </w:tc>
        <w:tc>
          <w:tcPr>
            <w:tcW w:w="1768" w:type="dxa"/>
          </w:tcPr>
          <w:p w14:paraId="671A657C"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0.0761</w:t>
            </w:r>
          </w:p>
        </w:tc>
      </w:tr>
    </w:tbl>
    <w:p w14:paraId="6C464CFA" w14:textId="77777777" w:rsidR="00BE3F39" w:rsidRDefault="00BE3F39"/>
    <w:p w14:paraId="60040ED3" w14:textId="77777777" w:rsidR="00BE3F39" w:rsidRDefault="00CA5D84">
      <w:r>
        <w:t xml:space="preserve">N = 1080; R² = 0.2446; </w:t>
      </w:r>
      <w:r>
        <w:t>empresas = 5.</w:t>
      </w:r>
    </w:p>
    <w:p w14:paraId="16B9A62C" w14:textId="77777777" w:rsidR="00BE3F39" w:rsidRDefault="00CA5D84">
      <w:pPr>
        <w:pStyle w:val="Ttulo3"/>
      </w:pPr>
      <w:bookmarkStart w:id="77" w:name="_Toc231082824"/>
      <w:r>
        <w:t>D.2 Muestra A — cobre, mercado chileno (Pucobre)</w:t>
      </w:r>
      <w:bookmarkEnd w:id="77"/>
    </w:p>
    <w:p w14:paraId="6B28A093" w14:textId="21322607" w:rsidR="00BE3F39" w:rsidRDefault="00CA5D84">
      <w:pPr>
        <w:pStyle w:val="Descripcin"/>
        <w:jc w:val="center"/>
      </w:pPr>
      <w:bookmarkStart w:id="78" w:name="_Toc231082840"/>
      <w:r>
        <w:rPr>
          <w:sz w:val="20"/>
        </w:rPr>
        <w:t xml:space="preserve">Tabla </w:t>
      </w:r>
      <w:r>
        <w:fldChar w:fldCharType="begin"/>
      </w:r>
      <w:r>
        <w:instrText xml:space="preserve"> SEQ Tabla \* ARABIC </w:instrText>
      </w:r>
      <w:r>
        <w:fldChar w:fldCharType="separate"/>
      </w:r>
      <w:r>
        <w:rPr>
          <w:noProof/>
        </w:rPr>
        <w:t>9</w:t>
      </w:r>
      <w:r>
        <w:fldChar w:fldCharType="end"/>
      </w:r>
      <w:r>
        <w:rPr>
          <w:sz w:val="20"/>
        </w:rPr>
        <w:t>.</w:t>
      </w:r>
      <w:bookmarkEnd w:id="78"/>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BE3F39" w14:paraId="151C0AD0" w14:textId="77777777" w:rsidTr="00BE3F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10A52942" w14:textId="77777777" w:rsidR="00BE3F39" w:rsidRDefault="00CA5D84">
            <w:r>
              <w:rPr>
                <w:sz w:val="20"/>
              </w:rPr>
              <w:t>Regresor</w:t>
            </w:r>
          </w:p>
        </w:tc>
        <w:tc>
          <w:tcPr>
            <w:tcW w:w="1768" w:type="dxa"/>
          </w:tcPr>
          <w:p w14:paraId="2B2C7436"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Coef.</w:t>
            </w:r>
          </w:p>
        </w:tc>
        <w:tc>
          <w:tcPr>
            <w:tcW w:w="1768" w:type="dxa"/>
          </w:tcPr>
          <w:p w14:paraId="63730E09"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Error est.</w:t>
            </w:r>
          </w:p>
        </w:tc>
        <w:tc>
          <w:tcPr>
            <w:tcW w:w="1768" w:type="dxa"/>
          </w:tcPr>
          <w:p w14:paraId="4FEE67FA"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t</w:t>
            </w:r>
          </w:p>
        </w:tc>
        <w:tc>
          <w:tcPr>
            <w:tcW w:w="1768" w:type="dxa"/>
          </w:tcPr>
          <w:p w14:paraId="0817D391"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p-valor</w:t>
            </w:r>
          </w:p>
        </w:tc>
      </w:tr>
      <w:tr w:rsidR="00BE3F39" w14:paraId="48208404"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FD79CAF" w14:textId="77777777" w:rsidR="00BE3F39" w:rsidRDefault="00CA5D84">
            <w:r>
              <w:rPr>
                <w:sz w:val="20"/>
              </w:rPr>
              <w:t>Constante</w:t>
            </w:r>
          </w:p>
        </w:tc>
        <w:tc>
          <w:tcPr>
            <w:tcW w:w="1768" w:type="dxa"/>
          </w:tcPr>
          <w:p w14:paraId="3DA2DE95"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0.0024</w:t>
            </w:r>
          </w:p>
        </w:tc>
        <w:tc>
          <w:tcPr>
            <w:tcW w:w="1768" w:type="dxa"/>
          </w:tcPr>
          <w:p w14:paraId="2C41E175"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0.0038</w:t>
            </w:r>
          </w:p>
        </w:tc>
        <w:tc>
          <w:tcPr>
            <w:tcW w:w="1768" w:type="dxa"/>
          </w:tcPr>
          <w:p w14:paraId="76730B7C"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0.6179</w:t>
            </w:r>
          </w:p>
        </w:tc>
        <w:tc>
          <w:tcPr>
            <w:tcW w:w="1768" w:type="dxa"/>
          </w:tcPr>
          <w:p w14:paraId="368C86EA"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0.5367</w:t>
            </w:r>
          </w:p>
        </w:tc>
      </w:tr>
      <w:tr w:rsidR="00BE3F39" w14:paraId="5F669A7F"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22757275" w14:textId="77777777" w:rsidR="00BE3F39" w:rsidRDefault="00CA5D84">
            <w:r>
              <w:rPr>
                <w:sz w:val="20"/>
              </w:rPr>
              <w:t>Δ Cobre</w:t>
            </w:r>
          </w:p>
        </w:tc>
        <w:tc>
          <w:tcPr>
            <w:tcW w:w="1768" w:type="dxa"/>
          </w:tcPr>
          <w:p w14:paraId="0EB4C6A7"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0.6308</w:t>
            </w:r>
          </w:p>
        </w:tc>
        <w:tc>
          <w:tcPr>
            <w:tcW w:w="1768" w:type="dxa"/>
          </w:tcPr>
          <w:p w14:paraId="4835A778"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0.0851</w:t>
            </w:r>
          </w:p>
        </w:tc>
        <w:tc>
          <w:tcPr>
            <w:tcW w:w="1768" w:type="dxa"/>
          </w:tcPr>
          <w:p w14:paraId="4D668647"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7.4143</w:t>
            </w:r>
          </w:p>
        </w:tc>
        <w:tc>
          <w:tcPr>
            <w:tcW w:w="1768" w:type="dxa"/>
          </w:tcPr>
          <w:p w14:paraId="713A29E8"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0.0000</w:t>
            </w:r>
          </w:p>
        </w:tc>
      </w:tr>
      <w:tr w:rsidR="00BE3F39" w14:paraId="6AC319C6"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7E41E5A8" w14:textId="77777777" w:rsidR="00BE3F39" w:rsidRDefault="00CA5D84">
            <w:r>
              <w:rPr>
                <w:sz w:val="20"/>
              </w:rPr>
              <w:t>Δ VIX</w:t>
            </w:r>
          </w:p>
        </w:tc>
        <w:tc>
          <w:tcPr>
            <w:tcW w:w="1768" w:type="dxa"/>
          </w:tcPr>
          <w:p w14:paraId="411450F9"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-0.0034</w:t>
            </w:r>
          </w:p>
        </w:tc>
        <w:tc>
          <w:tcPr>
            <w:tcW w:w="1768" w:type="dxa"/>
          </w:tcPr>
          <w:p w14:paraId="43732C82"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0.0009</w:t>
            </w:r>
          </w:p>
        </w:tc>
        <w:tc>
          <w:tcPr>
            <w:tcW w:w="1768" w:type="dxa"/>
          </w:tcPr>
          <w:p w14:paraId="347F5F14"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-3.7113</w:t>
            </w:r>
          </w:p>
        </w:tc>
        <w:tc>
          <w:tcPr>
            <w:tcW w:w="1768" w:type="dxa"/>
          </w:tcPr>
          <w:p w14:paraId="156F52AB"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0.0002</w:t>
            </w:r>
          </w:p>
        </w:tc>
      </w:tr>
      <w:tr w:rsidR="00BE3F39" w14:paraId="6847F44F"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9C0AED9" w14:textId="77777777" w:rsidR="00BE3F39" w:rsidRDefault="00CA5D84">
            <w:r>
              <w:rPr>
                <w:sz w:val="20"/>
              </w:rPr>
              <w:t xml:space="preserve">Δ Fed </w:t>
            </w:r>
            <w:r>
              <w:rPr>
                <w:sz w:val="20"/>
              </w:rPr>
              <w:t>Funds</w:t>
            </w:r>
          </w:p>
        </w:tc>
        <w:tc>
          <w:tcPr>
            <w:tcW w:w="1768" w:type="dxa"/>
          </w:tcPr>
          <w:p w14:paraId="5000A694"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-0.0025</w:t>
            </w:r>
          </w:p>
        </w:tc>
        <w:tc>
          <w:tcPr>
            <w:tcW w:w="1768" w:type="dxa"/>
          </w:tcPr>
          <w:p w14:paraId="44035D3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0.0232</w:t>
            </w:r>
          </w:p>
        </w:tc>
        <w:tc>
          <w:tcPr>
            <w:tcW w:w="1768" w:type="dxa"/>
          </w:tcPr>
          <w:p w14:paraId="501D1FCA"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-0.1100</w:t>
            </w:r>
          </w:p>
        </w:tc>
        <w:tc>
          <w:tcPr>
            <w:tcW w:w="1768" w:type="dxa"/>
          </w:tcPr>
          <w:p w14:paraId="0859636D"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0.9124</w:t>
            </w:r>
          </w:p>
        </w:tc>
      </w:tr>
      <w:tr w:rsidR="00BE3F39" w14:paraId="0D0FA1EE"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2B745EE1" w14:textId="77777777" w:rsidR="00BE3F39" w:rsidRDefault="00CA5D84">
            <w:r>
              <w:rPr>
                <w:sz w:val="20"/>
              </w:rPr>
              <w:t>Δ Treasury 10Y</w:t>
            </w:r>
          </w:p>
        </w:tc>
        <w:tc>
          <w:tcPr>
            <w:tcW w:w="1768" w:type="dxa"/>
          </w:tcPr>
          <w:p w14:paraId="2A68B1F6"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0.0467</w:t>
            </w:r>
          </w:p>
        </w:tc>
        <w:tc>
          <w:tcPr>
            <w:tcW w:w="1768" w:type="dxa"/>
          </w:tcPr>
          <w:p w14:paraId="0D7FE424"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0.0159</w:t>
            </w:r>
          </w:p>
        </w:tc>
        <w:tc>
          <w:tcPr>
            <w:tcW w:w="1768" w:type="dxa"/>
          </w:tcPr>
          <w:p w14:paraId="7E5FEE46"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2.9308</w:t>
            </w:r>
          </w:p>
        </w:tc>
        <w:tc>
          <w:tcPr>
            <w:tcW w:w="1768" w:type="dxa"/>
          </w:tcPr>
          <w:p w14:paraId="4144F249"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0.0034</w:t>
            </w:r>
          </w:p>
        </w:tc>
      </w:tr>
      <w:tr w:rsidR="00BE3F39" w14:paraId="72C1BF3B"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2BC3DEE9" w14:textId="77777777" w:rsidR="00BE3F39" w:rsidRDefault="00CA5D84">
            <w:r>
              <w:rPr>
                <w:sz w:val="20"/>
              </w:rPr>
              <w:t>Δ TC CLP</w:t>
            </w:r>
          </w:p>
        </w:tc>
        <w:tc>
          <w:tcPr>
            <w:tcW w:w="1768" w:type="dxa"/>
          </w:tcPr>
          <w:p w14:paraId="144B5402"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0.1041</w:t>
            </w:r>
          </w:p>
        </w:tc>
        <w:tc>
          <w:tcPr>
            <w:tcW w:w="1768" w:type="dxa"/>
          </w:tcPr>
          <w:p w14:paraId="28E28F85"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0.3186</w:t>
            </w:r>
          </w:p>
        </w:tc>
        <w:tc>
          <w:tcPr>
            <w:tcW w:w="1768" w:type="dxa"/>
          </w:tcPr>
          <w:p w14:paraId="16A89D09"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0.3267</w:t>
            </w:r>
          </w:p>
        </w:tc>
        <w:tc>
          <w:tcPr>
            <w:tcW w:w="1768" w:type="dxa"/>
          </w:tcPr>
          <w:p w14:paraId="5D9D3331"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0.7439</w:t>
            </w:r>
          </w:p>
        </w:tc>
      </w:tr>
      <w:tr w:rsidR="00BE3F39" w14:paraId="405DEC76"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DD231DF" w14:textId="77777777" w:rsidR="00BE3F39" w:rsidRDefault="00CA5D84">
            <w:r>
              <w:rPr>
                <w:sz w:val="20"/>
              </w:rPr>
              <w:lastRenderedPageBreak/>
              <w:t>Δ Tasa local</w:t>
            </w:r>
          </w:p>
        </w:tc>
        <w:tc>
          <w:tcPr>
            <w:tcW w:w="1768" w:type="dxa"/>
          </w:tcPr>
          <w:p w14:paraId="53D0002B"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-0.0034</w:t>
            </w:r>
          </w:p>
        </w:tc>
        <w:tc>
          <w:tcPr>
            <w:tcW w:w="1768" w:type="dxa"/>
          </w:tcPr>
          <w:p w14:paraId="6DA34863"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0.0153</w:t>
            </w:r>
          </w:p>
        </w:tc>
        <w:tc>
          <w:tcPr>
            <w:tcW w:w="1768" w:type="dxa"/>
          </w:tcPr>
          <w:p w14:paraId="2C1CE4D8"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-0.2254</w:t>
            </w:r>
          </w:p>
        </w:tc>
        <w:tc>
          <w:tcPr>
            <w:tcW w:w="1768" w:type="dxa"/>
          </w:tcPr>
          <w:p w14:paraId="6B83F514"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0.8217</w:t>
            </w:r>
          </w:p>
        </w:tc>
      </w:tr>
      <w:tr w:rsidR="00BE3F39" w14:paraId="49F53505"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E454FCB" w14:textId="77777777" w:rsidR="00BE3F39" w:rsidRDefault="00CA5D84">
            <w:r>
              <w:rPr>
                <w:sz w:val="20"/>
              </w:rPr>
              <w:t>Δ Actividad local</w:t>
            </w:r>
          </w:p>
        </w:tc>
        <w:tc>
          <w:tcPr>
            <w:tcW w:w="1768" w:type="dxa"/>
          </w:tcPr>
          <w:p w14:paraId="74131248"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0.2122</w:t>
            </w:r>
          </w:p>
        </w:tc>
        <w:tc>
          <w:tcPr>
            <w:tcW w:w="1768" w:type="dxa"/>
          </w:tcPr>
          <w:p w14:paraId="1AB157F5"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0.2660</w:t>
            </w:r>
          </w:p>
        </w:tc>
        <w:tc>
          <w:tcPr>
            <w:tcW w:w="1768" w:type="dxa"/>
          </w:tcPr>
          <w:p w14:paraId="208818F7"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0.7976</w:t>
            </w:r>
          </w:p>
        </w:tc>
        <w:tc>
          <w:tcPr>
            <w:tcW w:w="1768" w:type="dxa"/>
          </w:tcPr>
          <w:p w14:paraId="20326FBC"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0.4251</w:t>
            </w:r>
          </w:p>
        </w:tc>
      </w:tr>
    </w:tbl>
    <w:p w14:paraId="5EFFE3B8" w14:textId="77777777" w:rsidR="00BE3F39" w:rsidRDefault="00BE3F39"/>
    <w:p w14:paraId="19D0010F" w14:textId="77777777" w:rsidR="00BE3F39" w:rsidRDefault="00CA5D84">
      <w:r>
        <w:t>N = 216; R² = 0.3305; empresas = 1.</w:t>
      </w:r>
    </w:p>
    <w:p w14:paraId="5BC54F8D" w14:textId="77777777" w:rsidR="00BE3F39" w:rsidRDefault="00CA5D84">
      <w:pPr>
        <w:pStyle w:val="Ttulo3"/>
      </w:pPr>
      <w:bookmarkStart w:id="79" w:name="_Toc231082825"/>
      <w:r>
        <w:t xml:space="preserve">D.3 </w:t>
      </w:r>
      <w:r>
        <w:t>Muestra C — sector minero, mercado chileno</w:t>
      </w:r>
      <w:bookmarkEnd w:id="79"/>
    </w:p>
    <w:p w14:paraId="3B89A96B" w14:textId="1392C8A7" w:rsidR="00BE3F39" w:rsidRDefault="00CA5D84">
      <w:pPr>
        <w:pStyle w:val="Descripcin"/>
        <w:jc w:val="center"/>
      </w:pPr>
      <w:bookmarkStart w:id="80" w:name="_Toc231082841"/>
      <w:r>
        <w:rPr>
          <w:sz w:val="20"/>
        </w:rPr>
        <w:t xml:space="preserve">Tabla </w:t>
      </w:r>
      <w:r>
        <w:fldChar w:fldCharType="begin"/>
      </w:r>
      <w:r>
        <w:instrText xml:space="preserve"> SEQ Tabla \* ARABIC </w:instrText>
      </w:r>
      <w:r>
        <w:fldChar w:fldCharType="separate"/>
      </w:r>
      <w:r>
        <w:rPr>
          <w:noProof/>
        </w:rPr>
        <w:t>10</w:t>
      </w:r>
      <w:r>
        <w:fldChar w:fldCharType="end"/>
      </w:r>
      <w:r>
        <w:rPr>
          <w:sz w:val="20"/>
        </w:rPr>
        <w:t>.</w:t>
      </w:r>
      <w:bookmarkEnd w:id="80"/>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BE3F39" w14:paraId="38FE5E1A" w14:textId="77777777" w:rsidTr="00BE3F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2B353581" w14:textId="77777777" w:rsidR="00BE3F39" w:rsidRDefault="00CA5D84">
            <w:r>
              <w:rPr>
                <w:sz w:val="20"/>
              </w:rPr>
              <w:t>Regresor</w:t>
            </w:r>
          </w:p>
        </w:tc>
        <w:tc>
          <w:tcPr>
            <w:tcW w:w="1768" w:type="dxa"/>
          </w:tcPr>
          <w:p w14:paraId="33526237"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Coef.</w:t>
            </w:r>
          </w:p>
        </w:tc>
        <w:tc>
          <w:tcPr>
            <w:tcW w:w="1768" w:type="dxa"/>
          </w:tcPr>
          <w:p w14:paraId="7A8EB556"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Error est.</w:t>
            </w:r>
          </w:p>
        </w:tc>
        <w:tc>
          <w:tcPr>
            <w:tcW w:w="1768" w:type="dxa"/>
          </w:tcPr>
          <w:p w14:paraId="4FCFB0E2"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t</w:t>
            </w:r>
          </w:p>
        </w:tc>
        <w:tc>
          <w:tcPr>
            <w:tcW w:w="1768" w:type="dxa"/>
          </w:tcPr>
          <w:p w14:paraId="6DC1A5B1"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p-valor</w:t>
            </w:r>
          </w:p>
        </w:tc>
      </w:tr>
      <w:tr w:rsidR="00BE3F39" w14:paraId="63500F7B"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116CED61" w14:textId="77777777" w:rsidR="00BE3F39" w:rsidRDefault="00CA5D84">
            <w:r>
              <w:rPr>
                <w:sz w:val="20"/>
              </w:rPr>
              <w:t>Constante</w:t>
            </w:r>
          </w:p>
        </w:tc>
        <w:tc>
          <w:tcPr>
            <w:tcW w:w="1768" w:type="dxa"/>
          </w:tcPr>
          <w:p w14:paraId="1ADB653A"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0.0071</w:t>
            </w:r>
          </w:p>
        </w:tc>
        <w:tc>
          <w:tcPr>
            <w:tcW w:w="1768" w:type="dxa"/>
          </w:tcPr>
          <w:p w14:paraId="6DC72461"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0.0044</w:t>
            </w:r>
          </w:p>
        </w:tc>
        <w:tc>
          <w:tcPr>
            <w:tcW w:w="1768" w:type="dxa"/>
          </w:tcPr>
          <w:p w14:paraId="0BCB93E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1.6123</w:t>
            </w:r>
          </w:p>
        </w:tc>
        <w:tc>
          <w:tcPr>
            <w:tcW w:w="1768" w:type="dxa"/>
          </w:tcPr>
          <w:p w14:paraId="1BF6BA26"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0.1073</w:t>
            </w:r>
          </w:p>
        </w:tc>
      </w:tr>
      <w:tr w:rsidR="00BE3F39" w14:paraId="7B23202A"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116ECD0F" w14:textId="77777777" w:rsidR="00BE3F39" w:rsidRDefault="00CA5D84">
            <w:r>
              <w:rPr>
                <w:sz w:val="20"/>
              </w:rPr>
              <w:t>Δ Cobre</w:t>
            </w:r>
          </w:p>
        </w:tc>
        <w:tc>
          <w:tcPr>
            <w:tcW w:w="1768" w:type="dxa"/>
          </w:tcPr>
          <w:p w14:paraId="62BD7716"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0.4185</w:t>
            </w:r>
          </w:p>
        </w:tc>
        <w:tc>
          <w:tcPr>
            <w:tcW w:w="1768" w:type="dxa"/>
          </w:tcPr>
          <w:p w14:paraId="198E8181"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0.0669</w:t>
            </w:r>
          </w:p>
        </w:tc>
        <w:tc>
          <w:tcPr>
            <w:tcW w:w="1768" w:type="dxa"/>
          </w:tcPr>
          <w:p w14:paraId="0B0AE4AB"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6.2597</w:t>
            </w:r>
          </w:p>
        </w:tc>
        <w:tc>
          <w:tcPr>
            <w:tcW w:w="1768" w:type="dxa"/>
          </w:tcPr>
          <w:p w14:paraId="3BF32D71"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0.0000</w:t>
            </w:r>
          </w:p>
        </w:tc>
      </w:tr>
      <w:tr w:rsidR="00BE3F39" w14:paraId="01022B55"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D95DC7A" w14:textId="77777777" w:rsidR="00BE3F39" w:rsidRDefault="00CA5D84">
            <w:r>
              <w:rPr>
                <w:sz w:val="20"/>
              </w:rPr>
              <w:t>Δ VIX</w:t>
            </w:r>
          </w:p>
        </w:tc>
        <w:tc>
          <w:tcPr>
            <w:tcW w:w="1768" w:type="dxa"/>
          </w:tcPr>
          <w:p w14:paraId="4937F97B"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-0.0034</w:t>
            </w:r>
          </w:p>
        </w:tc>
        <w:tc>
          <w:tcPr>
            <w:tcW w:w="1768" w:type="dxa"/>
          </w:tcPr>
          <w:p w14:paraId="036AB044"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0.0008</w:t>
            </w:r>
          </w:p>
        </w:tc>
        <w:tc>
          <w:tcPr>
            <w:tcW w:w="1768" w:type="dxa"/>
          </w:tcPr>
          <w:p w14:paraId="2EF8C63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-3.9640</w:t>
            </w:r>
          </w:p>
        </w:tc>
        <w:tc>
          <w:tcPr>
            <w:tcW w:w="1768" w:type="dxa"/>
          </w:tcPr>
          <w:p w14:paraId="18DA1271"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0.0001</w:t>
            </w:r>
          </w:p>
        </w:tc>
      </w:tr>
      <w:tr w:rsidR="00BE3F39" w14:paraId="06A9FDFC"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4B450AC9" w14:textId="77777777" w:rsidR="00BE3F39" w:rsidRDefault="00CA5D84">
            <w:r>
              <w:rPr>
                <w:sz w:val="20"/>
              </w:rPr>
              <w:t>Δ Fed Funds</w:t>
            </w:r>
          </w:p>
        </w:tc>
        <w:tc>
          <w:tcPr>
            <w:tcW w:w="1768" w:type="dxa"/>
          </w:tcPr>
          <w:p w14:paraId="32BB8F9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0.0153</w:t>
            </w:r>
          </w:p>
        </w:tc>
        <w:tc>
          <w:tcPr>
            <w:tcW w:w="1768" w:type="dxa"/>
          </w:tcPr>
          <w:p w14:paraId="60819A74"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0.0269</w:t>
            </w:r>
          </w:p>
        </w:tc>
        <w:tc>
          <w:tcPr>
            <w:tcW w:w="1768" w:type="dxa"/>
          </w:tcPr>
          <w:p w14:paraId="670F5038"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0.5680</w:t>
            </w:r>
          </w:p>
        </w:tc>
        <w:tc>
          <w:tcPr>
            <w:tcW w:w="1768" w:type="dxa"/>
          </w:tcPr>
          <w:p w14:paraId="51856CC1"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0.5702</w:t>
            </w:r>
          </w:p>
        </w:tc>
      </w:tr>
      <w:tr w:rsidR="00BE3F39" w14:paraId="5AC21AC7"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4281662B" w14:textId="77777777" w:rsidR="00BE3F39" w:rsidRDefault="00CA5D84">
            <w:r>
              <w:rPr>
                <w:sz w:val="20"/>
              </w:rPr>
              <w:t>Δ Treasury 10Y</w:t>
            </w:r>
          </w:p>
        </w:tc>
        <w:tc>
          <w:tcPr>
            <w:tcW w:w="1768" w:type="dxa"/>
          </w:tcPr>
          <w:p w14:paraId="79394D3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0.0346</w:t>
            </w:r>
          </w:p>
        </w:tc>
        <w:tc>
          <w:tcPr>
            <w:tcW w:w="1768" w:type="dxa"/>
          </w:tcPr>
          <w:p w14:paraId="26554A9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0.0180</w:t>
            </w:r>
          </w:p>
        </w:tc>
        <w:tc>
          <w:tcPr>
            <w:tcW w:w="1768" w:type="dxa"/>
          </w:tcPr>
          <w:p w14:paraId="311C7C6C"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1.9229</w:t>
            </w:r>
          </w:p>
        </w:tc>
        <w:tc>
          <w:tcPr>
            <w:tcW w:w="1768" w:type="dxa"/>
          </w:tcPr>
          <w:p w14:paraId="2CDDF9BA"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0.0548</w:t>
            </w:r>
          </w:p>
        </w:tc>
      </w:tr>
      <w:tr w:rsidR="00BE3F39" w14:paraId="1FCF3809"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38A25B3" w14:textId="77777777" w:rsidR="00BE3F39" w:rsidRDefault="00CA5D84">
            <w:r>
              <w:rPr>
                <w:sz w:val="20"/>
              </w:rPr>
              <w:t>Δ TC CLP</w:t>
            </w:r>
          </w:p>
        </w:tc>
        <w:tc>
          <w:tcPr>
            <w:tcW w:w="1768" w:type="dxa"/>
          </w:tcPr>
          <w:p w14:paraId="45D522F6"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-0.6474</w:t>
            </w:r>
          </w:p>
        </w:tc>
        <w:tc>
          <w:tcPr>
            <w:tcW w:w="1768" w:type="dxa"/>
          </w:tcPr>
          <w:p w14:paraId="1CAB1687"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0.3140</w:t>
            </w:r>
          </w:p>
        </w:tc>
        <w:tc>
          <w:tcPr>
            <w:tcW w:w="1768" w:type="dxa"/>
          </w:tcPr>
          <w:p w14:paraId="6A8C06BE"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-2.0620</w:t>
            </w:r>
          </w:p>
        </w:tc>
        <w:tc>
          <w:tcPr>
            <w:tcW w:w="1768" w:type="dxa"/>
          </w:tcPr>
          <w:p w14:paraId="18EB8EBA"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0.0395</w:t>
            </w:r>
          </w:p>
        </w:tc>
      </w:tr>
      <w:tr w:rsidR="00BE3F39" w14:paraId="27263983"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BA5692A" w14:textId="77777777" w:rsidR="00BE3F39" w:rsidRDefault="00CA5D84">
            <w:r>
              <w:rPr>
                <w:sz w:val="20"/>
              </w:rPr>
              <w:t>Δ Tasa local</w:t>
            </w:r>
          </w:p>
        </w:tc>
        <w:tc>
          <w:tcPr>
            <w:tcW w:w="1768" w:type="dxa"/>
          </w:tcPr>
          <w:p w14:paraId="43C05D6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0.0096</w:t>
            </w:r>
          </w:p>
        </w:tc>
        <w:tc>
          <w:tcPr>
            <w:tcW w:w="1768" w:type="dxa"/>
          </w:tcPr>
          <w:p w14:paraId="45CD1176"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0.0106</w:t>
            </w:r>
          </w:p>
        </w:tc>
        <w:tc>
          <w:tcPr>
            <w:tcW w:w="1768" w:type="dxa"/>
          </w:tcPr>
          <w:p w14:paraId="6723C72A"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0.9062</w:t>
            </w:r>
          </w:p>
        </w:tc>
        <w:tc>
          <w:tcPr>
            <w:tcW w:w="1768" w:type="dxa"/>
          </w:tcPr>
          <w:p w14:paraId="629C744B"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0.3651</w:t>
            </w:r>
          </w:p>
        </w:tc>
      </w:tr>
      <w:tr w:rsidR="00BE3F39" w14:paraId="1863135F"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0792F62" w14:textId="77777777" w:rsidR="00BE3F39" w:rsidRDefault="00CA5D84">
            <w:r>
              <w:rPr>
                <w:sz w:val="20"/>
              </w:rPr>
              <w:t>Δ Actividad local</w:t>
            </w:r>
          </w:p>
        </w:tc>
        <w:tc>
          <w:tcPr>
            <w:tcW w:w="1768" w:type="dxa"/>
          </w:tcPr>
          <w:p w14:paraId="441B7F72"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-0.0784</w:t>
            </w:r>
          </w:p>
        </w:tc>
        <w:tc>
          <w:tcPr>
            <w:tcW w:w="1768" w:type="dxa"/>
          </w:tcPr>
          <w:p w14:paraId="6DF4FEC5"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0.1577</w:t>
            </w:r>
          </w:p>
        </w:tc>
        <w:tc>
          <w:tcPr>
            <w:tcW w:w="1768" w:type="dxa"/>
          </w:tcPr>
          <w:p w14:paraId="6ADEC65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-0.4970</w:t>
            </w:r>
          </w:p>
        </w:tc>
        <w:tc>
          <w:tcPr>
            <w:tcW w:w="1768" w:type="dxa"/>
          </w:tcPr>
          <w:p w14:paraId="7F6D1F9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0.6193</w:t>
            </w:r>
          </w:p>
        </w:tc>
      </w:tr>
    </w:tbl>
    <w:p w14:paraId="2BEAD9B0" w14:textId="77777777" w:rsidR="00BE3F39" w:rsidRDefault="00BE3F39"/>
    <w:p w14:paraId="6BADF4ED" w14:textId="77777777" w:rsidR="00BE3F39" w:rsidRDefault="00CA5D84">
      <w:r>
        <w:t>N = 864; R² = 0.1132; empresas = 4.</w:t>
      </w:r>
    </w:p>
    <w:p w14:paraId="0B9A0696" w14:textId="77777777" w:rsidR="00BE3F39" w:rsidRDefault="00CA5D84">
      <w:pPr>
        <w:pStyle w:val="Ttulo2"/>
      </w:pPr>
      <w:bookmarkStart w:id="81" w:name="_Toc231082826"/>
      <w:r>
        <w:t xml:space="preserve">Anexo E. </w:t>
      </w:r>
      <w:r>
        <w:t>Cointegración (test de Johansen)</w:t>
      </w:r>
      <w:bookmarkEnd w:id="81"/>
    </w:p>
    <w:p w14:paraId="2EFB5DEB" w14:textId="7B266870" w:rsidR="00BE3F39" w:rsidRDefault="00CA5D84">
      <w:pPr>
        <w:pStyle w:val="Descripcin"/>
        <w:jc w:val="center"/>
      </w:pPr>
      <w:bookmarkStart w:id="82" w:name="_Toc231082842"/>
      <w:r>
        <w:rPr>
          <w:sz w:val="20"/>
        </w:rPr>
        <w:t xml:space="preserve">Tabla </w:t>
      </w:r>
      <w:r>
        <w:fldChar w:fldCharType="begin"/>
      </w:r>
      <w:r>
        <w:instrText xml:space="preserve"> SEQ Tabla \* ARABIC </w:instrText>
      </w:r>
      <w:r>
        <w:fldChar w:fldCharType="separate"/>
      </w:r>
      <w:r>
        <w:rPr>
          <w:noProof/>
        </w:rPr>
        <w:t>11</w:t>
      </w:r>
      <w:r>
        <w:fldChar w:fldCharType="end"/>
      </w:r>
      <w:r>
        <w:rPr>
          <w:sz w:val="20"/>
        </w:rPr>
        <w:t>.</w:t>
      </w:r>
      <w:bookmarkEnd w:id="82"/>
      <w:r>
        <w:rPr>
          <w:sz w:val="20"/>
        </w:rPr>
        <w:t xml:space="preserve"> </w:t>
      </w:r>
    </w:p>
    <w:tbl>
      <w:tblPr>
        <w:tblStyle w:val="Cuadrculaclara-nfasis1"/>
        <w:tblW w:w="0" w:type="auto"/>
        <w:tblLook w:val="04A0" w:firstRow="1" w:lastRow="0" w:firstColumn="1" w:lastColumn="0" w:noHBand="0" w:noVBand="1"/>
      </w:tblPr>
      <w:tblGrid>
        <w:gridCol w:w="1474"/>
        <w:gridCol w:w="1474"/>
        <w:gridCol w:w="1474"/>
        <w:gridCol w:w="1474"/>
        <w:gridCol w:w="1474"/>
        <w:gridCol w:w="1474"/>
      </w:tblGrid>
      <w:tr w:rsidR="00BE3F39" w14:paraId="2374F853" w14:textId="77777777" w:rsidTr="00BE3F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7C4EC766" w14:textId="77777777" w:rsidR="00BE3F39" w:rsidRDefault="00CA5D84">
            <w:r>
              <w:rPr>
                <w:sz w:val="20"/>
              </w:rPr>
              <w:t>Rango</w:t>
            </w:r>
          </w:p>
        </w:tc>
        <w:tc>
          <w:tcPr>
            <w:tcW w:w="1474" w:type="dxa"/>
          </w:tcPr>
          <w:p w14:paraId="75449BBF"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Traza</w:t>
            </w:r>
          </w:p>
        </w:tc>
        <w:tc>
          <w:tcPr>
            <w:tcW w:w="1474" w:type="dxa"/>
          </w:tcPr>
          <w:p w14:paraId="6417ECCA"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VC 95%</w:t>
            </w:r>
          </w:p>
        </w:tc>
        <w:tc>
          <w:tcPr>
            <w:tcW w:w="1474" w:type="dxa"/>
          </w:tcPr>
          <w:p w14:paraId="04E3EBB6"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Máx-Eig</w:t>
            </w:r>
          </w:p>
        </w:tc>
        <w:tc>
          <w:tcPr>
            <w:tcW w:w="1474" w:type="dxa"/>
          </w:tcPr>
          <w:p w14:paraId="36D64EEE"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VC 95% (ME)</w:t>
            </w:r>
          </w:p>
        </w:tc>
        <w:tc>
          <w:tcPr>
            <w:tcW w:w="1474" w:type="dxa"/>
          </w:tcPr>
          <w:p w14:paraId="569EC193"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Cointegra</w:t>
            </w:r>
          </w:p>
        </w:tc>
      </w:tr>
      <w:tr w:rsidR="00BE3F39" w14:paraId="43741DC5"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59674C69" w14:textId="77777777" w:rsidR="00BE3F39" w:rsidRDefault="00CA5D84">
            <w:r>
              <w:rPr>
                <w:sz w:val="20"/>
              </w:rPr>
              <w:t>r&lt;=0</w:t>
            </w:r>
          </w:p>
        </w:tc>
        <w:tc>
          <w:tcPr>
            <w:tcW w:w="1474" w:type="dxa"/>
          </w:tcPr>
          <w:p w14:paraId="6AEB443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32.1032</w:t>
            </w:r>
          </w:p>
        </w:tc>
        <w:tc>
          <w:tcPr>
            <w:tcW w:w="1474" w:type="dxa"/>
          </w:tcPr>
          <w:p w14:paraId="5EA3E2CA"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29.7961</w:t>
            </w:r>
          </w:p>
        </w:tc>
        <w:tc>
          <w:tcPr>
            <w:tcW w:w="1474" w:type="dxa"/>
          </w:tcPr>
          <w:p w14:paraId="50405B3D"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23.0885</w:t>
            </w:r>
          </w:p>
        </w:tc>
        <w:tc>
          <w:tcPr>
            <w:tcW w:w="1474" w:type="dxa"/>
          </w:tcPr>
          <w:p w14:paraId="4FF916AA"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21.1314</w:t>
            </w:r>
          </w:p>
        </w:tc>
        <w:tc>
          <w:tcPr>
            <w:tcW w:w="1474" w:type="dxa"/>
          </w:tcPr>
          <w:p w14:paraId="21E759F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1.0000</w:t>
            </w:r>
          </w:p>
        </w:tc>
      </w:tr>
      <w:tr w:rsidR="00BE3F39" w14:paraId="7B33B700"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58A6E6C1" w14:textId="77777777" w:rsidR="00BE3F39" w:rsidRDefault="00CA5D84">
            <w:r>
              <w:rPr>
                <w:sz w:val="20"/>
              </w:rPr>
              <w:t>r&lt;=1</w:t>
            </w:r>
          </w:p>
        </w:tc>
        <w:tc>
          <w:tcPr>
            <w:tcW w:w="1474" w:type="dxa"/>
          </w:tcPr>
          <w:p w14:paraId="15EF724D"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9.0147</w:t>
            </w:r>
          </w:p>
        </w:tc>
        <w:tc>
          <w:tcPr>
            <w:tcW w:w="1474" w:type="dxa"/>
          </w:tcPr>
          <w:p w14:paraId="1E00B4F0"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15.4943</w:t>
            </w:r>
          </w:p>
        </w:tc>
        <w:tc>
          <w:tcPr>
            <w:tcW w:w="1474" w:type="dxa"/>
          </w:tcPr>
          <w:p w14:paraId="1C2A212C"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7.0567</w:t>
            </w:r>
          </w:p>
        </w:tc>
        <w:tc>
          <w:tcPr>
            <w:tcW w:w="1474" w:type="dxa"/>
          </w:tcPr>
          <w:p w14:paraId="1747617D"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14.2639</w:t>
            </w:r>
          </w:p>
        </w:tc>
        <w:tc>
          <w:tcPr>
            <w:tcW w:w="1474" w:type="dxa"/>
          </w:tcPr>
          <w:p w14:paraId="2873BD59"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0.0000</w:t>
            </w:r>
          </w:p>
        </w:tc>
      </w:tr>
      <w:tr w:rsidR="00BE3F39" w14:paraId="625F5CA7"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0A0079A2" w14:textId="77777777" w:rsidR="00BE3F39" w:rsidRDefault="00CA5D84">
            <w:r>
              <w:rPr>
                <w:sz w:val="20"/>
              </w:rPr>
              <w:t>r&lt;=2</w:t>
            </w:r>
          </w:p>
        </w:tc>
        <w:tc>
          <w:tcPr>
            <w:tcW w:w="1474" w:type="dxa"/>
          </w:tcPr>
          <w:p w14:paraId="4F46EE6D"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1.9580</w:t>
            </w:r>
          </w:p>
        </w:tc>
        <w:tc>
          <w:tcPr>
            <w:tcW w:w="1474" w:type="dxa"/>
          </w:tcPr>
          <w:p w14:paraId="6F35BCBD"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3.8415</w:t>
            </w:r>
          </w:p>
        </w:tc>
        <w:tc>
          <w:tcPr>
            <w:tcW w:w="1474" w:type="dxa"/>
          </w:tcPr>
          <w:p w14:paraId="7B968323"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1.9580</w:t>
            </w:r>
          </w:p>
        </w:tc>
        <w:tc>
          <w:tcPr>
            <w:tcW w:w="1474" w:type="dxa"/>
          </w:tcPr>
          <w:p w14:paraId="5831C5E2"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3.8415</w:t>
            </w:r>
          </w:p>
        </w:tc>
        <w:tc>
          <w:tcPr>
            <w:tcW w:w="1474" w:type="dxa"/>
          </w:tcPr>
          <w:p w14:paraId="088145CC"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0.0000</w:t>
            </w:r>
          </w:p>
        </w:tc>
      </w:tr>
    </w:tbl>
    <w:p w14:paraId="7F725FAF" w14:textId="77777777" w:rsidR="00BE3F39" w:rsidRDefault="00BE3F39"/>
    <w:p w14:paraId="61CDC7CA" w14:textId="77777777" w:rsidR="00BE3F39" w:rsidRDefault="00CA5D84">
      <w:pPr>
        <w:pStyle w:val="Ttulo2"/>
      </w:pPr>
      <w:bookmarkStart w:id="83" w:name="_Toc231082827"/>
      <w:r>
        <w:t>Anexo F. Descomposición de varianza (FEVD) por horizonte — muestra B</w:t>
      </w:r>
      <w:bookmarkEnd w:id="83"/>
    </w:p>
    <w:p w14:paraId="2E767D1B" w14:textId="5EDCFCEA" w:rsidR="00BE3F39" w:rsidRDefault="00CA5D84">
      <w:pPr>
        <w:pStyle w:val="Descripcin"/>
        <w:jc w:val="center"/>
      </w:pPr>
      <w:bookmarkStart w:id="84" w:name="_Toc231082843"/>
      <w:r>
        <w:rPr>
          <w:sz w:val="20"/>
        </w:rPr>
        <w:t xml:space="preserve">Tabla </w:t>
      </w:r>
      <w:r>
        <w:fldChar w:fldCharType="begin"/>
      </w:r>
      <w:r>
        <w:instrText xml:space="preserve"> SEQ Tabla \* ARABIC </w:instrText>
      </w:r>
      <w:r>
        <w:fldChar w:fldCharType="separate"/>
      </w:r>
      <w:r>
        <w:rPr>
          <w:noProof/>
        </w:rPr>
        <w:t>12</w:t>
      </w:r>
      <w:r>
        <w:fldChar w:fldCharType="end"/>
      </w:r>
      <w:r>
        <w:rPr>
          <w:sz w:val="20"/>
        </w:rPr>
        <w:t>.</w:t>
      </w:r>
      <w:bookmarkEnd w:id="84"/>
      <w:r>
        <w:rPr>
          <w:sz w:val="20"/>
        </w:rPr>
        <w:t xml:space="preserve"> </w:t>
      </w:r>
    </w:p>
    <w:tbl>
      <w:tblPr>
        <w:tblStyle w:val="Cuadrculaclara-nfasis1"/>
        <w:tblW w:w="0" w:type="auto"/>
        <w:tblLook w:val="04A0" w:firstRow="1" w:lastRow="0" w:firstColumn="1" w:lastColumn="0" w:noHBand="0" w:noVBand="1"/>
      </w:tblPr>
      <w:tblGrid>
        <w:gridCol w:w="1474"/>
        <w:gridCol w:w="1474"/>
        <w:gridCol w:w="1474"/>
        <w:gridCol w:w="1474"/>
        <w:gridCol w:w="1474"/>
        <w:gridCol w:w="1474"/>
      </w:tblGrid>
      <w:tr w:rsidR="00BE3F39" w14:paraId="55627372" w14:textId="77777777" w:rsidTr="00BE3F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12AA3DCB" w14:textId="77777777" w:rsidR="00BE3F39" w:rsidRDefault="00CA5D84">
            <w:r>
              <w:rPr>
                <w:sz w:val="20"/>
              </w:rPr>
              <w:lastRenderedPageBreak/>
              <w:t>Horizonte</w:t>
            </w:r>
          </w:p>
        </w:tc>
        <w:tc>
          <w:tcPr>
            <w:tcW w:w="1474" w:type="dxa"/>
          </w:tcPr>
          <w:p w14:paraId="28114514"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Δ Cobre</w:t>
            </w:r>
          </w:p>
        </w:tc>
        <w:tc>
          <w:tcPr>
            <w:tcW w:w="1474" w:type="dxa"/>
          </w:tcPr>
          <w:p w14:paraId="3993C9D0"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Δ VIX</w:t>
            </w:r>
          </w:p>
        </w:tc>
        <w:tc>
          <w:tcPr>
            <w:tcW w:w="1474" w:type="dxa"/>
          </w:tcPr>
          <w:p w14:paraId="75B1F738"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Δ TC CLP</w:t>
            </w:r>
          </w:p>
        </w:tc>
        <w:tc>
          <w:tcPr>
            <w:tcW w:w="1474" w:type="dxa"/>
          </w:tcPr>
          <w:p w14:paraId="47660432"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Δ Tasa local</w:t>
            </w:r>
          </w:p>
        </w:tc>
        <w:tc>
          <w:tcPr>
            <w:tcW w:w="1474" w:type="dxa"/>
          </w:tcPr>
          <w:p w14:paraId="2FBBDEE3"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Retorno cartera</w:t>
            </w:r>
          </w:p>
        </w:tc>
      </w:tr>
      <w:tr w:rsidR="00BE3F39" w14:paraId="715E6E4E"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CF3B31B" w14:textId="77777777" w:rsidR="00BE3F39" w:rsidRDefault="00CA5D84">
            <w:r>
              <w:rPr>
                <w:sz w:val="20"/>
              </w:rPr>
              <w:t>h = 1</w:t>
            </w:r>
          </w:p>
        </w:tc>
        <w:tc>
          <w:tcPr>
            <w:tcW w:w="1474" w:type="dxa"/>
          </w:tcPr>
          <w:p w14:paraId="6C2AF2B7"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0.1821</w:t>
            </w:r>
          </w:p>
        </w:tc>
        <w:tc>
          <w:tcPr>
            <w:tcW w:w="1474" w:type="dxa"/>
          </w:tcPr>
          <w:p w14:paraId="46AE438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0.1493</w:t>
            </w:r>
          </w:p>
        </w:tc>
        <w:tc>
          <w:tcPr>
            <w:tcW w:w="1474" w:type="dxa"/>
          </w:tcPr>
          <w:p w14:paraId="26606A6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0.0229</w:t>
            </w:r>
          </w:p>
        </w:tc>
        <w:tc>
          <w:tcPr>
            <w:tcW w:w="1474" w:type="dxa"/>
          </w:tcPr>
          <w:p w14:paraId="5BDFCB23"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0.0008</w:t>
            </w:r>
          </w:p>
        </w:tc>
        <w:tc>
          <w:tcPr>
            <w:tcW w:w="1474" w:type="dxa"/>
          </w:tcPr>
          <w:p w14:paraId="3380DB0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0.6449</w:t>
            </w:r>
          </w:p>
        </w:tc>
      </w:tr>
      <w:tr w:rsidR="00BE3F39" w14:paraId="5367B256"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4EBAA856" w14:textId="77777777" w:rsidR="00BE3F39" w:rsidRDefault="00CA5D84">
            <w:r>
              <w:rPr>
                <w:sz w:val="20"/>
              </w:rPr>
              <w:t>h = 6</w:t>
            </w:r>
          </w:p>
        </w:tc>
        <w:tc>
          <w:tcPr>
            <w:tcW w:w="1474" w:type="dxa"/>
          </w:tcPr>
          <w:p w14:paraId="69D8CAC6"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0.1802</w:t>
            </w:r>
          </w:p>
        </w:tc>
        <w:tc>
          <w:tcPr>
            <w:tcW w:w="1474" w:type="dxa"/>
          </w:tcPr>
          <w:p w14:paraId="3CE7FE79"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0.1405</w:t>
            </w:r>
          </w:p>
        </w:tc>
        <w:tc>
          <w:tcPr>
            <w:tcW w:w="1474" w:type="dxa"/>
          </w:tcPr>
          <w:p w14:paraId="2B1A3B0E"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0.0222</w:t>
            </w:r>
          </w:p>
        </w:tc>
        <w:tc>
          <w:tcPr>
            <w:tcW w:w="1474" w:type="dxa"/>
          </w:tcPr>
          <w:p w14:paraId="28584C6C"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0.0284</w:t>
            </w:r>
          </w:p>
        </w:tc>
        <w:tc>
          <w:tcPr>
            <w:tcW w:w="1474" w:type="dxa"/>
          </w:tcPr>
          <w:p w14:paraId="5E7897E2"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0.6287</w:t>
            </w:r>
          </w:p>
        </w:tc>
      </w:tr>
      <w:tr w:rsidR="00BE3F39" w14:paraId="13EFA0F5"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4C316309" w14:textId="77777777" w:rsidR="00BE3F39" w:rsidRDefault="00CA5D84">
            <w:r>
              <w:rPr>
                <w:sz w:val="20"/>
              </w:rPr>
              <w:t xml:space="preserve">h = </w:t>
            </w:r>
            <w:r>
              <w:rPr>
                <w:sz w:val="20"/>
              </w:rPr>
              <w:t>12</w:t>
            </w:r>
          </w:p>
        </w:tc>
        <w:tc>
          <w:tcPr>
            <w:tcW w:w="1474" w:type="dxa"/>
          </w:tcPr>
          <w:p w14:paraId="1DB12949"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0.1798</w:t>
            </w:r>
          </w:p>
        </w:tc>
        <w:tc>
          <w:tcPr>
            <w:tcW w:w="1474" w:type="dxa"/>
          </w:tcPr>
          <w:p w14:paraId="3089A744"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0.1401</w:t>
            </w:r>
          </w:p>
        </w:tc>
        <w:tc>
          <w:tcPr>
            <w:tcW w:w="1474" w:type="dxa"/>
          </w:tcPr>
          <w:p w14:paraId="2BE2BC1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0.0222</w:t>
            </w:r>
          </w:p>
        </w:tc>
        <w:tc>
          <w:tcPr>
            <w:tcW w:w="1474" w:type="dxa"/>
          </w:tcPr>
          <w:p w14:paraId="34557BEB"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0.0308</w:t>
            </w:r>
          </w:p>
        </w:tc>
        <w:tc>
          <w:tcPr>
            <w:tcW w:w="1474" w:type="dxa"/>
          </w:tcPr>
          <w:p w14:paraId="4E7FB27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0.6271</w:t>
            </w:r>
          </w:p>
        </w:tc>
      </w:tr>
      <w:tr w:rsidR="00BE3F39" w14:paraId="0F91A8B3"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6AFEA347" w14:textId="77777777" w:rsidR="00BE3F39" w:rsidRDefault="00CA5D84">
            <w:r>
              <w:rPr>
                <w:sz w:val="20"/>
              </w:rPr>
              <w:t>h = 24</w:t>
            </w:r>
          </w:p>
        </w:tc>
        <w:tc>
          <w:tcPr>
            <w:tcW w:w="1474" w:type="dxa"/>
          </w:tcPr>
          <w:p w14:paraId="45CAD78C"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0.1798</w:t>
            </w:r>
          </w:p>
        </w:tc>
        <w:tc>
          <w:tcPr>
            <w:tcW w:w="1474" w:type="dxa"/>
          </w:tcPr>
          <w:p w14:paraId="11BC0056"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0.1401</w:t>
            </w:r>
          </w:p>
        </w:tc>
        <w:tc>
          <w:tcPr>
            <w:tcW w:w="1474" w:type="dxa"/>
          </w:tcPr>
          <w:p w14:paraId="74659AFC"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0.0222</w:t>
            </w:r>
          </w:p>
        </w:tc>
        <w:tc>
          <w:tcPr>
            <w:tcW w:w="1474" w:type="dxa"/>
          </w:tcPr>
          <w:p w14:paraId="78F7BB24"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0.0308</w:t>
            </w:r>
          </w:p>
        </w:tc>
        <w:tc>
          <w:tcPr>
            <w:tcW w:w="1474" w:type="dxa"/>
          </w:tcPr>
          <w:p w14:paraId="52D34F2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0.6271</w:t>
            </w:r>
          </w:p>
        </w:tc>
      </w:tr>
    </w:tbl>
    <w:p w14:paraId="6201A0B5" w14:textId="77777777" w:rsidR="00BE3F39" w:rsidRDefault="00BE3F39"/>
    <w:p w14:paraId="737F3D1B" w14:textId="77777777" w:rsidR="00BE3F39" w:rsidRDefault="00CA5D84">
      <w:pPr>
        <w:pStyle w:val="Ttulo2"/>
      </w:pPr>
      <w:bookmarkStart w:id="85" w:name="_Toc231082828"/>
      <w:r>
        <w:t>Anexo G. Fuentes de datos</w:t>
      </w:r>
      <w:bookmarkEnd w:id="85"/>
    </w:p>
    <w:p w14:paraId="73583096" w14:textId="3F2052A6" w:rsidR="00BE3F39" w:rsidRDefault="00CA5D84">
      <w:pPr>
        <w:pStyle w:val="Descripcin"/>
        <w:jc w:val="center"/>
      </w:pPr>
      <w:bookmarkStart w:id="86" w:name="_Toc231082844"/>
      <w:r>
        <w:rPr>
          <w:sz w:val="20"/>
        </w:rPr>
        <w:t xml:space="preserve">Tabla </w:t>
      </w:r>
      <w:r>
        <w:fldChar w:fldCharType="begin"/>
      </w:r>
      <w:r>
        <w:instrText xml:space="preserve"> SEQ Tabla \* ARABIC </w:instrText>
      </w:r>
      <w:r>
        <w:fldChar w:fldCharType="separate"/>
      </w:r>
      <w:r>
        <w:rPr>
          <w:noProof/>
        </w:rPr>
        <w:t>13</w:t>
      </w:r>
      <w:r>
        <w:fldChar w:fldCharType="end"/>
      </w:r>
      <w:r>
        <w:rPr>
          <w:sz w:val="20"/>
        </w:rPr>
        <w:t>.</w:t>
      </w:r>
      <w:bookmarkEnd w:id="86"/>
      <w:r>
        <w:rPr>
          <w:sz w:val="20"/>
        </w:rPr>
        <w:t xml:space="preserve"> </w:t>
      </w:r>
    </w:p>
    <w:tbl>
      <w:tblPr>
        <w:tblStyle w:val="Cuadrculaclara-nfasis1"/>
        <w:tblW w:w="0" w:type="auto"/>
        <w:tblLook w:val="04A0" w:firstRow="1" w:lastRow="0" w:firstColumn="1" w:lastColumn="0" w:noHBand="0" w:noVBand="1"/>
      </w:tblPr>
      <w:tblGrid>
        <w:gridCol w:w="2210"/>
        <w:gridCol w:w="2210"/>
        <w:gridCol w:w="2210"/>
        <w:gridCol w:w="2210"/>
      </w:tblGrid>
      <w:tr w:rsidR="00BE3F39" w14:paraId="0BB82182" w14:textId="77777777" w:rsidTr="00BE3F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194CED65" w14:textId="77777777" w:rsidR="00BE3F39" w:rsidRDefault="00CA5D84">
            <w:r>
              <w:rPr>
                <w:sz w:val="20"/>
              </w:rPr>
              <w:t>Variable</w:t>
            </w:r>
          </w:p>
        </w:tc>
        <w:tc>
          <w:tcPr>
            <w:tcW w:w="2210" w:type="dxa"/>
          </w:tcPr>
          <w:p w14:paraId="373BFBC2"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Fuente</w:t>
            </w:r>
          </w:p>
        </w:tc>
        <w:tc>
          <w:tcPr>
            <w:tcW w:w="2210" w:type="dxa"/>
          </w:tcPr>
          <w:p w14:paraId="13360092"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Código/Ticker</w:t>
            </w:r>
          </w:p>
        </w:tc>
        <w:tc>
          <w:tcPr>
            <w:tcW w:w="2210" w:type="dxa"/>
          </w:tcPr>
          <w:p w14:paraId="19C09245"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Frecuencia</w:t>
            </w:r>
          </w:p>
        </w:tc>
      </w:tr>
      <w:tr w:rsidR="00BE3F39" w14:paraId="14725002"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31EA33CC" w14:textId="77777777" w:rsidR="00BE3F39" w:rsidRDefault="00CA5D84">
            <w:r>
              <w:rPr>
                <w:sz w:val="20"/>
              </w:rPr>
              <w:t>Precio del cobre</w:t>
            </w:r>
          </w:p>
        </w:tc>
        <w:tc>
          <w:tcPr>
            <w:tcW w:w="2210" w:type="dxa"/>
          </w:tcPr>
          <w:p w14:paraId="00D1DC19"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FRED (OCDE)</w:t>
            </w:r>
          </w:p>
        </w:tc>
        <w:tc>
          <w:tcPr>
            <w:tcW w:w="2210" w:type="dxa"/>
          </w:tcPr>
          <w:p w14:paraId="0DF56D66"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PCOPPUSDM</w:t>
            </w:r>
          </w:p>
        </w:tc>
        <w:tc>
          <w:tcPr>
            <w:tcW w:w="2210" w:type="dxa"/>
          </w:tcPr>
          <w:p w14:paraId="1B728C05"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Mensual</w:t>
            </w:r>
          </w:p>
        </w:tc>
      </w:tr>
      <w:tr w:rsidR="00BE3F39" w14:paraId="5EEC0911"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007410B2" w14:textId="77777777" w:rsidR="00BE3F39" w:rsidRDefault="00CA5D84">
            <w:r>
              <w:rPr>
                <w:sz w:val="20"/>
              </w:rPr>
              <w:t>VIX</w:t>
            </w:r>
          </w:p>
        </w:tc>
        <w:tc>
          <w:tcPr>
            <w:tcW w:w="2210" w:type="dxa"/>
          </w:tcPr>
          <w:p w14:paraId="7FB11BB8"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FRED / CBOE</w:t>
            </w:r>
          </w:p>
        </w:tc>
        <w:tc>
          <w:tcPr>
            <w:tcW w:w="2210" w:type="dxa"/>
          </w:tcPr>
          <w:p w14:paraId="488159FE"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VIXCLS</w:t>
            </w:r>
          </w:p>
        </w:tc>
        <w:tc>
          <w:tcPr>
            <w:tcW w:w="2210" w:type="dxa"/>
          </w:tcPr>
          <w:p w14:paraId="25664183"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Diaria</w:t>
            </w:r>
          </w:p>
        </w:tc>
      </w:tr>
      <w:tr w:rsidR="00BE3F39" w14:paraId="2EBFC706"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2024C026" w14:textId="77777777" w:rsidR="00BE3F39" w:rsidRDefault="00CA5D84">
            <w:r>
              <w:rPr>
                <w:sz w:val="20"/>
              </w:rPr>
              <w:t>Fed Funds</w:t>
            </w:r>
          </w:p>
        </w:tc>
        <w:tc>
          <w:tcPr>
            <w:tcW w:w="2210" w:type="dxa"/>
          </w:tcPr>
          <w:p w14:paraId="3CEC25A8"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FRED</w:t>
            </w:r>
          </w:p>
        </w:tc>
        <w:tc>
          <w:tcPr>
            <w:tcW w:w="2210" w:type="dxa"/>
          </w:tcPr>
          <w:p w14:paraId="4A6D6C2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FEDFUNDS</w:t>
            </w:r>
          </w:p>
        </w:tc>
        <w:tc>
          <w:tcPr>
            <w:tcW w:w="2210" w:type="dxa"/>
          </w:tcPr>
          <w:p w14:paraId="62DC0BDB"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Mensual</w:t>
            </w:r>
          </w:p>
        </w:tc>
      </w:tr>
      <w:tr w:rsidR="00BE3F39" w14:paraId="25DB73B2"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0E42EB54" w14:textId="77777777" w:rsidR="00BE3F39" w:rsidRDefault="00CA5D84">
            <w:r>
              <w:rPr>
                <w:sz w:val="20"/>
              </w:rPr>
              <w:t>Treasury 10Y</w:t>
            </w:r>
          </w:p>
        </w:tc>
        <w:tc>
          <w:tcPr>
            <w:tcW w:w="2210" w:type="dxa"/>
          </w:tcPr>
          <w:p w14:paraId="384AA732"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FRED</w:t>
            </w:r>
          </w:p>
        </w:tc>
        <w:tc>
          <w:tcPr>
            <w:tcW w:w="2210" w:type="dxa"/>
          </w:tcPr>
          <w:p w14:paraId="22FCED0D"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DGS10</w:t>
            </w:r>
          </w:p>
        </w:tc>
        <w:tc>
          <w:tcPr>
            <w:tcW w:w="2210" w:type="dxa"/>
          </w:tcPr>
          <w:p w14:paraId="5C1ED4ED"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Diaria</w:t>
            </w:r>
          </w:p>
        </w:tc>
      </w:tr>
      <w:tr w:rsidR="00BE3F39" w14:paraId="69BAA4F3"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6EF24735" w14:textId="77777777" w:rsidR="00BE3F39" w:rsidRDefault="00CA5D84">
            <w:r>
              <w:rPr>
                <w:sz w:val="20"/>
              </w:rPr>
              <w:t>Tipo de cambio CLP</w:t>
            </w:r>
          </w:p>
        </w:tc>
        <w:tc>
          <w:tcPr>
            <w:tcW w:w="2210" w:type="dxa"/>
          </w:tcPr>
          <w:p w14:paraId="5FA2AA66"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FRED</w:t>
            </w:r>
          </w:p>
        </w:tc>
        <w:tc>
          <w:tcPr>
            <w:tcW w:w="2210" w:type="dxa"/>
          </w:tcPr>
          <w:p w14:paraId="7E6FE57D"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DEXCHUS</w:t>
            </w:r>
          </w:p>
        </w:tc>
        <w:tc>
          <w:tcPr>
            <w:tcW w:w="2210" w:type="dxa"/>
          </w:tcPr>
          <w:p w14:paraId="25C3F5D5"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Diaria</w:t>
            </w:r>
          </w:p>
        </w:tc>
      </w:tr>
      <w:tr w:rsidR="00BE3F39" w14:paraId="498A8C63"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3856DD70" w14:textId="77777777" w:rsidR="00BE3F39" w:rsidRDefault="00CA5D84">
            <w:r>
              <w:rPr>
                <w:sz w:val="20"/>
              </w:rPr>
              <w:t>Tasa local (proxy TPM)</w:t>
            </w:r>
          </w:p>
        </w:tc>
        <w:tc>
          <w:tcPr>
            <w:tcW w:w="2210" w:type="dxa"/>
          </w:tcPr>
          <w:p w14:paraId="7779DF63"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FRED (OCDE)</w:t>
            </w:r>
          </w:p>
        </w:tc>
        <w:tc>
          <w:tcPr>
            <w:tcW w:w="2210" w:type="dxa"/>
          </w:tcPr>
          <w:p w14:paraId="197BC0AB"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IR3TIB01CLM156N</w:t>
            </w:r>
          </w:p>
        </w:tc>
        <w:tc>
          <w:tcPr>
            <w:tcW w:w="2210" w:type="dxa"/>
          </w:tcPr>
          <w:p w14:paraId="3B9B2295"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Mensual</w:t>
            </w:r>
          </w:p>
        </w:tc>
      </w:tr>
      <w:tr w:rsidR="00BE3F39" w14:paraId="4097613B"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63389F22" w14:textId="77777777" w:rsidR="00BE3F39" w:rsidRDefault="00CA5D84">
            <w:r>
              <w:rPr>
                <w:sz w:val="20"/>
              </w:rPr>
              <w:t>Actividad local (proxy IMACEC)</w:t>
            </w:r>
          </w:p>
        </w:tc>
        <w:tc>
          <w:tcPr>
            <w:tcW w:w="2210" w:type="dxa"/>
          </w:tcPr>
          <w:p w14:paraId="0E3DCE25"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FRED (OCDE)</w:t>
            </w:r>
          </w:p>
        </w:tc>
        <w:tc>
          <w:tcPr>
            <w:tcW w:w="2210" w:type="dxa"/>
          </w:tcPr>
          <w:p w14:paraId="741A1F67"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CHLPROINDMISMEI</w:t>
            </w:r>
          </w:p>
        </w:tc>
        <w:tc>
          <w:tcPr>
            <w:tcW w:w="2210" w:type="dxa"/>
          </w:tcPr>
          <w:p w14:paraId="2933BAF0"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Mensual</w:t>
            </w:r>
          </w:p>
        </w:tc>
      </w:tr>
      <w:tr w:rsidR="00BE3F39" w14:paraId="226780BC"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0A79D852" w14:textId="77777777" w:rsidR="00BE3F39" w:rsidRDefault="00CA5D84">
            <w:r>
              <w:rPr>
                <w:sz w:val="20"/>
              </w:rPr>
              <w:t>Acciones (B)</w:t>
            </w:r>
          </w:p>
        </w:tc>
        <w:tc>
          <w:tcPr>
            <w:tcW w:w="2210" w:type="dxa"/>
          </w:tcPr>
          <w:p w14:paraId="7F6C8AFE"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Yahoo Finance</w:t>
            </w:r>
          </w:p>
        </w:tc>
        <w:tc>
          <w:tcPr>
            <w:tcW w:w="2210" w:type="dxa"/>
          </w:tcPr>
          <w:p w14:paraId="021D1DE0"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ANTO.L, BHP, AAL.L, LUN.TO, TECK</w:t>
            </w:r>
          </w:p>
        </w:tc>
        <w:tc>
          <w:tcPr>
            <w:tcW w:w="2210" w:type="dxa"/>
          </w:tcPr>
          <w:p w14:paraId="320FC78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Diaria</w:t>
            </w:r>
          </w:p>
        </w:tc>
      </w:tr>
      <w:tr w:rsidR="00BE3F39" w14:paraId="0F3DC59B"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77C27739" w14:textId="77777777" w:rsidR="00BE3F39" w:rsidRDefault="00CA5D84">
            <w:r>
              <w:rPr>
                <w:sz w:val="20"/>
              </w:rPr>
              <w:t>Acciones (A, C)</w:t>
            </w:r>
          </w:p>
        </w:tc>
        <w:tc>
          <w:tcPr>
            <w:tcW w:w="2210" w:type="dxa"/>
          </w:tcPr>
          <w:p w14:paraId="7A64B81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Yahoo Finance</w:t>
            </w:r>
          </w:p>
        </w:tc>
        <w:tc>
          <w:tcPr>
            <w:tcW w:w="2210" w:type="dxa"/>
          </w:tcPr>
          <w:p w14:paraId="04F86531"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PUCOBRE.SN, CAP.SN, SQM-B.SN, MOLYMET.SN</w:t>
            </w:r>
          </w:p>
        </w:tc>
        <w:tc>
          <w:tcPr>
            <w:tcW w:w="2210" w:type="dxa"/>
          </w:tcPr>
          <w:p w14:paraId="484EB9E1"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Diaria</w:t>
            </w:r>
          </w:p>
        </w:tc>
      </w:tr>
      <w:tr w:rsidR="00BE3F39" w14:paraId="36C8163D"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4FD28F1E" w14:textId="77777777" w:rsidR="00BE3F39" w:rsidRDefault="00CA5D84">
            <w:r>
              <w:rPr>
                <w:sz w:val="20"/>
              </w:rPr>
              <w:t>EMBI Chile (pendiente)</w:t>
            </w:r>
          </w:p>
        </w:tc>
        <w:tc>
          <w:tcPr>
            <w:tcW w:w="2210" w:type="dxa"/>
          </w:tcPr>
          <w:p w14:paraId="5BC95A7F"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Banco Central de Chile</w:t>
            </w:r>
          </w:p>
        </w:tc>
        <w:tc>
          <w:tcPr>
            <w:tcW w:w="2210" w:type="dxa"/>
          </w:tcPr>
          <w:p w14:paraId="56A1A9DB"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w:t>
            </w:r>
          </w:p>
        </w:tc>
        <w:tc>
          <w:tcPr>
            <w:tcW w:w="2210" w:type="dxa"/>
          </w:tcPr>
          <w:p w14:paraId="12FE09BB"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Diaria</w:t>
            </w:r>
          </w:p>
        </w:tc>
      </w:tr>
    </w:tbl>
    <w:p w14:paraId="3509EAB1" w14:textId="77777777" w:rsidR="00BE3F39" w:rsidRDefault="00BE3F39"/>
    <w:p w14:paraId="587D5B8C" w14:textId="77777777" w:rsidR="00BE3F39" w:rsidRDefault="00CA5D84">
      <w:pPr>
        <w:pStyle w:val="Ttulo2"/>
      </w:pPr>
      <w:bookmarkStart w:id="87" w:name="_Toc231082829"/>
      <w:r>
        <w:lastRenderedPageBreak/>
        <w:t>Anexo H. Disponibilidad del código</w:t>
      </w:r>
      <w:bookmarkEnd w:id="87"/>
    </w:p>
    <w:p w14:paraId="5C2DDC21" w14:textId="77777777" w:rsidR="00BE3F39" w:rsidRDefault="00CA5D84">
      <w:r>
        <w:t xml:space="preserve">Todo el </w:t>
      </w:r>
      <w:r>
        <w:t>código de adquisición, transformación, estimación y generación de figuras y tablas está disponible en el repositorio público del proyecto, organizado en módulos reproducibles (`src/`) y cuadernos Jupyter (`notebooks/`). Cada resultado de esta tesis puede regenerarse ejecutando los scripts correspondientes.</w:t>
      </w:r>
    </w:p>
    <w:p w14:paraId="6662C8C2" w14:textId="77777777" w:rsidR="00BE3F39" w:rsidRDefault="00CA5D84">
      <w:pPr>
        <w:pStyle w:val="Ttulo2"/>
      </w:pPr>
      <w:bookmarkStart w:id="88" w:name="_Toc231082830"/>
      <w:r>
        <w:t>Anexo I. Extensión predictiva: ¿explican o anticipan?</w:t>
      </w:r>
      <w:bookmarkEnd w:id="88"/>
    </w:p>
    <w:p w14:paraId="76BCB475" w14:textId="77777777" w:rsidR="00BE3F39" w:rsidRDefault="00CA5D84">
      <w:r>
        <w:t xml:space="preserve">Como complemento a la naturaleza explicativa de la tesis, se evaluó la capacidad </w:t>
      </w:r>
      <w:r>
        <w:rPr>
          <w:b/>
        </w:rPr>
        <w:t>predictiva</w:t>
      </w:r>
      <w:r>
        <w:t xml:space="preserve"> fuera de muestra de los factores macroeconómicos sobre el retorno mensual del cobre (a un mes), comparando un baseline ingenuo, un AR(1), un modelo lineal regularizado (Ridge) y dos modelos no lineales (Random Forest, Gradient Boosting), con división temporal 180/61 (entrenamiento/prueba).</w:t>
      </w:r>
    </w:p>
    <w:p w14:paraId="4063E19E" w14:textId="11FA2C37" w:rsidR="00BE3F39" w:rsidRDefault="00CA5D84">
      <w:pPr>
        <w:pStyle w:val="Descripcin"/>
        <w:jc w:val="center"/>
      </w:pPr>
      <w:bookmarkStart w:id="89" w:name="_Toc231082845"/>
      <w:r>
        <w:rPr>
          <w:sz w:val="20"/>
        </w:rPr>
        <w:t xml:space="preserve">Tabla </w:t>
      </w:r>
      <w:r>
        <w:fldChar w:fldCharType="begin"/>
      </w:r>
      <w:r>
        <w:instrText xml:space="preserve"> SEQ Tabla \* ARABIC </w:instrText>
      </w:r>
      <w:r>
        <w:fldChar w:fldCharType="separate"/>
      </w:r>
      <w:r>
        <w:rPr>
          <w:noProof/>
        </w:rPr>
        <w:t>14</w:t>
      </w:r>
      <w:r>
        <w:fldChar w:fldCharType="end"/>
      </w:r>
      <w:r>
        <w:rPr>
          <w:sz w:val="20"/>
        </w:rPr>
        <w:t>.</w:t>
      </w:r>
      <w:bookmarkEnd w:id="89"/>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BE3F39" w14:paraId="7C58620A" w14:textId="77777777" w:rsidTr="00BE3F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2D340A4" w14:textId="77777777" w:rsidR="00BE3F39" w:rsidRDefault="00CA5D84">
            <w:r>
              <w:rPr>
                <w:sz w:val="20"/>
              </w:rPr>
              <w:t>Modelo</w:t>
            </w:r>
          </w:p>
        </w:tc>
        <w:tc>
          <w:tcPr>
            <w:tcW w:w="1768" w:type="dxa"/>
          </w:tcPr>
          <w:p w14:paraId="0D63B00B"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R² fuera de muestra</w:t>
            </w:r>
          </w:p>
        </w:tc>
        <w:tc>
          <w:tcPr>
            <w:tcW w:w="1768" w:type="dxa"/>
          </w:tcPr>
          <w:p w14:paraId="44654F04"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Acierto direccional</w:t>
            </w:r>
          </w:p>
        </w:tc>
        <w:tc>
          <w:tcPr>
            <w:tcW w:w="1768" w:type="dxa"/>
          </w:tcPr>
          <w:p w14:paraId="7D952F0E"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RMSE</w:t>
            </w:r>
          </w:p>
        </w:tc>
        <w:tc>
          <w:tcPr>
            <w:tcW w:w="1768" w:type="dxa"/>
          </w:tcPr>
          <w:p w14:paraId="5F3B2DC9" w14:textId="77777777" w:rsidR="00BE3F39" w:rsidRDefault="00CA5D84">
            <w:pPr>
              <w:cnfStyle w:val="100000000000" w:firstRow="1" w:lastRow="0" w:firstColumn="0" w:lastColumn="0" w:oddVBand="0" w:evenVBand="0" w:oddHBand="0" w:evenHBand="0" w:firstRowFirstColumn="0" w:firstRowLastColumn="0" w:lastRowFirstColumn="0" w:lastRowLastColumn="0"/>
            </w:pPr>
            <w:r>
              <w:rPr>
                <w:sz w:val="20"/>
              </w:rPr>
              <w:t>MAE</w:t>
            </w:r>
          </w:p>
        </w:tc>
      </w:tr>
      <w:tr w:rsidR="00BE3F39" w14:paraId="510596D4"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5B61AA8" w14:textId="77777777" w:rsidR="00BE3F39" w:rsidRDefault="00CA5D84">
            <w:r>
              <w:rPr>
                <w:sz w:val="20"/>
              </w:rPr>
              <w:t>Random walk (0)</w:t>
            </w:r>
          </w:p>
        </w:tc>
        <w:tc>
          <w:tcPr>
            <w:tcW w:w="1768" w:type="dxa"/>
          </w:tcPr>
          <w:p w14:paraId="16299725"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-0.016</w:t>
            </w:r>
          </w:p>
        </w:tc>
        <w:tc>
          <w:tcPr>
            <w:tcW w:w="1768" w:type="dxa"/>
          </w:tcPr>
          <w:p w14:paraId="5498206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w:t>
            </w:r>
          </w:p>
        </w:tc>
        <w:tc>
          <w:tcPr>
            <w:tcW w:w="1768" w:type="dxa"/>
          </w:tcPr>
          <w:p w14:paraId="6B2132CA"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0.0500</w:t>
            </w:r>
          </w:p>
        </w:tc>
        <w:tc>
          <w:tcPr>
            <w:tcW w:w="1768" w:type="dxa"/>
          </w:tcPr>
          <w:p w14:paraId="73A661DF"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0.0372</w:t>
            </w:r>
          </w:p>
        </w:tc>
      </w:tr>
      <w:tr w:rsidR="00BE3F39" w14:paraId="24385028"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E7835BB" w14:textId="77777777" w:rsidR="00BE3F39" w:rsidRDefault="00CA5D84">
            <w:r>
              <w:rPr>
                <w:sz w:val="20"/>
              </w:rPr>
              <w:t>AR(1)</w:t>
            </w:r>
          </w:p>
        </w:tc>
        <w:tc>
          <w:tcPr>
            <w:tcW w:w="1768" w:type="dxa"/>
          </w:tcPr>
          <w:p w14:paraId="44B2244B"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+0.056</w:t>
            </w:r>
          </w:p>
        </w:tc>
        <w:tc>
          <w:tcPr>
            <w:tcW w:w="1768" w:type="dxa"/>
          </w:tcPr>
          <w:p w14:paraId="01273787"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64%</w:t>
            </w:r>
          </w:p>
        </w:tc>
        <w:tc>
          <w:tcPr>
            <w:tcW w:w="1768" w:type="dxa"/>
          </w:tcPr>
          <w:p w14:paraId="5889E732"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0.0482</w:t>
            </w:r>
          </w:p>
        </w:tc>
        <w:tc>
          <w:tcPr>
            <w:tcW w:w="1768" w:type="dxa"/>
          </w:tcPr>
          <w:p w14:paraId="3D774900"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0.0357</w:t>
            </w:r>
          </w:p>
        </w:tc>
      </w:tr>
      <w:tr w:rsidR="00BE3F39" w14:paraId="6032DCF7"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1F67C921" w14:textId="77777777" w:rsidR="00BE3F39" w:rsidRDefault="00CA5D84">
            <w:r>
              <w:rPr>
                <w:sz w:val="20"/>
              </w:rPr>
              <w:t>Ridge (lineal)</w:t>
            </w:r>
          </w:p>
        </w:tc>
        <w:tc>
          <w:tcPr>
            <w:tcW w:w="1768" w:type="dxa"/>
          </w:tcPr>
          <w:p w14:paraId="6B9BAC1C"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-0.117</w:t>
            </w:r>
          </w:p>
        </w:tc>
        <w:tc>
          <w:tcPr>
            <w:tcW w:w="1768" w:type="dxa"/>
          </w:tcPr>
          <w:p w14:paraId="4E26A60E"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54%</w:t>
            </w:r>
          </w:p>
        </w:tc>
        <w:tc>
          <w:tcPr>
            <w:tcW w:w="1768" w:type="dxa"/>
          </w:tcPr>
          <w:p w14:paraId="3BBD58E7"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0.0525</w:t>
            </w:r>
          </w:p>
        </w:tc>
        <w:tc>
          <w:tcPr>
            <w:tcW w:w="1768" w:type="dxa"/>
          </w:tcPr>
          <w:p w14:paraId="6A086C62"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0.0388</w:t>
            </w:r>
          </w:p>
        </w:tc>
      </w:tr>
      <w:tr w:rsidR="00BE3F39" w14:paraId="685FB0A6" w14:textId="77777777" w:rsidTr="00BE3F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1A53E91E" w14:textId="77777777" w:rsidR="00BE3F39" w:rsidRDefault="00CA5D84">
            <w:r>
              <w:rPr>
                <w:sz w:val="20"/>
              </w:rPr>
              <w:t>Random Forest</w:t>
            </w:r>
          </w:p>
        </w:tc>
        <w:tc>
          <w:tcPr>
            <w:tcW w:w="1768" w:type="dxa"/>
          </w:tcPr>
          <w:p w14:paraId="2022E144"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+0.033</w:t>
            </w:r>
          </w:p>
        </w:tc>
        <w:tc>
          <w:tcPr>
            <w:tcW w:w="1768" w:type="dxa"/>
          </w:tcPr>
          <w:p w14:paraId="7528BE79"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56%</w:t>
            </w:r>
          </w:p>
        </w:tc>
        <w:tc>
          <w:tcPr>
            <w:tcW w:w="1768" w:type="dxa"/>
          </w:tcPr>
          <w:p w14:paraId="372020D1"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0.0488</w:t>
            </w:r>
          </w:p>
        </w:tc>
        <w:tc>
          <w:tcPr>
            <w:tcW w:w="1768" w:type="dxa"/>
          </w:tcPr>
          <w:p w14:paraId="6697CB50" w14:textId="77777777" w:rsidR="00BE3F39" w:rsidRDefault="00CA5D84">
            <w:pPr>
              <w:cnfStyle w:val="000000010000" w:firstRow="0" w:lastRow="0" w:firstColumn="0" w:lastColumn="0" w:oddVBand="0" w:evenVBand="0" w:oddHBand="0" w:evenHBand="1" w:firstRowFirstColumn="0" w:firstRowLastColumn="0" w:lastRowFirstColumn="0" w:lastRowLastColumn="0"/>
            </w:pPr>
            <w:r>
              <w:rPr>
                <w:sz w:val="20"/>
              </w:rPr>
              <w:t>0.0361</w:t>
            </w:r>
          </w:p>
        </w:tc>
      </w:tr>
      <w:tr w:rsidR="00BE3F39" w14:paraId="0E2DBCD7" w14:textId="77777777" w:rsidTr="00BE3F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A08C26C" w14:textId="77777777" w:rsidR="00BE3F39" w:rsidRDefault="00CA5D84">
            <w:r>
              <w:rPr>
                <w:sz w:val="20"/>
              </w:rPr>
              <w:t>Gradient Boosting</w:t>
            </w:r>
          </w:p>
        </w:tc>
        <w:tc>
          <w:tcPr>
            <w:tcW w:w="1768" w:type="dxa"/>
          </w:tcPr>
          <w:p w14:paraId="7D177535"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-0.167</w:t>
            </w:r>
          </w:p>
        </w:tc>
        <w:tc>
          <w:tcPr>
            <w:tcW w:w="1768" w:type="dxa"/>
          </w:tcPr>
          <w:p w14:paraId="07F87981"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54%</w:t>
            </w:r>
          </w:p>
        </w:tc>
        <w:tc>
          <w:tcPr>
            <w:tcW w:w="1768" w:type="dxa"/>
          </w:tcPr>
          <w:p w14:paraId="6259F818"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0.0536</w:t>
            </w:r>
          </w:p>
        </w:tc>
        <w:tc>
          <w:tcPr>
            <w:tcW w:w="1768" w:type="dxa"/>
          </w:tcPr>
          <w:p w14:paraId="308F8D55" w14:textId="77777777" w:rsidR="00BE3F39" w:rsidRDefault="00CA5D84">
            <w:pPr>
              <w:cnfStyle w:val="000000100000" w:firstRow="0" w:lastRow="0" w:firstColumn="0" w:lastColumn="0" w:oddVBand="0" w:evenVBand="0" w:oddHBand="1" w:evenHBand="0" w:firstRowFirstColumn="0" w:firstRowLastColumn="0" w:lastRowFirstColumn="0" w:lastRowLastColumn="0"/>
            </w:pPr>
            <w:r>
              <w:rPr>
                <w:sz w:val="20"/>
              </w:rPr>
              <w:t>0.0399</w:t>
            </w:r>
          </w:p>
        </w:tc>
      </w:tr>
    </w:tbl>
    <w:p w14:paraId="0BB2381C" w14:textId="77777777" w:rsidR="00BE3F39" w:rsidRDefault="00BE3F39"/>
    <w:p w14:paraId="4F1F3FE5" w14:textId="77777777" w:rsidR="00BE3F39" w:rsidRDefault="00CA5D84">
      <w:r>
        <w:t xml:space="preserve">El </w:t>
      </w:r>
      <w:r>
        <w:rPr>
          <w:b/>
        </w:rPr>
        <w:t>R² fuera de muestra es cercano a cero o negativo</w:t>
      </w:r>
      <w:r>
        <w:t xml:space="preserve"> en todos los modelos: los factores macroeconómicos </w:t>
      </w:r>
      <w:r>
        <w:rPr>
          <w:b/>
        </w:rPr>
        <w:t>explican</w:t>
      </w:r>
      <w:r>
        <w:t xml:space="preserve"> el retorno contemporáneo del cobre (Capítulo 4) pero apenas lo </w:t>
      </w:r>
      <w:r>
        <w:rPr>
          <w:b/>
        </w:rPr>
        <w:t>anticipan</w:t>
      </w:r>
      <w:r>
        <w:t xml:space="preserve"> a un mes. Este resultado, lejos de ser una debilidad, </w:t>
      </w:r>
      <w:r>
        <w:rPr>
          <w:b/>
        </w:rPr>
        <w:t>refuerza la hipótesis de eficiencia de mercado en su forma débil</w:t>
      </w:r>
      <w:r>
        <w:t xml:space="preserve"> y justifica el enfoque explicativo —y no predictivo— adoptado. El mejor desempeño direccional corresponde al término de momentum (AR(1)). Una versión interactiva de este modelo se encuentra en la plataforma web del proyecto.</w:t>
      </w:r>
    </w:p>
    <w:p w14:paraId="7CE31718" w14:textId="77777777" w:rsidR="00BE3F39" w:rsidRDefault="00CA5D84">
      <w:r>
        <w:br w:type="page"/>
      </w:r>
    </w:p>
    <w:p w14:paraId="2EF9EAEE" w14:textId="77777777" w:rsidR="00BE3F39" w:rsidRDefault="00CA5D84">
      <w:pPr>
        <w:pStyle w:val="Ttulo1"/>
      </w:pPr>
      <w:bookmarkStart w:id="90" w:name="_Toc231082831"/>
      <w:r>
        <w:lastRenderedPageBreak/>
        <w:t>Glosario de términos econométricos</w:t>
      </w:r>
      <w:bookmarkEnd w:id="90"/>
    </w:p>
    <w:p w14:paraId="44B68600" w14:textId="77777777" w:rsidR="00BE3F39" w:rsidRDefault="00CA5D84">
      <w:r>
        <w:rPr>
          <w:b/>
        </w:rPr>
        <w:t>Apalancamiento operativo.</w:t>
      </w:r>
      <w:r>
        <w:t xml:space="preserve"> Sensibilidad del resultado operativo de una empresa ante variaciones</w:t>
      </w:r>
    </w:p>
    <w:p w14:paraId="293F8A2A" w14:textId="77777777" w:rsidR="00BE3F39" w:rsidRDefault="00CA5D84">
      <w:r>
        <w:t>de sus ingresos; en minería, amplifica el efecto del precio del commodity sobre el margen.</w:t>
      </w:r>
    </w:p>
    <w:p w14:paraId="05A430C6" w14:textId="77777777" w:rsidR="00BE3F39" w:rsidRDefault="00CA5D84">
      <w:r>
        <w:rPr>
          <w:b/>
        </w:rPr>
        <w:t>Cointegración.</w:t>
      </w:r>
      <w:r>
        <w:t xml:space="preserve"> Existencia de una combinación lineal estacionaria entre series individualmente</w:t>
      </w:r>
    </w:p>
    <w:p w14:paraId="06EFC24C" w14:textId="77777777" w:rsidR="00BE3F39" w:rsidRDefault="00CA5D84">
      <w:r>
        <w:t>no estacionarias (I(1)), interpretada como una relación de equilibrio de largo plazo.</w:t>
      </w:r>
    </w:p>
    <w:p w14:paraId="36FD9116" w14:textId="77777777" w:rsidR="00BE3F39" w:rsidRDefault="00CA5D84">
      <w:r>
        <w:rPr>
          <w:b/>
        </w:rPr>
        <w:t>Dependencia de sección cruzada.</w:t>
      </w:r>
      <w:r>
        <w:t xml:space="preserve"> Correlación contemporánea entre los errores de distintas</w:t>
      </w:r>
    </w:p>
    <w:p w14:paraId="38B3CAAA" w14:textId="77777777" w:rsidR="00BE3F39" w:rsidRDefault="00CA5D84">
      <w:r>
        <w:t>unidades (empresas) de un panel, habitualmente por shocks comunes; invalida la inferencia estándar</w:t>
      </w:r>
    </w:p>
    <w:p w14:paraId="6472B525" w14:textId="77777777" w:rsidR="00BE3F39" w:rsidRDefault="00CA5D84">
      <w:r>
        <w:t>si no se corrige.</w:t>
      </w:r>
    </w:p>
    <w:p w14:paraId="1F9C4108" w14:textId="77777777" w:rsidR="00BE3F39" w:rsidRDefault="00CA5D84">
      <w:r>
        <w:rPr>
          <w:b/>
        </w:rPr>
        <w:t>Descomposición de varianza (FEVD).</w:t>
      </w:r>
      <w:r>
        <w:t xml:space="preserve"> Partición de la varianza del error de pronóstico de una</w:t>
      </w:r>
    </w:p>
    <w:p w14:paraId="48779BA9" w14:textId="77777777" w:rsidR="00BE3F39" w:rsidRDefault="00CA5D84">
      <w:r>
        <w:t>variable según la fuente (shock estructural) que la origina, a un horizonte dado.</w:t>
      </w:r>
    </w:p>
    <w:p w14:paraId="2F9B6E60" w14:textId="77777777" w:rsidR="00BE3F39" w:rsidRDefault="00CA5D84">
      <w:r>
        <w:rPr>
          <w:b/>
        </w:rPr>
        <w:t>Driscoll-Kraay.</w:t>
      </w:r>
      <w:r>
        <w:t xml:space="preserve"> Estimador de la matriz de covarianzas de un panel robusto a heterocedasticidad,</w:t>
      </w:r>
    </w:p>
    <w:p w14:paraId="78E61364" w14:textId="77777777" w:rsidR="00BE3F39" w:rsidRDefault="00CA5D84">
      <w:r>
        <w:t>autocorrelación y dependencia de sección cruzada.</w:t>
      </w:r>
    </w:p>
    <w:p w14:paraId="2D82DE36" w14:textId="77777777" w:rsidR="00BE3F39" w:rsidRDefault="00CA5D84">
      <w:r>
        <w:rPr>
          <w:b/>
        </w:rPr>
        <w:t>Efectos fijos.</w:t>
      </w:r>
      <w:r>
        <w:t xml:space="preserve"> Especificación de panel que controla la heterogeneidad no observada y constante</w:t>
      </w:r>
    </w:p>
    <w:p w14:paraId="10939343" w14:textId="77777777" w:rsidR="00BE3F39" w:rsidRDefault="00CA5D84">
      <w:r>
        <w:t>en el tiempo de cada unidad mediante interceptos específicos.</w:t>
      </w:r>
    </w:p>
    <w:p w14:paraId="08853C6C" w14:textId="77777777" w:rsidR="00BE3F39" w:rsidRDefault="00CA5D84">
      <w:r>
        <w:rPr>
          <w:b/>
        </w:rPr>
        <w:t>Estacionariedad.</w:t>
      </w:r>
      <w:r>
        <w:t xml:space="preserve"> Propiedad de una serie cuya media, varianza y autocovarianzas no dependen del</w:t>
      </w:r>
    </w:p>
    <w:p w14:paraId="7A6BAEDB" w14:textId="77777777" w:rsidR="00BE3F39" w:rsidRDefault="00CA5D84">
      <w:r>
        <w:t>tiempo; condición necesaria para una inferencia válida en series de tiempo.</w:t>
      </w:r>
    </w:p>
    <w:p w14:paraId="10200D89" w14:textId="77777777" w:rsidR="00BE3F39" w:rsidRDefault="00CA5D84">
      <w:r>
        <w:rPr>
          <w:b/>
        </w:rPr>
        <w:t>Función impulso-respuesta (IRF).</w:t>
      </w:r>
      <w:r>
        <w:t xml:space="preserve"> Trayectoria de la respuesta de una variable del sistema ante</w:t>
      </w:r>
    </w:p>
    <w:p w14:paraId="38B3EB8E" w14:textId="77777777" w:rsidR="00BE3F39" w:rsidRDefault="00CA5D84">
      <w:r>
        <w:t>un shock unitario en otra, a lo largo del horizonte.</w:t>
      </w:r>
    </w:p>
    <w:p w14:paraId="6960758F" w14:textId="77777777" w:rsidR="00BE3F39" w:rsidRDefault="00CA5D84">
      <w:r>
        <w:rPr>
          <w:b/>
        </w:rPr>
        <w:lastRenderedPageBreak/>
        <w:t>Heterocedasticidad condicional (ARCH/GARCH).</w:t>
      </w:r>
      <w:r>
        <w:t xml:space="preserve"> Variabilidad de la varianza de los errores en el</w:t>
      </w:r>
    </w:p>
    <w:p w14:paraId="348ADA06" w14:textId="77777777" w:rsidR="00BE3F39" w:rsidRDefault="00CA5D84">
      <w:r>
        <w:t>tiempo, con agrupamiento de la volatilidad; típica de los retornos financieros.</w:t>
      </w:r>
    </w:p>
    <w:p w14:paraId="4DDAE14F" w14:textId="77777777" w:rsidR="00BE3F39" w:rsidRDefault="00CA5D84">
      <w:r>
        <w:rPr>
          <w:b/>
        </w:rPr>
        <w:t>Mecanismo de corrección de error (α).</w:t>
      </w:r>
      <w:r>
        <w:t xml:space="preserve"> Velocidad a la que una variable retorna al equilibrio de</w:t>
      </w:r>
    </w:p>
    <w:p w14:paraId="61027854" w14:textId="77777777" w:rsidR="00BE3F39" w:rsidRDefault="00CA5D84">
      <w:r>
        <w:t xml:space="preserve">largo plazo tras una </w:t>
      </w:r>
      <w:r>
        <w:t>desviación, en un modelo VECM.</w:t>
      </w:r>
    </w:p>
    <w:p w14:paraId="36CF062F" w14:textId="77777777" w:rsidR="00BE3F39" w:rsidRDefault="00CA5D84">
      <w:r>
        <w:rPr>
          <w:b/>
        </w:rPr>
        <w:t>Orden de integración I(d).</w:t>
      </w:r>
      <w:r>
        <w:t xml:space="preserve"> Número de diferenciaciones necesarias para volver estacionaria una</w:t>
      </w:r>
    </w:p>
    <w:p w14:paraId="3F2D007B" w14:textId="77777777" w:rsidR="00BE3F39" w:rsidRDefault="00CA5D84">
      <w:r>
        <w:t>serie; I(0) es estacionaria, I(1) requiere una diferencia.</w:t>
      </w:r>
    </w:p>
    <w:p w14:paraId="3C784C7F" w14:textId="77777777" w:rsidR="00BE3F39" w:rsidRDefault="00CA5D84">
      <w:r>
        <w:rPr>
          <w:b/>
        </w:rPr>
        <w:t>Prueba de bordes (ARDL bounds).</w:t>
      </w:r>
      <w:r>
        <w:t xml:space="preserve"> Contraste de relación de nivel (cointegración) válido cuando</w:t>
      </w:r>
    </w:p>
    <w:p w14:paraId="6E1B677F" w14:textId="77777777" w:rsidR="00BE3F39" w:rsidRDefault="00CA5D84">
      <w:r>
        <w:t>los regresores presentan órdenes de integración mixtos (I(0) e I(1)).</w:t>
      </w:r>
    </w:p>
    <w:p w14:paraId="2C5E584B" w14:textId="77777777" w:rsidR="00BE3F39" w:rsidRDefault="00CA5D84">
      <w:r>
        <w:rPr>
          <w:b/>
        </w:rPr>
        <w:t>Quiebre estructural.</w:t>
      </w:r>
      <w:r>
        <w:t xml:space="preserve"> Cambio en los parámetros del proceso generador de datos en una fecha;</w:t>
      </w:r>
    </w:p>
    <w:p w14:paraId="3A6DF11D" w14:textId="77777777" w:rsidR="00BE3F39" w:rsidRDefault="00CA5D84">
      <w:r>
        <w:t>reduce la potencia de las pruebas que lo ignoran.</w:t>
      </w:r>
    </w:p>
    <w:p w14:paraId="26C7C465" w14:textId="77777777" w:rsidR="00BE3F39" w:rsidRDefault="00CA5D84">
      <w:r>
        <w:rPr>
          <w:b/>
        </w:rPr>
        <w:t>Raíz unitaria.</w:t>
      </w:r>
      <w:r>
        <w:t xml:space="preserve"> Característica de un proceso no estacionario cuyo polinomio autorregresivo tiene</w:t>
      </w:r>
    </w:p>
    <w:p w14:paraId="58C62EE1" w14:textId="77777777" w:rsidR="00BE3F39" w:rsidRDefault="00CA5D84">
      <w:r>
        <w:t>una raíz igual a uno; equivale a integración de orden uno o superior.</w:t>
      </w:r>
    </w:p>
    <w:p w14:paraId="460165EC" w14:textId="77777777" w:rsidR="00BE3F39" w:rsidRDefault="00CA5D84">
      <w:r>
        <w:rPr>
          <w:b/>
        </w:rPr>
        <w:t>Segmentación de mercados.</w:t>
      </w:r>
      <w:r>
        <w:t xml:space="preserve"> Situación en que mercados financieros parcialmente aislados precian</w:t>
      </w:r>
    </w:p>
    <w:p w14:paraId="3EAFF610" w14:textId="77777777" w:rsidR="00BE3F39" w:rsidRDefault="00CA5D84">
      <w:r>
        <w:t>de forma distinta un mismo riesgo subyacente, por barreras a la integración.</w:t>
      </w:r>
    </w:p>
    <w:p w14:paraId="7F7F89CB" w14:textId="77777777" w:rsidR="00BE3F39" w:rsidRDefault="00CA5D84">
      <w:r>
        <w:rPr>
          <w:b/>
        </w:rPr>
        <w:t>Vector autorregresivo (VAR).</w:t>
      </w:r>
      <w:r>
        <w:t xml:space="preserve"> Sistema en que cada variable se modela como función de sus</w:t>
      </w:r>
    </w:p>
    <w:p w14:paraId="5AD6239C" w14:textId="77777777" w:rsidR="00BE3F39" w:rsidRDefault="00CA5D84">
      <w:r>
        <w:t>rezagos y de los de las demás, sin imponer estructura teórica a priori.</w:t>
      </w:r>
    </w:p>
    <w:sectPr w:rsidR="00BE3F39" w:rsidSect="00034616">
      <w:footerReference w:type="default" r:id="rId15"/>
      <w:pgSz w:w="12240" w:h="15840"/>
      <w:pgMar w:top="1440" w:right="1699" w:bottom="1440" w:left="1699"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7DB81C" w14:textId="77777777" w:rsidR="00CA5D84" w:rsidRDefault="00CA5D84">
      <w:pPr>
        <w:spacing w:after="0" w:line="240" w:lineRule="auto"/>
      </w:pPr>
      <w:r>
        <w:separator/>
      </w:r>
    </w:p>
  </w:endnote>
  <w:endnote w:type="continuationSeparator" w:id="0">
    <w:p w14:paraId="6A376EDC" w14:textId="77777777" w:rsidR="00CA5D84" w:rsidRDefault="00CA5D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9E94D2" w14:textId="77777777" w:rsidR="00BE3F39" w:rsidRDefault="00CA5D84">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C169D" w14:textId="77777777" w:rsidR="00BE3F39" w:rsidRDefault="00CA5D84">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43250" w14:textId="77777777" w:rsidR="00CA5D84" w:rsidRDefault="00CA5D84">
      <w:pPr>
        <w:spacing w:after="0" w:line="240" w:lineRule="auto"/>
      </w:pPr>
      <w:r>
        <w:separator/>
      </w:r>
    </w:p>
  </w:footnote>
  <w:footnote w:type="continuationSeparator" w:id="0">
    <w:p w14:paraId="4B2E6F97" w14:textId="77777777" w:rsidR="00CA5D84" w:rsidRDefault="00CA5D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65410877">
    <w:abstractNumId w:val="8"/>
  </w:num>
  <w:num w:numId="2" w16cid:durableId="1530217870">
    <w:abstractNumId w:val="6"/>
  </w:num>
  <w:num w:numId="3" w16cid:durableId="1201043398">
    <w:abstractNumId w:val="5"/>
  </w:num>
  <w:num w:numId="4" w16cid:durableId="1386638853">
    <w:abstractNumId w:val="4"/>
  </w:num>
  <w:num w:numId="5" w16cid:durableId="1047223215">
    <w:abstractNumId w:val="7"/>
  </w:num>
  <w:num w:numId="6" w16cid:durableId="1581406479">
    <w:abstractNumId w:val="3"/>
  </w:num>
  <w:num w:numId="7" w16cid:durableId="1307710083">
    <w:abstractNumId w:val="2"/>
  </w:num>
  <w:num w:numId="8" w16cid:durableId="1945333727">
    <w:abstractNumId w:val="1"/>
  </w:num>
  <w:num w:numId="9" w16cid:durableId="4071215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73FA6"/>
    <w:rsid w:val="00AA1D8D"/>
    <w:rsid w:val="00B47730"/>
    <w:rsid w:val="00BE3F39"/>
    <w:rsid w:val="00CA5D8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2856B7"/>
  <w14:defaultImageDpi w14:val="300"/>
  <w15:docId w15:val="{DA3008F1-4D6F-4F36-88F1-C87DC9E33E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A1A2E"/>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A1A2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A1A2E"/>
      <w:sz w:val="25"/>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CA5D84"/>
    <w:pPr>
      <w:spacing w:after="100"/>
    </w:pPr>
  </w:style>
  <w:style w:type="paragraph" w:styleId="TDC2">
    <w:name w:val="toc 2"/>
    <w:basedOn w:val="Normal"/>
    <w:next w:val="Normal"/>
    <w:autoRedefine/>
    <w:uiPriority w:val="39"/>
    <w:unhideWhenUsed/>
    <w:rsid w:val="00CA5D84"/>
    <w:pPr>
      <w:spacing w:after="100"/>
      <w:ind w:left="240"/>
    </w:pPr>
  </w:style>
  <w:style w:type="paragraph" w:styleId="TDC3">
    <w:name w:val="toc 3"/>
    <w:basedOn w:val="Normal"/>
    <w:next w:val="Normal"/>
    <w:autoRedefine/>
    <w:uiPriority w:val="39"/>
    <w:unhideWhenUsed/>
    <w:rsid w:val="00CA5D84"/>
    <w:pPr>
      <w:spacing w:after="100"/>
      <w:ind w:left="480"/>
    </w:pPr>
  </w:style>
  <w:style w:type="character" w:styleId="Hipervnculo">
    <w:name w:val="Hyperlink"/>
    <w:basedOn w:val="Fuentedeprrafopredeter"/>
    <w:uiPriority w:val="99"/>
    <w:unhideWhenUsed/>
    <w:rsid w:val="00CA5D84"/>
    <w:rPr>
      <w:color w:val="0000FF" w:themeColor="hyperlink"/>
      <w:u w:val="single"/>
    </w:rPr>
  </w:style>
  <w:style w:type="paragraph" w:styleId="Tabladeilustraciones">
    <w:name w:val="table of figures"/>
    <w:basedOn w:val="Normal"/>
    <w:next w:val="Normal"/>
    <w:uiPriority w:val="99"/>
    <w:unhideWhenUsed/>
    <w:rsid w:val="00CA5D8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68</Pages>
  <Words>12608</Words>
  <Characters>69348</Characters>
  <Application>Microsoft Office Word</Application>
  <DocSecurity>0</DocSecurity>
  <Lines>577</Lines>
  <Paragraphs>163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81793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Rietta González</cp:lastModifiedBy>
  <cp:revision>2</cp:revision>
  <dcterms:created xsi:type="dcterms:W3CDTF">2013-12-23T23:15:00Z</dcterms:created>
  <dcterms:modified xsi:type="dcterms:W3CDTF">2026-05-31T05:16:00Z</dcterms:modified>
  <cp:category/>
</cp:coreProperties>
</file>