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D0D67" w14:textId="77777777" w:rsidR="00DE3F5D" w:rsidRDefault="00E96965">
      <w:pPr>
        <w:spacing w:after="40"/>
        <w:jc w:val="center"/>
      </w:pPr>
      <w:r>
        <w:rPr>
          <w:b/>
          <w:sz w:val="28"/>
        </w:rPr>
        <w:t>UNIVERSIDAD SAN SEBASTIÁN</w:t>
      </w:r>
    </w:p>
    <w:p w14:paraId="2BE7F1B3" w14:textId="77777777" w:rsidR="00DE3F5D" w:rsidRDefault="00E96965">
      <w:pPr>
        <w:spacing w:after="880"/>
        <w:jc w:val="center"/>
      </w:pPr>
      <w:r>
        <w:t>Facultad de Ingeniería · Magíster en Data Science</w:t>
      </w:r>
    </w:p>
    <w:p w14:paraId="7C302C3A" w14:textId="77777777" w:rsidR="00DE3F5D" w:rsidRDefault="00E96965">
      <w:pPr>
        <w:spacing w:after="800"/>
        <w:jc w:val="center"/>
      </w:pPr>
      <w:r>
        <w:rPr>
          <w:b/>
          <w:sz w:val="34"/>
        </w:rPr>
        <w:t xml:space="preserve">Impacto de las variables macroeconómicas en los retornos accionarios de las empresas de cobre con exposición a Chile: una comparación entre el mercado bursátil </w:t>
      </w:r>
      <w:r>
        <w:rPr>
          <w:b/>
          <w:sz w:val="34"/>
        </w:rPr>
        <w:t>internacional y el chileno, 2004–2024</w:t>
      </w:r>
    </w:p>
    <w:p w14:paraId="5F1DA2DB" w14:textId="77777777" w:rsidR="00DE3F5D" w:rsidRDefault="00E96965">
      <w:pPr>
        <w:spacing w:after="880"/>
        <w:jc w:val="center"/>
      </w:pPr>
      <w:r>
        <w:rPr>
          <w:i/>
        </w:rPr>
        <w:t>Tesis para optar al grado de Magíster en Data Science</w:t>
      </w:r>
    </w:p>
    <w:p w14:paraId="0EFD9A15" w14:textId="77777777" w:rsidR="00DE3F5D" w:rsidRDefault="00E96965">
      <w:pPr>
        <w:spacing w:after="40"/>
        <w:jc w:val="center"/>
      </w:pPr>
      <w:r>
        <w:t>Autor: Francisco Rietta</w:t>
      </w:r>
    </w:p>
    <w:p w14:paraId="320CC809" w14:textId="77777777" w:rsidR="00DE3F5D" w:rsidRDefault="00E96965">
      <w:pPr>
        <w:spacing w:after="880"/>
        <w:jc w:val="center"/>
      </w:pPr>
      <w:r>
        <w:t>Profesor guía: [Nombre del profesor]</w:t>
      </w:r>
    </w:p>
    <w:p w14:paraId="2F62C1C9" w14:textId="77777777" w:rsidR="00DE3F5D" w:rsidRDefault="00E96965">
      <w:pPr>
        <w:jc w:val="center"/>
      </w:pPr>
      <w:r>
        <w:t>Santiago, Chile — 2026</w:t>
      </w:r>
    </w:p>
    <w:p w14:paraId="7AB0FE8D" w14:textId="77777777" w:rsidR="00DE3F5D" w:rsidRDefault="00E96965">
      <w:r>
        <w:br w:type="page"/>
      </w:r>
    </w:p>
    <w:p w14:paraId="732272D0" w14:textId="77777777" w:rsidR="00DE3F5D" w:rsidRDefault="00E96965">
      <w:pPr>
        <w:pStyle w:val="Ttulo1"/>
      </w:pPr>
      <w:bookmarkStart w:id="0" w:name="_Toc231081529"/>
      <w:r>
        <w:lastRenderedPageBreak/>
        <w:t>Página de aprobación</w:t>
      </w:r>
      <w:bookmarkEnd w:id="0"/>
    </w:p>
    <w:p w14:paraId="0B9B7EB1" w14:textId="77777777" w:rsidR="00DE3F5D" w:rsidRDefault="00E96965">
      <w:r>
        <w:t>La presente tesis, titulada «Impacto de las variables macroeconómicas en los retornos accionarios de las empresas de cobre con exposición a Chile: una comparación entre el mercado bursátil internacional y el chileno, 2004–2024», ha sido revisada y aprobada por la comisión examinadora abajo firmante, como requisito para optar al grado de Magíster en Data Science de la Universidad San Sebastián.</w:t>
      </w:r>
    </w:p>
    <w:p w14:paraId="6757F9C8" w14:textId="77777777" w:rsidR="00DE3F5D" w:rsidRDefault="00DE3F5D"/>
    <w:p w14:paraId="35165150" w14:textId="77777777" w:rsidR="00DE3F5D" w:rsidRDefault="00E96965">
      <w:pPr>
        <w:jc w:val="center"/>
      </w:pPr>
      <w:r>
        <w:t>_______________________________</w:t>
      </w:r>
    </w:p>
    <w:p w14:paraId="343A33DE" w14:textId="77777777" w:rsidR="00DE3F5D" w:rsidRDefault="00E96965">
      <w:pPr>
        <w:jc w:val="center"/>
      </w:pPr>
      <w:r>
        <w:t>Profesor guía</w:t>
      </w:r>
    </w:p>
    <w:p w14:paraId="37E4A244" w14:textId="77777777" w:rsidR="00DE3F5D" w:rsidRDefault="00DE3F5D"/>
    <w:p w14:paraId="5931E3A4" w14:textId="77777777" w:rsidR="00DE3F5D" w:rsidRDefault="00E96965">
      <w:pPr>
        <w:jc w:val="center"/>
      </w:pPr>
      <w:r>
        <w:t>_______________________________</w:t>
      </w:r>
    </w:p>
    <w:p w14:paraId="69F6FBB8" w14:textId="77777777" w:rsidR="00DE3F5D" w:rsidRDefault="00E96965">
      <w:pPr>
        <w:jc w:val="center"/>
      </w:pPr>
      <w:r>
        <w:t>Profesor informante</w:t>
      </w:r>
    </w:p>
    <w:p w14:paraId="4323A653" w14:textId="77777777" w:rsidR="00DE3F5D" w:rsidRDefault="00DE3F5D"/>
    <w:p w14:paraId="49B087E2" w14:textId="77777777" w:rsidR="00DE3F5D" w:rsidRDefault="00E96965">
      <w:pPr>
        <w:jc w:val="center"/>
      </w:pPr>
      <w:r>
        <w:t>_______________________________</w:t>
      </w:r>
    </w:p>
    <w:p w14:paraId="1459B8C1" w14:textId="77777777" w:rsidR="00DE3F5D" w:rsidRDefault="00E96965">
      <w:pPr>
        <w:jc w:val="center"/>
      </w:pPr>
      <w:r>
        <w:t>Director(a) de programa</w:t>
      </w:r>
    </w:p>
    <w:p w14:paraId="51117ACF" w14:textId="77777777" w:rsidR="00DE3F5D" w:rsidRDefault="00DE3F5D"/>
    <w:p w14:paraId="26A147F8" w14:textId="77777777" w:rsidR="00DE3F5D" w:rsidRDefault="00E96965">
      <w:pPr>
        <w:jc w:val="center"/>
      </w:pPr>
      <w:r>
        <w:t>Calificación: __________     Fecha: ____ / ____ / ______</w:t>
      </w:r>
    </w:p>
    <w:p w14:paraId="1452B6BC" w14:textId="77777777" w:rsidR="00DE3F5D" w:rsidRDefault="00E96965">
      <w:r>
        <w:br w:type="page"/>
      </w:r>
    </w:p>
    <w:p w14:paraId="44390245" w14:textId="77777777" w:rsidR="00DE3F5D" w:rsidRDefault="00E96965">
      <w:pPr>
        <w:pStyle w:val="Ttulo1"/>
      </w:pPr>
      <w:bookmarkStart w:id="1" w:name="_Toc231081530"/>
      <w:r>
        <w:lastRenderedPageBreak/>
        <w:t>Declaración de originalidad</w:t>
      </w:r>
      <w:bookmarkEnd w:id="1"/>
    </w:p>
    <w:p w14:paraId="5A18DED7" w14:textId="77777777" w:rsidR="00DE3F5D" w:rsidRDefault="00E96965">
      <w:r>
        <w:t>Declaro que esta tesis es de mi autoría y que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0729CCC7" w14:textId="77777777" w:rsidR="00DE3F5D" w:rsidRDefault="00DE3F5D"/>
    <w:p w14:paraId="69A1ACA2" w14:textId="77777777" w:rsidR="00DE3F5D" w:rsidRDefault="00DE3F5D"/>
    <w:p w14:paraId="7A68A17C" w14:textId="77777777" w:rsidR="00DE3F5D" w:rsidRDefault="00E96965">
      <w:pPr>
        <w:jc w:val="right"/>
      </w:pPr>
      <w:r>
        <w:t>_______________________________</w:t>
      </w:r>
    </w:p>
    <w:p w14:paraId="1B07FBB3" w14:textId="77777777" w:rsidR="00DE3F5D" w:rsidRDefault="00E96965">
      <w:pPr>
        <w:jc w:val="right"/>
      </w:pPr>
      <w:r>
        <w:t>Francisco Rietta</w:t>
      </w:r>
    </w:p>
    <w:p w14:paraId="1C4FBA00" w14:textId="77777777" w:rsidR="00DE3F5D" w:rsidRDefault="00E96965">
      <w:r>
        <w:br w:type="page"/>
      </w:r>
    </w:p>
    <w:p w14:paraId="399F5FC7" w14:textId="77777777" w:rsidR="00DE3F5D" w:rsidRDefault="00E96965">
      <w:pPr>
        <w:pStyle w:val="Ttulo1"/>
      </w:pPr>
      <w:bookmarkStart w:id="2" w:name="_Toc231081531"/>
      <w:r>
        <w:lastRenderedPageBreak/>
        <w:t>Dedicatoria</w:t>
      </w:r>
      <w:bookmarkEnd w:id="2"/>
    </w:p>
    <w:p w14:paraId="322A1D9A" w14:textId="77777777" w:rsidR="00DE3F5D" w:rsidRDefault="00DE3F5D"/>
    <w:p w14:paraId="14BE5B4A" w14:textId="77777777" w:rsidR="00DE3F5D" w:rsidRDefault="00DE3F5D"/>
    <w:p w14:paraId="65C0DE27" w14:textId="77777777" w:rsidR="00DE3F5D" w:rsidRDefault="00DE3F5D"/>
    <w:p w14:paraId="331767D1" w14:textId="77777777" w:rsidR="00DE3F5D" w:rsidRDefault="00E96965">
      <w:pPr>
        <w:jc w:val="right"/>
      </w:pPr>
      <w:r>
        <w:rPr>
          <w:i/>
        </w:rPr>
        <w:t xml:space="preserve">[Espacio para la </w:t>
      </w:r>
      <w:r>
        <w:rPr>
          <w:i/>
        </w:rPr>
        <w:t>dedicatoria.]</w:t>
      </w:r>
    </w:p>
    <w:p w14:paraId="23F69B1D" w14:textId="77777777" w:rsidR="00DE3F5D" w:rsidRDefault="00E96965">
      <w:r>
        <w:br w:type="page"/>
      </w:r>
    </w:p>
    <w:p w14:paraId="46A96760" w14:textId="77777777" w:rsidR="00DE3F5D" w:rsidRDefault="00E96965">
      <w:pPr>
        <w:pStyle w:val="Ttulo1"/>
      </w:pPr>
      <w:bookmarkStart w:id="3" w:name="_Toc231081532"/>
      <w:r>
        <w:lastRenderedPageBreak/>
        <w:t>Agradecimientos</w:t>
      </w:r>
      <w:bookmarkEnd w:id="3"/>
    </w:p>
    <w:p w14:paraId="6BEF9E6C" w14:textId="77777777" w:rsidR="00DE3F5D" w:rsidRDefault="00DE3F5D"/>
    <w:p w14:paraId="629D7930" w14:textId="77777777" w:rsidR="00DE3F5D" w:rsidRDefault="00DE3F5D"/>
    <w:p w14:paraId="4E3F0C44" w14:textId="77777777" w:rsidR="00DE3F5D" w:rsidRDefault="00DE3F5D"/>
    <w:p w14:paraId="63C660C5" w14:textId="77777777" w:rsidR="00DE3F5D" w:rsidRDefault="00E96965">
      <w:r>
        <w:t>[Espacio para los agradecimientos.]</w:t>
      </w:r>
    </w:p>
    <w:p w14:paraId="4C7B5E20" w14:textId="77777777" w:rsidR="00DE3F5D" w:rsidRDefault="00E96965">
      <w:r>
        <w:br w:type="page"/>
      </w:r>
    </w:p>
    <w:p w14:paraId="33D6D56E" w14:textId="77777777" w:rsidR="00DE3F5D" w:rsidRDefault="00E96965">
      <w:pPr>
        <w:pStyle w:val="Ttulo1"/>
      </w:pPr>
      <w:bookmarkStart w:id="4" w:name="_Toc231081533"/>
      <w:r>
        <w:lastRenderedPageBreak/>
        <w:t>Resumen</w:t>
      </w:r>
      <w:bookmarkEnd w:id="4"/>
    </w:p>
    <w:p w14:paraId="53C6B4B3" w14:textId="77777777" w:rsidR="00DE3F5D" w:rsidRDefault="00E96965">
      <w:r>
        <w:t>Esta investigación cuantifica y compara el impacto de las variables 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w:t>
      </w:r>
      <w:r>
        <w:t>L/Johansen) y vectores autorregresivos con descomposición de varianza—, se evalúa la sensibilidad de los retornos a los factores macro-financieros, su estabilidad a lo largo de las fases del ciclo del cobre y la transmisión diferenciada entre mercados. La evidencia preliminar respalda al precio del cobre como principal determinante de los retornos y la dominancia de los factores globales sobre los locales.</w:t>
      </w:r>
    </w:p>
    <w:p w14:paraId="090F2BC5" w14:textId="77777777" w:rsidR="00DE3F5D" w:rsidRDefault="00E96965">
      <w:r>
        <w:rPr>
          <w:b/>
        </w:rPr>
        <w:t>Palabras clave:</w:t>
      </w:r>
      <w:r>
        <w:t xml:space="preserve"> cobre, retornos accionarios, variables macroeconómicas, Chile, datos de panel, cointegración, segmentación de mercados.</w:t>
      </w:r>
    </w:p>
    <w:p w14:paraId="260ED7E5" w14:textId="77777777" w:rsidR="00DE3F5D" w:rsidRDefault="00E96965">
      <w:r>
        <w:br w:type="page"/>
      </w:r>
    </w:p>
    <w:p w14:paraId="227D2FEE" w14:textId="77777777" w:rsidR="00DE3F5D" w:rsidRDefault="00E96965">
      <w:pPr>
        <w:pStyle w:val="Ttulo1"/>
      </w:pPr>
      <w:bookmarkStart w:id="5" w:name="_Toc231081534"/>
      <w:r>
        <w:lastRenderedPageBreak/>
        <w:t>Abstract</w:t>
      </w:r>
      <w:bookmarkEnd w:id="5"/>
    </w:p>
    <w:p w14:paraId="37A478BB" w14:textId="77777777" w:rsidR="00DE3F5D" w:rsidRDefault="00E96965">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(ARDL/Johansen) and vector autoregressions with varia</w:t>
      </w:r>
      <w:r>
        <w:t>nce decomposition—, the study assesses the sensitivity of returns to macro-financial factors, its stability across copper-cycle phases, and its differential transmission across markets. Preliminary evidence supports the copper price as the main driver of returns and the dominance of global over local factors.</w:t>
      </w:r>
    </w:p>
    <w:p w14:paraId="3BB86B69" w14:textId="77777777" w:rsidR="00DE3F5D" w:rsidRDefault="00E96965">
      <w:r>
        <w:rPr>
          <w:b/>
        </w:rPr>
        <w:t xml:space="preserve">Keywords: </w:t>
      </w:r>
      <w:r>
        <w:t>copper, stock returns, macroeconomic variables, Chile, panel data, cointegration, market segmentation.</w:t>
      </w:r>
    </w:p>
    <w:p w14:paraId="2CFD6DF1" w14:textId="77777777" w:rsidR="00DE3F5D" w:rsidRDefault="00E96965">
      <w:r>
        <w:br w:type="page"/>
      </w:r>
    </w:p>
    <w:p w14:paraId="116F8561" w14:textId="77777777" w:rsidR="00DE3F5D" w:rsidRDefault="00E96965">
      <w:pPr>
        <w:pStyle w:val="Ttulo1"/>
      </w:pPr>
      <w:bookmarkStart w:id="6" w:name="_Toc231081535"/>
      <w:r>
        <w:lastRenderedPageBreak/>
        <w:t>Índice general</w:t>
      </w:r>
      <w:bookmarkEnd w:id="6"/>
    </w:p>
    <w:p w14:paraId="2EBF2975" w14:textId="43BF1C18" w:rsidR="00E96965" w:rsidRDefault="00E96965">
      <w:pPr>
        <w:pStyle w:val="TDC1"/>
        <w:tabs>
          <w:tab w:val="right" w:leader="dot" w:pos="8832"/>
        </w:tabs>
        <w:rPr>
          <w:rFonts w:asciiTheme="minorHAnsi" w:hAnsiTheme="minorHAnsi"/>
          <w:noProof/>
          <w:kern w:val="2"/>
          <w:szCs w:val="24"/>
          <w:lang w:val="es-CL" w:eastAsia="es-CL"/>
          <w14:ligatures w14:val="standardContextual"/>
        </w:rPr>
      </w:pPr>
      <w:r>
        <w:fldChar w:fldCharType="begin"/>
      </w:r>
      <w:r>
        <w:instrText>TOC \o "1-3" \h \z \u</w:instrText>
      </w:r>
      <w:r>
        <w:fldChar w:fldCharType="separate"/>
      </w:r>
      <w:hyperlink w:anchor="_Toc231081529" w:history="1">
        <w:r w:rsidRPr="00F8237F">
          <w:rPr>
            <w:rStyle w:val="Hipervnculo"/>
            <w:noProof/>
          </w:rPr>
          <w:t>Página de aprobación</w:t>
        </w:r>
        <w:r>
          <w:rPr>
            <w:noProof/>
            <w:webHidden/>
          </w:rPr>
          <w:tab/>
        </w:r>
        <w:r>
          <w:rPr>
            <w:noProof/>
            <w:webHidden/>
          </w:rPr>
          <w:fldChar w:fldCharType="begin"/>
        </w:r>
        <w:r>
          <w:rPr>
            <w:noProof/>
            <w:webHidden/>
          </w:rPr>
          <w:instrText xml:space="preserve"> PAGEREF _Toc231081529 \h </w:instrText>
        </w:r>
        <w:r>
          <w:rPr>
            <w:noProof/>
            <w:webHidden/>
          </w:rPr>
        </w:r>
        <w:r>
          <w:rPr>
            <w:noProof/>
            <w:webHidden/>
          </w:rPr>
          <w:fldChar w:fldCharType="separate"/>
        </w:r>
        <w:r>
          <w:rPr>
            <w:noProof/>
            <w:webHidden/>
          </w:rPr>
          <w:t>ii</w:t>
        </w:r>
        <w:r>
          <w:rPr>
            <w:noProof/>
            <w:webHidden/>
          </w:rPr>
          <w:fldChar w:fldCharType="end"/>
        </w:r>
      </w:hyperlink>
    </w:p>
    <w:p w14:paraId="76A64BE9" w14:textId="34474801"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0" w:history="1">
        <w:r w:rsidRPr="00F8237F">
          <w:rPr>
            <w:rStyle w:val="Hipervnculo"/>
            <w:noProof/>
          </w:rPr>
          <w:t>Declaración de originalidad</w:t>
        </w:r>
        <w:r>
          <w:rPr>
            <w:noProof/>
            <w:webHidden/>
          </w:rPr>
          <w:tab/>
        </w:r>
        <w:r>
          <w:rPr>
            <w:noProof/>
            <w:webHidden/>
          </w:rPr>
          <w:fldChar w:fldCharType="begin"/>
        </w:r>
        <w:r>
          <w:rPr>
            <w:noProof/>
            <w:webHidden/>
          </w:rPr>
          <w:instrText xml:space="preserve"> PAGEREF _Toc231081530 \h </w:instrText>
        </w:r>
        <w:r>
          <w:rPr>
            <w:noProof/>
            <w:webHidden/>
          </w:rPr>
        </w:r>
        <w:r>
          <w:rPr>
            <w:noProof/>
            <w:webHidden/>
          </w:rPr>
          <w:fldChar w:fldCharType="separate"/>
        </w:r>
        <w:r>
          <w:rPr>
            <w:noProof/>
            <w:webHidden/>
          </w:rPr>
          <w:t>iii</w:t>
        </w:r>
        <w:r>
          <w:rPr>
            <w:noProof/>
            <w:webHidden/>
          </w:rPr>
          <w:fldChar w:fldCharType="end"/>
        </w:r>
      </w:hyperlink>
    </w:p>
    <w:p w14:paraId="64BB24C0" w14:textId="0EA225DD"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1" w:history="1">
        <w:r w:rsidRPr="00F8237F">
          <w:rPr>
            <w:rStyle w:val="Hipervnculo"/>
            <w:noProof/>
          </w:rPr>
          <w:t>Dedicatoria</w:t>
        </w:r>
        <w:r>
          <w:rPr>
            <w:noProof/>
            <w:webHidden/>
          </w:rPr>
          <w:tab/>
        </w:r>
        <w:r>
          <w:rPr>
            <w:noProof/>
            <w:webHidden/>
          </w:rPr>
          <w:fldChar w:fldCharType="begin"/>
        </w:r>
        <w:r>
          <w:rPr>
            <w:noProof/>
            <w:webHidden/>
          </w:rPr>
          <w:instrText xml:space="preserve"> PAGEREF _Toc231081531 \h </w:instrText>
        </w:r>
        <w:r>
          <w:rPr>
            <w:noProof/>
            <w:webHidden/>
          </w:rPr>
        </w:r>
        <w:r>
          <w:rPr>
            <w:noProof/>
            <w:webHidden/>
          </w:rPr>
          <w:fldChar w:fldCharType="separate"/>
        </w:r>
        <w:r>
          <w:rPr>
            <w:noProof/>
            <w:webHidden/>
          </w:rPr>
          <w:t>iv</w:t>
        </w:r>
        <w:r>
          <w:rPr>
            <w:noProof/>
            <w:webHidden/>
          </w:rPr>
          <w:fldChar w:fldCharType="end"/>
        </w:r>
      </w:hyperlink>
    </w:p>
    <w:p w14:paraId="7A7DC45F" w14:textId="05F026F3"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2" w:history="1">
        <w:r w:rsidRPr="00F8237F">
          <w:rPr>
            <w:rStyle w:val="Hipervnculo"/>
            <w:noProof/>
          </w:rPr>
          <w:t>Agradecimientos</w:t>
        </w:r>
        <w:r>
          <w:rPr>
            <w:noProof/>
            <w:webHidden/>
          </w:rPr>
          <w:tab/>
        </w:r>
        <w:r>
          <w:rPr>
            <w:noProof/>
            <w:webHidden/>
          </w:rPr>
          <w:fldChar w:fldCharType="begin"/>
        </w:r>
        <w:r>
          <w:rPr>
            <w:noProof/>
            <w:webHidden/>
          </w:rPr>
          <w:instrText xml:space="preserve"> PAGEREF _Toc231081532 \h </w:instrText>
        </w:r>
        <w:r>
          <w:rPr>
            <w:noProof/>
            <w:webHidden/>
          </w:rPr>
        </w:r>
        <w:r>
          <w:rPr>
            <w:noProof/>
            <w:webHidden/>
          </w:rPr>
          <w:fldChar w:fldCharType="separate"/>
        </w:r>
        <w:r>
          <w:rPr>
            <w:noProof/>
            <w:webHidden/>
          </w:rPr>
          <w:t>v</w:t>
        </w:r>
        <w:r>
          <w:rPr>
            <w:noProof/>
            <w:webHidden/>
          </w:rPr>
          <w:fldChar w:fldCharType="end"/>
        </w:r>
      </w:hyperlink>
    </w:p>
    <w:p w14:paraId="45E35C8F" w14:textId="08F94618"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3" w:history="1">
        <w:r w:rsidRPr="00F8237F">
          <w:rPr>
            <w:rStyle w:val="Hipervnculo"/>
            <w:noProof/>
          </w:rPr>
          <w:t>Resumen</w:t>
        </w:r>
        <w:r>
          <w:rPr>
            <w:noProof/>
            <w:webHidden/>
          </w:rPr>
          <w:tab/>
        </w:r>
        <w:r>
          <w:rPr>
            <w:noProof/>
            <w:webHidden/>
          </w:rPr>
          <w:fldChar w:fldCharType="begin"/>
        </w:r>
        <w:r>
          <w:rPr>
            <w:noProof/>
            <w:webHidden/>
          </w:rPr>
          <w:instrText xml:space="preserve"> PAGEREF _Toc231081533 \h </w:instrText>
        </w:r>
        <w:r>
          <w:rPr>
            <w:noProof/>
            <w:webHidden/>
          </w:rPr>
        </w:r>
        <w:r>
          <w:rPr>
            <w:noProof/>
            <w:webHidden/>
          </w:rPr>
          <w:fldChar w:fldCharType="separate"/>
        </w:r>
        <w:r>
          <w:rPr>
            <w:noProof/>
            <w:webHidden/>
          </w:rPr>
          <w:t>vi</w:t>
        </w:r>
        <w:r>
          <w:rPr>
            <w:noProof/>
            <w:webHidden/>
          </w:rPr>
          <w:fldChar w:fldCharType="end"/>
        </w:r>
      </w:hyperlink>
    </w:p>
    <w:p w14:paraId="3E62B117" w14:textId="06A5A374"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4" w:history="1">
        <w:r w:rsidRPr="00F8237F">
          <w:rPr>
            <w:rStyle w:val="Hipervnculo"/>
            <w:noProof/>
          </w:rPr>
          <w:t>Abstract</w:t>
        </w:r>
        <w:r>
          <w:rPr>
            <w:noProof/>
            <w:webHidden/>
          </w:rPr>
          <w:tab/>
        </w:r>
        <w:r>
          <w:rPr>
            <w:noProof/>
            <w:webHidden/>
          </w:rPr>
          <w:fldChar w:fldCharType="begin"/>
        </w:r>
        <w:r>
          <w:rPr>
            <w:noProof/>
            <w:webHidden/>
          </w:rPr>
          <w:instrText xml:space="preserve"> PAGEREF _Toc231081534 \h </w:instrText>
        </w:r>
        <w:r>
          <w:rPr>
            <w:noProof/>
            <w:webHidden/>
          </w:rPr>
        </w:r>
        <w:r>
          <w:rPr>
            <w:noProof/>
            <w:webHidden/>
          </w:rPr>
          <w:fldChar w:fldCharType="separate"/>
        </w:r>
        <w:r>
          <w:rPr>
            <w:noProof/>
            <w:webHidden/>
          </w:rPr>
          <w:t>vii</w:t>
        </w:r>
        <w:r>
          <w:rPr>
            <w:noProof/>
            <w:webHidden/>
          </w:rPr>
          <w:fldChar w:fldCharType="end"/>
        </w:r>
      </w:hyperlink>
    </w:p>
    <w:p w14:paraId="6B30A2B5" w14:textId="74F15E70"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5" w:history="1">
        <w:r w:rsidRPr="00F8237F">
          <w:rPr>
            <w:rStyle w:val="Hipervnculo"/>
            <w:noProof/>
          </w:rPr>
          <w:t>Índice general</w:t>
        </w:r>
        <w:r>
          <w:rPr>
            <w:noProof/>
            <w:webHidden/>
          </w:rPr>
          <w:tab/>
        </w:r>
        <w:r>
          <w:rPr>
            <w:noProof/>
            <w:webHidden/>
          </w:rPr>
          <w:fldChar w:fldCharType="begin"/>
        </w:r>
        <w:r>
          <w:rPr>
            <w:noProof/>
            <w:webHidden/>
          </w:rPr>
          <w:instrText xml:space="preserve"> PAGEREF _Toc231081535 \h </w:instrText>
        </w:r>
        <w:r>
          <w:rPr>
            <w:noProof/>
            <w:webHidden/>
          </w:rPr>
        </w:r>
        <w:r>
          <w:rPr>
            <w:noProof/>
            <w:webHidden/>
          </w:rPr>
          <w:fldChar w:fldCharType="separate"/>
        </w:r>
        <w:r>
          <w:rPr>
            <w:noProof/>
            <w:webHidden/>
          </w:rPr>
          <w:t>viii</w:t>
        </w:r>
        <w:r>
          <w:rPr>
            <w:noProof/>
            <w:webHidden/>
          </w:rPr>
          <w:fldChar w:fldCharType="end"/>
        </w:r>
      </w:hyperlink>
    </w:p>
    <w:p w14:paraId="43DEF469" w14:textId="2E590E4A"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6" w:history="1">
        <w:r w:rsidRPr="00F8237F">
          <w:rPr>
            <w:rStyle w:val="Hipervnculo"/>
            <w:noProof/>
          </w:rPr>
          <w:t>Índice de tablas</w:t>
        </w:r>
        <w:r>
          <w:rPr>
            <w:noProof/>
            <w:webHidden/>
          </w:rPr>
          <w:tab/>
        </w:r>
        <w:r>
          <w:rPr>
            <w:noProof/>
            <w:webHidden/>
          </w:rPr>
          <w:fldChar w:fldCharType="begin"/>
        </w:r>
        <w:r>
          <w:rPr>
            <w:noProof/>
            <w:webHidden/>
          </w:rPr>
          <w:instrText xml:space="preserve"> PAGEREF _Toc231081536 \h </w:instrText>
        </w:r>
        <w:r>
          <w:rPr>
            <w:noProof/>
            <w:webHidden/>
          </w:rPr>
        </w:r>
        <w:r>
          <w:rPr>
            <w:noProof/>
            <w:webHidden/>
          </w:rPr>
          <w:fldChar w:fldCharType="separate"/>
        </w:r>
        <w:r>
          <w:rPr>
            <w:noProof/>
            <w:webHidden/>
          </w:rPr>
          <w:t>xi</w:t>
        </w:r>
        <w:r>
          <w:rPr>
            <w:noProof/>
            <w:webHidden/>
          </w:rPr>
          <w:fldChar w:fldCharType="end"/>
        </w:r>
      </w:hyperlink>
    </w:p>
    <w:p w14:paraId="5B534752" w14:textId="1BD902C0"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7" w:history="1">
        <w:r w:rsidRPr="00F8237F">
          <w:rPr>
            <w:rStyle w:val="Hipervnculo"/>
            <w:noProof/>
          </w:rPr>
          <w:t>Índice de figuras</w:t>
        </w:r>
        <w:r>
          <w:rPr>
            <w:noProof/>
            <w:webHidden/>
          </w:rPr>
          <w:tab/>
        </w:r>
        <w:r>
          <w:rPr>
            <w:noProof/>
            <w:webHidden/>
          </w:rPr>
          <w:fldChar w:fldCharType="begin"/>
        </w:r>
        <w:r>
          <w:rPr>
            <w:noProof/>
            <w:webHidden/>
          </w:rPr>
          <w:instrText xml:space="preserve"> PAGEREF _Toc231081537 \h </w:instrText>
        </w:r>
        <w:r>
          <w:rPr>
            <w:noProof/>
            <w:webHidden/>
          </w:rPr>
        </w:r>
        <w:r>
          <w:rPr>
            <w:noProof/>
            <w:webHidden/>
          </w:rPr>
          <w:fldChar w:fldCharType="separate"/>
        </w:r>
        <w:r>
          <w:rPr>
            <w:noProof/>
            <w:webHidden/>
          </w:rPr>
          <w:t>xii</w:t>
        </w:r>
        <w:r>
          <w:rPr>
            <w:noProof/>
            <w:webHidden/>
          </w:rPr>
          <w:fldChar w:fldCharType="end"/>
        </w:r>
      </w:hyperlink>
    </w:p>
    <w:p w14:paraId="24E3F333" w14:textId="62F70A95"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8" w:history="1">
        <w:r w:rsidRPr="00F8237F">
          <w:rPr>
            <w:rStyle w:val="Hipervnculo"/>
            <w:noProof/>
          </w:rPr>
          <w:t>Lista de abreviaturas y siglas</w:t>
        </w:r>
        <w:r>
          <w:rPr>
            <w:noProof/>
            <w:webHidden/>
          </w:rPr>
          <w:tab/>
        </w:r>
        <w:r>
          <w:rPr>
            <w:noProof/>
            <w:webHidden/>
          </w:rPr>
          <w:fldChar w:fldCharType="begin"/>
        </w:r>
        <w:r>
          <w:rPr>
            <w:noProof/>
            <w:webHidden/>
          </w:rPr>
          <w:instrText xml:space="preserve"> PAGEREF _Toc231081538 \h </w:instrText>
        </w:r>
        <w:r>
          <w:rPr>
            <w:noProof/>
            <w:webHidden/>
          </w:rPr>
        </w:r>
        <w:r>
          <w:rPr>
            <w:noProof/>
            <w:webHidden/>
          </w:rPr>
          <w:fldChar w:fldCharType="separate"/>
        </w:r>
        <w:r>
          <w:rPr>
            <w:noProof/>
            <w:webHidden/>
          </w:rPr>
          <w:t>xiii</w:t>
        </w:r>
        <w:r>
          <w:rPr>
            <w:noProof/>
            <w:webHidden/>
          </w:rPr>
          <w:fldChar w:fldCharType="end"/>
        </w:r>
      </w:hyperlink>
    </w:p>
    <w:p w14:paraId="57F5C045" w14:textId="01AF68C5"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39" w:history="1">
        <w:r w:rsidRPr="00F8237F">
          <w:rPr>
            <w:rStyle w:val="Hipervnculo"/>
            <w:noProof/>
          </w:rPr>
          <w:t>Capítulo 1 — Introducción</w:t>
        </w:r>
        <w:r>
          <w:rPr>
            <w:noProof/>
            <w:webHidden/>
          </w:rPr>
          <w:tab/>
        </w:r>
        <w:r>
          <w:rPr>
            <w:noProof/>
            <w:webHidden/>
          </w:rPr>
          <w:fldChar w:fldCharType="begin"/>
        </w:r>
        <w:r>
          <w:rPr>
            <w:noProof/>
            <w:webHidden/>
          </w:rPr>
          <w:instrText xml:space="preserve"> PAGEREF _Toc231081539 \h </w:instrText>
        </w:r>
        <w:r>
          <w:rPr>
            <w:noProof/>
            <w:webHidden/>
          </w:rPr>
        </w:r>
        <w:r>
          <w:rPr>
            <w:noProof/>
            <w:webHidden/>
          </w:rPr>
          <w:fldChar w:fldCharType="separate"/>
        </w:r>
        <w:r>
          <w:rPr>
            <w:noProof/>
            <w:webHidden/>
          </w:rPr>
          <w:t>1</w:t>
        </w:r>
        <w:r>
          <w:rPr>
            <w:noProof/>
            <w:webHidden/>
          </w:rPr>
          <w:fldChar w:fldCharType="end"/>
        </w:r>
      </w:hyperlink>
    </w:p>
    <w:p w14:paraId="09DE019E" w14:textId="037ADA55"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0" w:history="1">
        <w:r w:rsidRPr="00F8237F">
          <w:rPr>
            <w:rStyle w:val="Hipervnculo"/>
            <w:noProof/>
          </w:rPr>
          <w:t>1.1 Contextualización</w:t>
        </w:r>
        <w:r>
          <w:rPr>
            <w:noProof/>
            <w:webHidden/>
          </w:rPr>
          <w:tab/>
        </w:r>
        <w:r>
          <w:rPr>
            <w:noProof/>
            <w:webHidden/>
          </w:rPr>
          <w:fldChar w:fldCharType="begin"/>
        </w:r>
        <w:r>
          <w:rPr>
            <w:noProof/>
            <w:webHidden/>
          </w:rPr>
          <w:instrText xml:space="preserve"> PAGEREF _Toc231081540 \h </w:instrText>
        </w:r>
        <w:r>
          <w:rPr>
            <w:noProof/>
            <w:webHidden/>
          </w:rPr>
        </w:r>
        <w:r>
          <w:rPr>
            <w:noProof/>
            <w:webHidden/>
          </w:rPr>
          <w:fldChar w:fldCharType="separate"/>
        </w:r>
        <w:r>
          <w:rPr>
            <w:noProof/>
            <w:webHidden/>
          </w:rPr>
          <w:t>1</w:t>
        </w:r>
        <w:r>
          <w:rPr>
            <w:noProof/>
            <w:webHidden/>
          </w:rPr>
          <w:fldChar w:fldCharType="end"/>
        </w:r>
      </w:hyperlink>
    </w:p>
    <w:p w14:paraId="24F0C91E" w14:textId="68F36890"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1" w:history="1">
        <w:r w:rsidRPr="00F8237F">
          <w:rPr>
            <w:rStyle w:val="Hipervnculo"/>
            <w:noProof/>
          </w:rPr>
          <w:t>1.2 Problema de investigación y justificación</w:t>
        </w:r>
        <w:r>
          <w:rPr>
            <w:noProof/>
            <w:webHidden/>
          </w:rPr>
          <w:tab/>
        </w:r>
        <w:r>
          <w:rPr>
            <w:noProof/>
            <w:webHidden/>
          </w:rPr>
          <w:fldChar w:fldCharType="begin"/>
        </w:r>
        <w:r>
          <w:rPr>
            <w:noProof/>
            <w:webHidden/>
          </w:rPr>
          <w:instrText xml:space="preserve"> PAGEREF _Toc231081541 \h </w:instrText>
        </w:r>
        <w:r>
          <w:rPr>
            <w:noProof/>
            <w:webHidden/>
          </w:rPr>
        </w:r>
        <w:r>
          <w:rPr>
            <w:noProof/>
            <w:webHidden/>
          </w:rPr>
          <w:fldChar w:fldCharType="separate"/>
        </w:r>
        <w:r>
          <w:rPr>
            <w:noProof/>
            <w:webHidden/>
          </w:rPr>
          <w:t>2</w:t>
        </w:r>
        <w:r>
          <w:rPr>
            <w:noProof/>
            <w:webHidden/>
          </w:rPr>
          <w:fldChar w:fldCharType="end"/>
        </w:r>
      </w:hyperlink>
    </w:p>
    <w:p w14:paraId="446038A6" w14:textId="3F1717B8"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2" w:history="1">
        <w:r w:rsidRPr="00F8237F">
          <w:rPr>
            <w:rStyle w:val="Hipervnculo"/>
            <w:noProof/>
          </w:rPr>
          <w:t>1.3 Pregunta y objetivos de investigación</w:t>
        </w:r>
        <w:r>
          <w:rPr>
            <w:noProof/>
            <w:webHidden/>
          </w:rPr>
          <w:tab/>
        </w:r>
        <w:r>
          <w:rPr>
            <w:noProof/>
            <w:webHidden/>
          </w:rPr>
          <w:fldChar w:fldCharType="begin"/>
        </w:r>
        <w:r>
          <w:rPr>
            <w:noProof/>
            <w:webHidden/>
          </w:rPr>
          <w:instrText xml:space="preserve"> PAGEREF _Toc231081542 \h </w:instrText>
        </w:r>
        <w:r>
          <w:rPr>
            <w:noProof/>
            <w:webHidden/>
          </w:rPr>
        </w:r>
        <w:r>
          <w:rPr>
            <w:noProof/>
            <w:webHidden/>
          </w:rPr>
          <w:fldChar w:fldCharType="separate"/>
        </w:r>
        <w:r>
          <w:rPr>
            <w:noProof/>
            <w:webHidden/>
          </w:rPr>
          <w:t>3</w:t>
        </w:r>
        <w:r>
          <w:rPr>
            <w:noProof/>
            <w:webHidden/>
          </w:rPr>
          <w:fldChar w:fldCharType="end"/>
        </w:r>
      </w:hyperlink>
    </w:p>
    <w:p w14:paraId="3A6A0D59" w14:textId="4708AB3D"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3" w:history="1">
        <w:r w:rsidRPr="00F8237F">
          <w:rPr>
            <w:rStyle w:val="Hipervnculo"/>
            <w:noProof/>
          </w:rPr>
          <w:t>1.4 Hipótesis general</w:t>
        </w:r>
        <w:r>
          <w:rPr>
            <w:noProof/>
            <w:webHidden/>
          </w:rPr>
          <w:tab/>
        </w:r>
        <w:r>
          <w:rPr>
            <w:noProof/>
            <w:webHidden/>
          </w:rPr>
          <w:fldChar w:fldCharType="begin"/>
        </w:r>
        <w:r>
          <w:rPr>
            <w:noProof/>
            <w:webHidden/>
          </w:rPr>
          <w:instrText xml:space="preserve"> PAGEREF _Toc231081543 \h </w:instrText>
        </w:r>
        <w:r>
          <w:rPr>
            <w:noProof/>
            <w:webHidden/>
          </w:rPr>
        </w:r>
        <w:r>
          <w:rPr>
            <w:noProof/>
            <w:webHidden/>
          </w:rPr>
          <w:fldChar w:fldCharType="separate"/>
        </w:r>
        <w:r>
          <w:rPr>
            <w:noProof/>
            <w:webHidden/>
          </w:rPr>
          <w:t>4</w:t>
        </w:r>
        <w:r>
          <w:rPr>
            <w:noProof/>
            <w:webHidden/>
          </w:rPr>
          <w:fldChar w:fldCharType="end"/>
        </w:r>
      </w:hyperlink>
    </w:p>
    <w:p w14:paraId="118EEF65" w14:textId="7A9973A9"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4" w:history="1">
        <w:r w:rsidRPr="00F8237F">
          <w:rPr>
            <w:rStyle w:val="Hipervnculo"/>
            <w:noProof/>
          </w:rPr>
          <w:t>1.5 Aspectos metodológicos y alcance</w:t>
        </w:r>
        <w:r>
          <w:rPr>
            <w:noProof/>
            <w:webHidden/>
          </w:rPr>
          <w:tab/>
        </w:r>
        <w:r>
          <w:rPr>
            <w:noProof/>
            <w:webHidden/>
          </w:rPr>
          <w:fldChar w:fldCharType="begin"/>
        </w:r>
        <w:r>
          <w:rPr>
            <w:noProof/>
            <w:webHidden/>
          </w:rPr>
          <w:instrText xml:space="preserve"> PAGEREF _Toc231081544 \h </w:instrText>
        </w:r>
        <w:r>
          <w:rPr>
            <w:noProof/>
            <w:webHidden/>
          </w:rPr>
        </w:r>
        <w:r>
          <w:rPr>
            <w:noProof/>
            <w:webHidden/>
          </w:rPr>
          <w:fldChar w:fldCharType="separate"/>
        </w:r>
        <w:r>
          <w:rPr>
            <w:noProof/>
            <w:webHidden/>
          </w:rPr>
          <w:t>4</w:t>
        </w:r>
        <w:r>
          <w:rPr>
            <w:noProof/>
            <w:webHidden/>
          </w:rPr>
          <w:fldChar w:fldCharType="end"/>
        </w:r>
      </w:hyperlink>
    </w:p>
    <w:p w14:paraId="3382A3EC" w14:textId="5CBE5FE2"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5" w:history="1">
        <w:r w:rsidRPr="00F8237F">
          <w:rPr>
            <w:rStyle w:val="Hipervnculo"/>
            <w:noProof/>
          </w:rPr>
          <w:t>1.6 Aportes esperados</w:t>
        </w:r>
        <w:r>
          <w:rPr>
            <w:noProof/>
            <w:webHidden/>
          </w:rPr>
          <w:tab/>
        </w:r>
        <w:r>
          <w:rPr>
            <w:noProof/>
            <w:webHidden/>
          </w:rPr>
          <w:fldChar w:fldCharType="begin"/>
        </w:r>
        <w:r>
          <w:rPr>
            <w:noProof/>
            <w:webHidden/>
          </w:rPr>
          <w:instrText xml:space="preserve"> PAGEREF _Toc231081545 \h </w:instrText>
        </w:r>
        <w:r>
          <w:rPr>
            <w:noProof/>
            <w:webHidden/>
          </w:rPr>
        </w:r>
        <w:r>
          <w:rPr>
            <w:noProof/>
            <w:webHidden/>
          </w:rPr>
          <w:fldChar w:fldCharType="separate"/>
        </w:r>
        <w:r>
          <w:rPr>
            <w:noProof/>
            <w:webHidden/>
          </w:rPr>
          <w:t>5</w:t>
        </w:r>
        <w:r>
          <w:rPr>
            <w:noProof/>
            <w:webHidden/>
          </w:rPr>
          <w:fldChar w:fldCharType="end"/>
        </w:r>
      </w:hyperlink>
    </w:p>
    <w:p w14:paraId="35D77159" w14:textId="12E97BCE"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6" w:history="1">
        <w:r w:rsidRPr="00F8237F">
          <w:rPr>
            <w:rStyle w:val="Hipervnculo"/>
            <w:noProof/>
          </w:rPr>
          <w:t>1.7 Estructura de la tesis</w:t>
        </w:r>
        <w:r>
          <w:rPr>
            <w:noProof/>
            <w:webHidden/>
          </w:rPr>
          <w:tab/>
        </w:r>
        <w:r>
          <w:rPr>
            <w:noProof/>
            <w:webHidden/>
          </w:rPr>
          <w:fldChar w:fldCharType="begin"/>
        </w:r>
        <w:r>
          <w:rPr>
            <w:noProof/>
            <w:webHidden/>
          </w:rPr>
          <w:instrText xml:space="preserve"> PAGEREF _Toc231081546 \h </w:instrText>
        </w:r>
        <w:r>
          <w:rPr>
            <w:noProof/>
            <w:webHidden/>
          </w:rPr>
        </w:r>
        <w:r>
          <w:rPr>
            <w:noProof/>
            <w:webHidden/>
          </w:rPr>
          <w:fldChar w:fldCharType="separate"/>
        </w:r>
        <w:r>
          <w:rPr>
            <w:noProof/>
            <w:webHidden/>
          </w:rPr>
          <w:t>6</w:t>
        </w:r>
        <w:r>
          <w:rPr>
            <w:noProof/>
            <w:webHidden/>
          </w:rPr>
          <w:fldChar w:fldCharType="end"/>
        </w:r>
      </w:hyperlink>
    </w:p>
    <w:p w14:paraId="25242A4B" w14:textId="68496A75"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47" w:history="1">
        <w:r w:rsidRPr="00F8237F">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_Toc231081547 \h </w:instrText>
        </w:r>
        <w:r>
          <w:rPr>
            <w:noProof/>
            <w:webHidden/>
          </w:rPr>
        </w:r>
        <w:r>
          <w:rPr>
            <w:noProof/>
            <w:webHidden/>
          </w:rPr>
          <w:fldChar w:fldCharType="separate"/>
        </w:r>
        <w:r>
          <w:rPr>
            <w:noProof/>
            <w:webHidden/>
          </w:rPr>
          <w:t>7</w:t>
        </w:r>
        <w:r>
          <w:rPr>
            <w:noProof/>
            <w:webHidden/>
          </w:rPr>
          <w:fldChar w:fldCharType="end"/>
        </w:r>
      </w:hyperlink>
    </w:p>
    <w:p w14:paraId="7777333E" w14:textId="68B5598A"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8" w:history="1">
        <w:r w:rsidRPr="00F8237F">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_Toc231081548 \h </w:instrText>
        </w:r>
        <w:r>
          <w:rPr>
            <w:noProof/>
            <w:webHidden/>
          </w:rPr>
        </w:r>
        <w:r>
          <w:rPr>
            <w:noProof/>
            <w:webHidden/>
          </w:rPr>
          <w:fldChar w:fldCharType="separate"/>
        </w:r>
        <w:r>
          <w:rPr>
            <w:noProof/>
            <w:webHidden/>
          </w:rPr>
          <w:t>7</w:t>
        </w:r>
        <w:r>
          <w:rPr>
            <w:noProof/>
            <w:webHidden/>
          </w:rPr>
          <w:fldChar w:fldCharType="end"/>
        </w:r>
      </w:hyperlink>
    </w:p>
    <w:p w14:paraId="32F5D3FA" w14:textId="67ACEE25"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49" w:history="1">
        <w:r w:rsidRPr="00F8237F">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_Toc231081549 \h </w:instrText>
        </w:r>
        <w:r>
          <w:rPr>
            <w:noProof/>
            <w:webHidden/>
          </w:rPr>
        </w:r>
        <w:r>
          <w:rPr>
            <w:noProof/>
            <w:webHidden/>
          </w:rPr>
          <w:fldChar w:fldCharType="separate"/>
        </w:r>
        <w:r>
          <w:rPr>
            <w:noProof/>
            <w:webHidden/>
          </w:rPr>
          <w:t>9</w:t>
        </w:r>
        <w:r>
          <w:rPr>
            <w:noProof/>
            <w:webHidden/>
          </w:rPr>
          <w:fldChar w:fldCharType="end"/>
        </w:r>
      </w:hyperlink>
    </w:p>
    <w:p w14:paraId="1BD1DA71" w14:textId="2367D723"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50" w:history="1">
        <w:r w:rsidRPr="00F8237F">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_Toc231081550 \h </w:instrText>
        </w:r>
        <w:r>
          <w:rPr>
            <w:noProof/>
            <w:webHidden/>
          </w:rPr>
        </w:r>
        <w:r>
          <w:rPr>
            <w:noProof/>
            <w:webHidden/>
          </w:rPr>
          <w:fldChar w:fldCharType="separate"/>
        </w:r>
        <w:r>
          <w:rPr>
            <w:noProof/>
            <w:webHidden/>
          </w:rPr>
          <w:t>11</w:t>
        </w:r>
        <w:r>
          <w:rPr>
            <w:noProof/>
            <w:webHidden/>
          </w:rPr>
          <w:fldChar w:fldCharType="end"/>
        </w:r>
      </w:hyperlink>
    </w:p>
    <w:p w14:paraId="5CB5D281" w14:textId="311E98C7"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51" w:history="1">
        <w:r w:rsidRPr="00F8237F">
          <w:rPr>
            <w:rStyle w:val="Hipervnculo"/>
            <w:noProof/>
          </w:rPr>
          <w:t>2.4 Cobre, tipo de cambio y la economía chilena</w:t>
        </w:r>
        <w:r>
          <w:rPr>
            <w:noProof/>
            <w:webHidden/>
          </w:rPr>
          <w:tab/>
        </w:r>
        <w:r>
          <w:rPr>
            <w:noProof/>
            <w:webHidden/>
          </w:rPr>
          <w:fldChar w:fldCharType="begin"/>
        </w:r>
        <w:r>
          <w:rPr>
            <w:noProof/>
            <w:webHidden/>
          </w:rPr>
          <w:instrText xml:space="preserve"> PAGEREF _Toc231081551 \h </w:instrText>
        </w:r>
        <w:r>
          <w:rPr>
            <w:noProof/>
            <w:webHidden/>
          </w:rPr>
        </w:r>
        <w:r>
          <w:rPr>
            <w:noProof/>
            <w:webHidden/>
          </w:rPr>
          <w:fldChar w:fldCharType="separate"/>
        </w:r>
        <w:r>
          <w:rPr>
            <w:noProof/>
            <w:webHidden/>
          </w:rPr>
          <w:t>11</w:t>
        </w:r>
        <w:r>
          <w:rPr>
            <w:noProof/>
            <w:webHidden/>
          </w:rPr>
          <w:fldChar w:fldCharType="end"/>
        </w:r>
      </w:hyperlink>
    </w:p>
    <w:p w14:paraId="46597435" w14:textId="6908A9C8"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52" w:history="1">
        <w:r w:rsidRPr="00F8237F">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_Toc231081552 \h </w:instrText>
        </w:r>
        <w:r>
          <w:rPr>
            <w:noProof/>
            <w:webHidden/>
          </w:rPr>
        </w:r>
        <w:r>
          <w:rPr>
            <w:noProof/>
            <w:webHidden/>
          </w:rPr>
          <w:fldChar w:fldCharType="separate"/>
        </w:r>
        <w:r>
          <w:rPr>
            <w:noProof/>
            <w:webHidden/>
          </w:rPr>
          <w:t>14</w:t>
        </w:r>
        <w:r>
          <w:rPr>
            <w:noProof/>
            <w:webHidden/>
          </w:rPr>
          <w:fldChar w:fldCharType="end"/>
        </w:r>
      </w:hyperlink>
    </w:p>
    <w:p w14:paraId="70CBEAD2" w14:textId="4FD92985"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53" w:history="1">
        <w:r w:rsidRPr="00F8237F">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_Toc231081553 \h </w:instrText>
        </w:r>
        <w:r>
          <w:rPr>
            <w:noProof/>
            <w:webHidden/>
          </w:rPr>
        </w:r>
        <w:r>
          <w:rPr>
            <w:noProof/>
            <w:webHidden/>
          </w:rPr>
          <w:fldChar w:fldCharType="separate"/>
        </w:r>
        <w:r>
          <w:rPr>
            <w:noProof/>
            <w:webHidden/>
          </w:rPr>
          <w:t>15</w:t>
        </w:r>
        <w:r>
          <w:rPr>
            <w:noProof/>
            <w:webHidden/>
          </w:rPr>
          <w:fldChar w:fldCharType="end"/>
        </w:r>
      </w:hyperlink>
    </w:p>
    <w:p w14:paraId="59FC64C3" w14:textId="0C59BED7"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54" w:history="1">
        <w:r w:rsidRPr="00F8237F">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_Toc231081554 \h </w:instrText>
        </w:r>
        <w:r>
          <w:rPr>
            <w:noProof/>
            <w:webHidden/>
          </w:rPr>
        </w:r>
        <w:r>
          <w:rPr>
            <w:noProof/>
            <w:webHidden/>
          </w:rPr>
          <w:fldChar w:fldCharType="separate"/>
        </w:r>
        <w:r>
          <w:rPr>
            <w:noProof/>
            <w:webHidden/>
          </w:rPr>
          <w:t>16</w:t>
        </w:r>
        <w:r>
          <w:rPr>
            <w:noProof/>
            <w:webHidden/>
          </w:rPr>
          <w:fldChar w:fldCharType="end"/>
        </w:r>
      </w:hyperlink>
    </w:p>
    <w:p w14:paraId="42B26B06" w14:textId="2825A488"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55" w:history="1">
        <w:r w:rsidRPr="00F8237F">
          <w:rPr>
            <w:rStyle w:val="Hipervnculo"/>
            <w:noProof/>
          </w:rPr>
          <w:t>Nota sobre la tabla de literatura</w:t>
        </w:r>
        <w:r>
          <w:rPr>
            <w:noProof/>
            <w:webHidden/>
          </w:rPr>
          <w:tab/>
        </w:r>
        <w:r>
          <w:rPr>
            <w:noProof/>
            <w:webHidden/>
          </w:rPr>
          <w:fldChar w:fldCharType="begin"/>
        </w:r>
        <w:r>
          <w:rPr>
            <w:noProof/>
            <w:webHidden/>
          </w:rPr>
          <w:instrText xml:space="preserve"> PAGEREF _Toc231081555 \h </w:instrText>
        </w:r>
        <w:r>
          <w:rPr>
            <w:noProof/>
            <w:webHidden/>
          </w:rPr>
        </w:r>
        <w:r>
          <w:rPr>
            <w:noProof/>
            <w:webHidden/>
          </w:rPr>
          <w:fldChar w:fldCharType="separate"/>
        </w:r>
        <w:r>
          <w:rPr>
            <w:noProof/>
            <w:webHidden/>
          </w:rPr>
          <w:t>17</w:t>
        </w:r>
        <w:r>
          <w:rPr>
            <w:noProof/>
            <w:webHidden/>
          </w:rPr>
          <w:fldChar w:fldCharType="end"/>
        </w:r>
      </w:hyperlink>
    </w:p>
    <w:p w14:paraId="51C0AB62" w14:textId="003A5E8F"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56" w:history="1">
        <w:r w:rsidRPr="00F8237F">
          <w:rPr>
            <w:rStyle w:val="Hipervnculo"/>
            <w:noProof/>
          </w:rPr>
          <w:t>Capítulo 3 — Datos y metodología</w:t>
        </w:r>
        <w:r>
          <w:rPr>
            <w:noProof/>
            <w:webHidden/>
          </w:rPr>
          <w:tab/>
        </w:r>
        <w:r>
          <w:rPr>
            <w:noProof/>
            <w:webHidden/>
          </w:rPr>
          <w:fldChar w:fldCharType="begin"/>
        </w:r>
        <w:r>
          <w:rPr>
            <w:noProof/>
            <w:webHidden/>
          </w:rPr>
          <w:instrText xml:space="preserve"> PAGEREF _Toc231081556 \h </w:instrText>
        </w:r>
        <w:r>
          <w:rPr>
            <w:noProof/>
            <w:webHidden/>
          </w:rPr>
        </w:r>
        <w:r>
          <w:rPr>
            <w:noProof/>
            <w:webHidden/>
          </w:rPr>
          <w:fldChar w:fldCharType="separate"/>
        </w:r>
        <w:r>
          <w:rPr>
            <w:noProof/>
            <w:webHidden/>
          </w:rPr>
          <w:t>19</w:t>
        </w:r>
        <w:r>
          <w:rPr>
            <w:noProof/>
            <w:webHidden/>
          </w:rPr>
          <w:fldChar w:fldCharType="end"/>
        </w:r>
      </w:hyperlink>
    </w:p>
    <w:p w14:paraId="677B9F26" w14:textId="2337E2FA"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57" w:history="1">
        <w:r w:rsidRPr="00F8237F">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_Toc231081557 \h </w:instrText>
        </w:r>
        <w:r>
          <w:rPr>
            <w:noProof/>
            <w:webHidden/>
          </w:rPr>
        </w:r>
        <w:r>
          <w:rPr>
            <w:noProof/>
            <w:webHidden/>
          </w:rPr>
          <w:fldChar w:fldCharType="separate"/>
        </w:r>
        <w:r>
          <w:rPr>
            <w:noProof/>
            <w:webHidden/>
          </w:rPr>
          <w:t>19</w:t>
        </w:r>
        <w:r>
          <w:rPr>
            <w:noProof/>
            <w:webHidden/>
          </w:rPr>
          <w:fldChar w:fldCharType="end"/>
        </w:r>
      </w:hyperlink>
    </w:p>
    <w:p w14:paraId="0C9558C3" w14:textId="3110F707"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58" w:history="1">
        <w:r w:rsidRPr="00F8237F">
          <w:rPr>
            <w:rStyle w:val="Hipervnculo"/>
            <w:noProof/>
          </w:rPr>
          <w:t>3.2 Variable dependiente</w:t>
        </w:r>
        <w:r>
          <w:rPr>
            <w:noProof/>
            <w:webHidden/>
          </w:rPr>
          <w:tab/>
        </w:r>
        <w:r>
          <w:rPr>
            <w:noProof/>
            <w:webHidden/>
          </w:rPr>
          <w:fldChar w:fldCharType="begin"/>
        </w:r>
        <w:r>
          <w:rPr>
            <w:noProof/>
            <w:webHidden/>
          </w:rPr>
          <w:instrText xml:space="preserve"> PAGEREF _Toc231081558 \h </w:instrText>
        </w:r>
        <w:r>
          <w:rPr>
            <w:noProof/>
            <w:webHidden/>
          </w:rPr>
        </w:r>
        <w:r>
          <w:rPr>
            <w:noProof/>
            <w:webHidden/>
          </w:rPr>
          <w:fldChar w:fldCharType="separate"/>
        </w:r>
        <w:r>
          <w:rPr>
            <w:noProof/>
            <w:webHidden/>
          </w:rPr>
          <w:t>20</w:t>
        </w:r>
        <w:r>
          <w:rPr>
            <w:noProof/>
            <w:webHidden/>
          </w:rPr>
          <w:fldChar w:fldCharType="end"/>
        </w:r>
      </w:hyperlink>
    </w:p>
    <w:p w14:paraId="587AF027" w14:textId="79BAFA24"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59" w:history="1">
        <w:r w:rsidRPr="00F8237F">
          <w:rPr>
            <w:rStyle w:val="Hipervnculo"/>
            <w:noProof/>
          </w:rPr>
          <w:t>3.3 Variables explicativas</w:t>
        </w:r>
        <w:r>
          <w:rPr>
            <w:noProof/>
            <w:webHidden/>
          </w:rPr>
          <w:tab/>
        </w:r>
        <w:r>
          <w:rPr>
            <w:noProof/>
            <w:webHidden/>
          </w:rPr>
          <w:fldChar w:fldCharType="begin"/>
        </w:r>
        <w:r>
          <w:rPr>
            <w:noProof/>
            <w:webHidden/>
          </w:rPr>
          <w:instrText xml:space="preserve"> PAGEREF _Toc231081559 \h </w:instrText>
        </w:r>
        <w:r>
          <w:rPr>
            <w:noProof/>
            <w:webHidden/>
          </w:rPr>
        </w:r>
        <w:r>
          <w:rPr>
            <w:noProof/>
            <w:webHidden/>
          </w:rPr>
          <w:fldChar w:fldCharType="separate"/>
        </w:r>
        <w:r>
          <w:rPr>
            <w:noProof/>
            <w:webHidden/>
          </w:rPr>
          <w:t>20</w:t>
        </w:r>
        <w:r>
          <w:rPr>
            <w:noProof/>
            <w:webHidden/>
          </w:rPr>
          <w:fldChar w:fldCharType="end"/>
        </w:r>
      </w:hyperlink>
    </w:p>
    <w:p w14:paraId="7F5BF4A9" w14:textId="5C2BD8B0"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60" w:history="1">
        <w:r w:rsidRPr="00F8237F">
          <w:rPr>
            <w:rStyle w:val="Hipervnculo"/>
            <w:noProof/>
          </w:rPr>
          <w:t>3.4 Tratamiento de datos y frecuencias mixtas</w:t>
        </w:r>
        <w:r>
          <w:rPr>
            <w:noProof/>
            <w:webHidden/>
          </w:rPr>
          <w:tab/>
        </w:r>
        <w:r>
          <w:rPr>
            <w:noProof/>
            <w:webHidden/>
          </w:rPr>
          <w:fldChar w:fldCharType="begin"/>
        </w:r>
        <w:r>
          <w:rPr>
            <w:noProof/>
            <w:webHidden/>
          </w:rPr>
          <w:instrText xml:space="preserve"> PAGEREF _Toc231081560 \h </w:instrText>
        </w:r>
        <w:r>
          <w:rPr>
            <w:noProof/>
            <w:webHidden/>
          </w:rPr>
        </w:r>
        <w:r>
          <w:rPr>
            <w:noProof/>
            <w:webHidden/>
          </w:rPr>
          <w:fldChar w:fldCharType="separate"/>
        </w:r>
        <w:r>
          <w:rPr>
            <w:noProof/>
            <w:webHidden/>
          </w:rPr>
          <w:t>21</w:t>
        </w:r>
        <w:r>
          <w:rPr>
            <w:noProof/>
            <w:webHidden/>
          </w:rPr>
          <w:fldChar w:fldCharType="end"/>
        </w:r>
      </w:hyperlink>
    </w:p>
    <w:p w14:paraId="05C5F833" w14:textId="2F37EED8"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61" w:history="1">
        <w:r w:rsidRPr="00F8237F">
          <w:rPr>
            <w:rStyle w:val="Hipervnculo"/>
            <w:noProof/>
          </w:rPr>
          <w:t>3.5 Datación de las fases del ciclo del cobre</w:t>
        </w:r>
        <w:r>
          <w:rPr>
            <w:noProof/>
            <w:webHidden/>
          </w:rPr>
          <w:tab/>
        </w:r>
        <w:r>
          <w:rPr>
            <w:noProof/>
            <w:webHidden/>
          </w:rPr>
          <w:fldChar w:fldCharType="begin"/>
        </w:r>
        <w:r>
          <w:rPr>
            <w:noProof/>
            <w:webHidden/>
          </w:rPr>
          <w:instrText xml:space="preserve"> PAGEREF _Toc231081561 \h </w:instrText>
        </w:r>
        <w:r>
          <w:rPr>
            <w:noProof/>
            <w:webHidden/>
          </w:rPr>
        </w:r>
        <w:r>
          <w:rPr>
            <w:noProof/>
            <w:webHidden/>
          </w:rPr>
          <w:fldChar w:fldCharType="separate"/>
        </w:r>
        <w:r>
          <w:rPr>
            <w:noProof/>
            <w:webHidden/>
          </w:rPr>
          <w:t>21</w:t>
        </w:r>
        <w:r>
          <w:rPr>
            <w:noProof/>
            <w:webHidden/>
          </w:rPr>
          <w:fldChar w:fldCharType="end"/>
        </w:r>
      </w:hyperlink>
    </w:p>
    <w:p w14:paraId="16CF794C" w14:textId="08B13F72"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62" w:history="1">
        <w:r w:rsidRPr="00F8237F">
          <w:rPr>
            <w:rStyle w:val="Hipervnculo"/>
            <w:noProof/>
          </w:rPr>
          <w:t>3.6 Estrategia econométrica</w:t>
        </w:r>
        <w:r>
          <w:rPr>
            <w:noProof/>
            <w:webHidden/>
          </w:rPr>
          <w:tab/>
        </w:r>
        <w:r>
          <w:rPr>
            <w:noProof/>
            <w:webHidden/>
          </w:rPr>
          <w:fldChar w:fldCharType="begin"/>
        </w:r>
        <w:r>
          <w:rPr>
            <w:noProof/>
            <w:webHidden/>
          </w:rPr>
          <w:instrText xml:space="preserve"> PAGEREF _Toc231081562 \h </w:instrText>
        </w:r>
        <w:r>
          <w:rPr>
            <w:noProof/>
            <w:webHidden/>
          </w:rPr>
        </w:r>
        <w:r>
          <w:rPr>
            <w:noProof/>
            <w:webHidden/>
          </w:rPr>
          <w:fldChar w:fldCharType="separate"/>
        </w:r>
        <w:r>
          <w:rPr>
            <w:noProof/>
            <w:webHidden/>
          </w:rPr>
          <w:t>22</w:t>
        </w:r>
        <w:r>
          <w:rPr>
            <w:noProof/>
            <w:webHidden/>
          </w:rPr>
          <w:fldChar w:fldCharType="end"/>
        </w:r>
      </w:hyperlink>
    </w:p>
    <w:p w14:paraId="306D1800" w14:textId="0D69DB93"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63" w:history="1">
        <w:r w:rsidRPr="00F8237F">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_Toc231081563 \h </w:instrText>
        </w:r>
        <w:r>
          <w:rPr>
            <w:noProof/>
            <w:webHidden/>
          </w:rPr>
        </w:r>
        <w:r>
          <w:rPr>
            <w:noProof/>
            <w:webHidden/>
          </w:rPr>
          <w:fldChar w:fldCharType="separate"/>
        </w:r>
        <w:r>
          <w:rPr>
            <w:noProof/>
            <w:webHidden/>
          </w:rPr>
          <w:t>22</w:t>
        </w:r>
        <w:r>
          <w:rPr>
            <w:noProof/>
            <w:webHidden/>
          </w:rPr>
          <w:fldChar w:fldCharType="end"/>
        </w:r>
      </w:hyperlink>
    </w:p>
    <w:p w14:paraId="643E8519" w14:textId="0F9735F0"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64" w:history="1">
        <w:r w:rsidRPr="00F8237F">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_Toc231081564 \h </w:instrText>
        </w:r>
        <w:r>
          <w:rPr>
            <w:noProof/>
            <w:webHidden/>
          </w:rPr>
        </w:r>
        <w:r>
          <w:rPr>
            <w:noProof/>
            <w:webHidden/>
          </w:rPr>
          <w:fldChar w:fldCharType="separate"/>
        </w:r>
        <w:r>
          <w:rPr>
            <w:noProof/>
            <w:webHidden/>
          </w:rPr>
          <w:t>22</w:t>
        </w:r>
        <w:r>
          <w:rPr>
            <w:noProof/>
            <w:webHidden/>
          </w:rPr>
          <w:fldChar w:fldCharType="end"/>
        </w:r>
      </w:hyperlink>
    </w:p>
    <w:p w14:paraId="4D850CC3" w14:textId="77661E44"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65" w:history="1">
        <w:r w:rsidRPr="00F8237F">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_Toc231081565 \h </w:instrText>
        </w:r>
        <w:r>
          <w:rPr>
            <w:noProof/>
            <w:webHidden/>
          </w:rPr>
        </w:r>
        <w:r>
          <w:rPr>
            <w:noProof/>
            <w:webHidden/>
          </w:rPr>
          <w:fldChar w:fldCharType="separate"/>
        </w:r>
        <w:r>
          <w:rPr>
            <w:noProof/>
            <w:webHidden/>
          </w:rPr>
          <w:t>22</w:t>
        </w:r>
        <w:r>
          <w:rPr>
            <w:noProof/>
            <w:webHidden/>
          </w:rPr>
          <w:fldChar w:fldCharType="end"/>
        </w:r>
      </w:hyperlink>
    </w:p>
    <w:p w14:paraId="04477846" w14:textId="14663E3F"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66" w:history="1">
        <w:r w:rsidRPr="00F8237F">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_Toc231081566 \h </w:instrText>
        </w:r>
        <w:r>
          <w:rPr>
            <w:noProof/>
            <w:webHidden/>
          </w:rPr>
        </w:r>
        <w:r>
          <w:rPr>
            <w:noProof/>
            <w:webHidden/>
          </w:rPr>
          <w:fldChar w:fldCharType="separate"/>
        </w:r>
        <w:r>
          <w:rPr>
            <w:noProof/>
            <w:webHidden/>
          </w:rPr>
          <w:t>23</w:t>
        </w:r>
        <w:r>
          <w:rPr>
            <w:noProof/>
            <w:webHidden/>
          </w:rPr>
          <w:fldChar w:fldCharType="end"/>
        </w:r>
      </w:hyperlink>
    </w:p>
    <w:p w14:paraId="44DDCA54" w14:textId="4BD4DF4C"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67" w:history="1">
        <w:r w:rsidRPr="00F8237F">
          <w:rPr>
            <w:rStyle w:val="Hipervnculo"/>
            <w:noProof/>
          </w:rPr>
          <w:t>3.6.5 Estabilidad por fases del ciclo (OE5)</w:t>
        </w:r>
        <w:r>
          <w:rPr>
            <w:noProof/>
            <w:webHidden/>
          </w:rPr>
          <w:tab/>
        </w:r>
        <w:r>
          <w:rPr>
            <w:noProof/>
            <w:webHidden/>
          </w:rPr>
          <w:fldChar w:fldCharType="begin"/>
        </w:r>
        <w:r>
          <w:rPr>
            <w:noProof/>
            <w:webHidden/>
          </w:rPr>
          <w:instrText xml:space="preserve"> PAGEREF _Toc231081567 \h </w:instrText>
        </w:r>
        <w:r>
          <w:rPr>
            <w:noProof/>
            <w:webHidden/>
          </w:rPr>
        </w:r>
        <w:r>
          <w:rPr>
            <w:noProof/>
            <w:webHidden/>
          </w:rPr>
          <w:fldChar w:fldCharType="separate"/>
        </w:r>
        <w:r>
          <w:rPr>
            <w:noProof/>
            <w:webHidden/>
          </w:rPr>
          <w:t>24</w:t>
        </w:r>
        <w:r>
          <w:rPr>
            <w:noProof/>
            <w:webHidden/>
          </w:rPr>
          <w:fldChar w:fldCharType="end"/>
        </w:r>
      </w:hyperlink>
    </w:p>
    <w:p w14:paraId="0BA7DB80" w14:textId="039EA30E"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68" w:history="1">
        <w:r w:rsidRPr="00F8237F">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_Toc231081568 \h </w:instrText>
        </w:r>
        <w:r>
          <w:rPr>
            <w:noProof/>
            <w:webHidden/>
          </w:rPr>
        </w:r>
        <w:r>
          <w:rPr>
            <w:noProof/>
            <w:webHidden/>
          </w:rPr>
          <w:fldChar w:fldCharType="separate"/>
        </w:r>
        <w:r>
          <w:rPr>
            <w:noProof/>
            <w:webHidden/>
          </w:rPr>
          <w:t>24</w:t>
        </w:r>
        <w:r>
          <w:rPr>
            <w:noProof/>
            <w:webHidden/>
          </w:rPr>
          <w:fldChar w:fldCharType="end"/>
        </w:r>
      </w:hyperlink>
    </w:p>
    <w:p w14:paraId="419C6EF4" w14:textId="1221E458"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69" w:history="1">
        <w:r w:rsidRPr="00F8237F">
          <w:rPr>
            <w:rStyle w:val="Hipervnculo"/>
            <w:noProof/>
          </w:rPr>
          <w:t>3.7 Validación de supuestos y robustez</w:t>
        </w:r>
        <w:r>
          <w:rPr>
            <w:noProof/>
            <w:webHidden/>
          </w:rPr>
          <w:tab/>
        </w:r>
        <w:r>
          <w:rPr>
            <w:noProof/>
            <w:webHidden/>
          </w:rPr>
          <w:fldChar w:fldCharType="begin"/>
        </w:r>
        <w:r>
          <w:rPr>
            <w:noProof/>
            <w:webHidden/>
          </w:rPr>
          <w:instrText xml:space="preserve"> PAGEREF _Toc231081569 \h </w:instrText>
        </w:r>
        <w:r>
          <w:rPr>
            <w:noProof/>
            <w:webHidden/>
          </w:rPr>
        </w:r>
        <w:r>
          <w:rPr>
            <w:noProof/>
            <w:webHidden/>
          </w:rPr>
          <w:fldChar w:fldCharType="separate"/>
        </w:r>
        <w:r>
          <w:rPr>
            <w:noProof/>
            <w:webHidden/>
          </w:rPr>
          <w:t>25</w:t>
        </w:r>
        <w:r>
          <w:rPr>
            <w:noProof/>
            <w:webHidden/>
          </w:rPr>
          <w:fldChar w:fldCharType="end"/>
        </w:r>
      </w:hyperlink>
    </w:p>
    <w:p w14:paraId="29595BFC" w14:textId="13C142D1"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70" w:history="1">
        <w:r w:rsidRPr="00F8237F">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_Toc231081570 \h </w:instrText>
        </w:r>
        <w:r>
          <w:rPr>
            <w:noProof/>
            <w:webHidden/>
          </w:rPr>
        </w:r>
        <w:r>
          <w:rPr>
            <w:noProof/>
            <w:webHidden/>
          </w:rPr>
          <w:fldChar w:fldCharType="separate"/>
        </w:r>
        <w:r>
          <w:rPr>
            <w:noProof/>
            <w:webHidden/>
          </w:rPr>
          <w:t>26</w:t>
        </w:r>
        <w:r>
          <w:rPr>
            <w:noProof/>
            <w:webHidden/>
          </w:rPr>
          <w:fldChar w:fldCharType="end"/>
        </w:r>
      </w:hyperlink>
    </w:p>
    <w:p w14:paraId="642AA81D" w14:textId="7C7803F5"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71" w:history="1">
        <w:r w:rsidRPr="00F8237F">
          <w:rPr>
            <w:rStyle w:val="Hipervnculo"/>
            <w:noProof/>
          </w:rPr>
          <w:t>Capítulo 4 — Resultados y discusión</w:t>
        </w:r>
        <w:r>
          <w:rPr>
            <w:noProof/>
            <w:webHidden/>
          </w:rPr>
          <w:tab/>
        </w:r>
        <w:r>
          <w:rPr>
            <w:noProof/>
            <w:webHidden/>
          </w:rPr>
          <w:fldChar w:fldCharType="begin"/>
        </w:r>
        <w:r>
          <w:rPr>
            <w:noProof/>
            <w:webHidden/>
          </w:rPr>
          <w:instrText xml:space="preserve"> PAGEREF _Toc231081571 \h </w:instrText>
        </w:r>
        <w:r>
          <w:rPr>
            <w:noProof/>
            <w:webHidden/>
          </w:rPr>
        </w:r>
        <w:r>
          <w:rPr>
            <w:noProof/>
            <w:webHidden/>
          </w:rPr>
          <w:fldChar w:fldCharType="separate"/>
        </w:r>
        <w:r>
          <w:rPr>
            <w:noProof/>
            <w:webHidden/>
          </w:rPr>
          <w:t>27</w:t>
        </w:r>
        <w:r>
          <w:rPr>
            <w:noProof/>
            <w:webHidden/>
          </w:rPr>
          <w:fldChar w:fldCharType="end"/>
        </w:r>
      </w:hyperlink>
    </w:p>
    <w:p w14:paraId="53804B02" w14:textId="0CD95E2A"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72" w:history="1">
        <w:r w:rsidRPr="00F8237F">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_Toc231081572 \h </w:instrText>
        </w:r>
        <w:r>
          <w:rPr>
            <w:noProof/>
            <w:webHidden/>
          </w:rPr>
        </w:r>
        <w:r>
          <w:rPr>
            <w:noProof/>
            <w:webHidden/>
          </w:rPr>
          <w:fldChar w:fldCharType="separate"/>
        </w:r>
        <w:r>
          <w:rPr>
            <w:noProof/>
            <w:webHidden/>
          </w:rPr>
          <w:t>27</w:t>
        </w:r>
        <w:r>
          <w:rPr>
            <w:noProof/>
            <w:webHidden/>
          </w:rPr>
          <w:fldChar w:fldCharType="end"/>
        </w:r>
      </w:hyperlink>
    </w:p>
    <w:p w14:paraId="7BCA69D5" w14:textId="4C730B4A"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73" w:history="1">
        <w:r w:rsidRPr="00F8237F">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_Toc231081573 \h </w:instrText>
        </w:r>
        <w:r>
          <w:rPr>
            <w:noProof/>
            <w:webHidden/>
          </w:rPr>
        </w:r>
        <w:r>
          <w:rPr>
            <w:noProof/>
            <w:webHidden/>
          </w:rPr>
          <w:fldChar w:fldCharType="separate"/>
        </w:r>
        <w:r>
          <w:rPr>
            <w:noProof/>
            <w:webHidden/>
          </w:rPr>
          <w:t>28</w:t>
        </w:r>
        <w:r>
          <w:rPr>
            <w:noProof/>
            <w:webHidden/>
          </w:rPr>
          <w:fldChar w:fldCharType="end"/>
        </w:r>
      </w:hyperlink>
    </w:p>
    <w:p w14:paraId="1F4B15FA" w14:textId="3DF77D09"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74" w:history="1">
        <w:r w:rsidRPr="00F8237F">
          <w:rPr>
            <w:rStyle w:val="Hipervnculo"/>
            <w:noProof/>
          </w:rPr>
          <w:t>4.3 Relaciones de largo plazo (OE3)</w:t>
        </w:r>
        <w:r>
          <w:rPr>
            <w:noProof/>
            <w:webHidden/>
          </w:rPr>
          <w:tab/>
        </w:r>
        <w:r>
          <w:rPr>
            <w:noProof/>
            <w:webHidden/>
          </w:rPr>
          <w:fldChar w:fldCharType="begin"/>
        </w:r>
        <w:r>
          <w:rPr>
            <w:noProof/>
            <w:webHidden/>
          </w:rPr>
          <w:instrText xml:space="preserve"> PAGEREF _Toc231081574 \h </w:instrText>
        </w:r>
        <w:r>
          <w:rPr>
            <w:noProof/>
            <w:webHidden/>
          </w:rPr>
        </w:r>
        <w:r>
          <w:rPr>
            <w:noProof/>
            <w:webHidden/>
          </w:rPr>
          <w:fldChar w:fldCharType="separate"/>
        </w:r>
        <w:r>
          <w:rPr>
            <w:noProof/>
            <w:webHidden/>
          </w:rPr>
          <w:t>29</w:t>
        </w:r>
        <w:r>
          <w:rPr>
            <w:noProof/>
            <w:webHidden/>
          </w:rPr>
          <w:fldChar w:fldCharType="end"/>
        </w:r>
      </w:hyperlink>
    </w:p>
    <w:p w14:paraId="1E96EC91" w14:textId="19365C57"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75" w:history="1">
        <w:r w:rsidRPr="00F8237F">
          <w:rPr>
            <w:rStyle w:val="Hipervnculo"/>
            <w:noProof/>
          </w:rPr>
          <w:t>4.4 Dinámica de shocks (OE4)</w:t>
        </w:r>
        <w:r>
          <w:rPr>
            <w:noProof/>
            <w:webHidden/>
          </w:rPr>
          <w:tab/>
        </w:r>
        <w:r>
          <w:rPr>
            <w:noProof/>
            <w:webHidden/>
          </w:rPr>
          <w:fldChar w:fldCharType="begin"/>
        </w:r>
        <w:r>
          <w:rPr>
            <w:noProof/>
            <w:webHidden/>
          </w:rPr>
          <w:instrText xml:space="preserve"> PAGEREF _Toc231081575 \h </w:instrText>
        </w:r>
        <w:r>
          <w:rPr>
            <w:noProof/>
            <w:webHidden/>
          </w:rPr>
        </w:r>
        <w:r>
          <w:rPr>
            <w:noProof/>
            <w:webHidden/>
          </w:rPr>
          <w:fldChar w:fldCharType="separate"/>
        </w:r>
        <w:r>
          <w:rPr>
            <w:noProof/>
            <w:webHidden/>
          </w:rPr>
          <w:t>31</w:t>
        </w:r>
        <w:r>
          <w:rPr>
            <w:noProof/>
            <w:webHidden/>
          </w:rPr>
          <w:fldChar w:fldCharType="end"/>
        </w:r>
      </w:hyperlink>
    </w:p>
    <w:p w14:paraId="1EFE3ADD" w14:textId="11DB99C1"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76" w:history="1">
        <w:r w:rsidRPr="00F8237F">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_Toc231081576 \h </w:instrText>
        </w:r>
        <w:r>
          <w:rPr>
            <w:noProof/>
            <w:webHidden/>
          </w:rPr>
        </w:r>
        <w:r>
          <w:rPr>
            <w:noProof/>
            <w:webHidden/>
          </w:rPr>
          <w:fldChar w:fldCharType="separate"/>
        </w:r>
        <w:r>
          <w:rPr>
            <w:noProof/>
            <w:webHidden/>
          </w:rPr>
          <w:t>33</w:t>
        </w:r>
        <w:r>
          <w:rPr>
            <w:noProof/>
            <w:webHidden/>
          </w:rPr>
          <w:fldChar w:fldCharType="end"/>
        </w:r>
      </w:hyperlink>
    </w:p>
    <w:p w14:paraId="1A24EF01" w14:textId="6ACA5142"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77" w:history="1">
        <w:r w:rsidRPr="00F8237F">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_Toc231081577 \h </w:instrText>
        </w:r>
        <w:r>
          <w:rPr>
            <w:noProof/>
            <w:webHidden/>
          </w:rPr>
        </w:r>
        <w:r>
          <w:rPr>
            <w:noProof/>
            <w:webHidden/>
          </w:rPr>
          <w:fldChar w:fldCharType="separate"/>
        </w:r>
        <w:r>
          <w:rPr>
            <w:noProof/>
            <w:webHidden/>
          </w:rPr>
          <w:t>34</w:t>
        </w:r>
        <w:r>
          <w:rPr>
            <w:noProof/>
            <w:webHidden/>
          </w:rPr>
          <w:fldChar w:fldCharType="end"/>
        </w:r>
      </w:hyperlink>
    </w:p>
    <w:p w14:paraId="15F1AE1E" w14:textId="1BA0D0D0"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78" w:history="1">
        <w:r w:rsidRPr="00F8237F">
          <w:rPr>
            <w:rStyle w:val="Hipervnculo"/>
            <w:noProof/>
          </w:rPr>
          <w:t>4.7 Diagnósticos y robustez</w:t>
        </w:r>
        <w:r>
          <w:rPr>
            <w:noProof/>
            <w:webHidden/>
          </w:rPr>
          <w:tab/>
        </w:r>
        <w:r>
          <w:rPr>
            <w:noProof/>
            <w:webHidden/>
          </w:rPr>
          <w:fldChar w:fldCharType="begin"/>
        </w:r>
        <w:r>
          <w:rPr>
            <w:noProof/>
            <w:webHidden/>
          </w:rPr>
          <w:instrText xml:space="preserve"> PAGEREF _Toc231081578 \h </w:instrText>
        </w:r>
        <w:r>
          <w:rPr>
            <w:noProof/>
            <w:webHidden/>
          </w:rPr>
        </w:r>
        <w:r>
          <w:rPr>
            <w:noProof/>
            <w:webHidden/>
          </w:rPr>
          <w:fldChar w:fldCharType="separate"/>
        </w:r>
        <w:r>
          <w:rPr>
            <w:noProof/>
            <w:webHidden/>
          </w:rPr>
          <w:t>35</w:t>
        </w:r>
        <w:r>
          <w:rPr>
            <w:noProof/>
            <w:webHidden/>
          </w:rPr>
          <w:fldChar w:fldCharType="end"/>
        </w:r>
      </w:hyperlink>
    </w:p>
    <w:p w14:paraId="73B16393" w14:textId="1FF65ECE"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79" w:history="1">
        <w:r w:rsidRPr="00F8237F">
          <w:rPr>
            <w:rStyle w:val="Hipervnculo"/>
            <w:noProof/>
          </w:rPr>
          <w:t>4.8 Discusión integrada</w:t>
        </w:r>
        <w:r>
          <w:rPr>
            <w:noProof/>
            <w:webHidden/>
          </w:rPr>
          <w:tab/>
        </w:r>
        <w:r>
          <w:rPr>
            <w:noProof/>
            <w:webHidden/>
          </w:rPr>
          <w:fldChar w:fldCharType="begin"/>
        </w:r>
        <w:r>
          <w:rPr>
            <w:noProof/>
            <w:webHidden/>
          </w:rPr>
          <w:instrText xml:space="preserve"> PAGEREF _Toc231081579 \h </w:instrText>
        </w:r>
        <w:r>
          <w:rPr>
            <w:noProof/>
            <w:webHidden/>
          </w:rPr>
        </w:r>
        <w:r>
          <w:rPr>
            <w:noProof/>
            <w:webHidden/>
          </w:rPr>
          <w:fldChar w:fldCharType="separate"/>
        </w:r>
        <w:r>
          <w:rPr>
            <w:noProof/>
            <w:webHidden/>
          </w:rPr>
          <w:t>38</w:t>
        </w:r>
        <w:r>
          <w:rPr>
            <w:noProof/>
            <w:webHidden/>
          </w:rPr>
          <w:fldChar w:fldCharType="end"/>
        </w:r>
      </w:hyperlink>
    </w:p>
    <w:p w14:paraId="774604D2" w14:textId="797A23F4"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80" w:history="1">
        <w:r w:rsidRPr="00F8237F">
          <w:rPr>
            <w:rStyle w:val="Hipervnculo"/>
            <w:noProof/>
          </w:rPr>
          <w:t>Capítulo 5 — Conclusiones</w:t>
        </w:r>
        <w:r>
          <w:rPr>
            <w:noProof/>
            <w:webHidden/>
          </w:rPr>
          <w:tab/>
        </w:r>
        <w:r>
          <w:rPr>
            <w:noProof/>
            <w:webHidden/>
          </w:rPr>
          <w:fldChar w:fldCharType="begin"/>
        </w:r>
        <w:r>
          <w:rPr>
            <w:noProof/>
            <w:webHidden/>
          </w:rPr>
          <w:instrText xml:space="preserve"> PAGEREF _Toc231081580 \h </w:instrText>
        </w:r>
        <w:r>
          <w:rPr>
            <w:noProof/>
            <w:webHidden/>
          </w:rPr>
        </w:r>
        <w:r>
          <w:rPr>
            <w:noProof/>
            <w:webHidden/>
          </w:rPr>
          <w:fldChar w:fldCharType="separate"/>
        </w:r>
        <w:r>
          <w:rPr>
            <w:noProof/>
            <w:webHidden/>
          </w:rPr>
          <w:t>40</w:t>
        </w:r>
        <w:r>
          <w:rPr>
            <w:noProof/>
            <w:webHidden/>
          </w:rPr>
          <w:fldChar w:fldCharType="end"/>
        </w:r>
      </w:hyperlink>
    </w:p>
    <w:p w14:paraId="5433E765" w14:textId="1384799D"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81" w:history="1">
        <w:r w:rsidRPr="00F8237F">
          <w:rPr>
            <w:rStyle w:val="Hipervnculo"/>
            <w:noProof/>
          </w:rPr>
          <w:t>5.1 Síntesis de los hallazgos</w:t>
        </w:r>
        <w:r>
          <w:rPr>
            <w:noProof/>
            <w:webHidden/>
          </w:rPr>
          <w:tab/>
        </w:r>
        <w:r>
          <w:rPr>
            <w:noProof/>
            <w:webHidden/>
          </w:rPr>
          <w:fldChar w:fldCharType="begin"/>
        </w:r>
        <w:r>
          <w:rPr>
            <w:noProof/>
            <w:webHidden/>
          </w:rPr>
          <w:instrText xml:space="preserve"> PAGEREF _Toc231081581 \h </w:instrText>
        </w:r>
        <w:r>
          <w:rPr>
            <w:noProof/>
            <w:webHidden/>
          </w:rPr>
        </w:r>
        <w:r>
          <w:rPr>
            <w:noProof/>
            <w:webHidden/>
          </w:rPr>
          <w:fldChar w:fldCharType="separate"/>
        </w:r>
        <w:r>
          <w:rPr>
            <w:noProof/>
            <w:webHidden/>
          </w:rPr>
          <w:t>40</w:t>
        </w:r>
        <w:r>
          <w:rPr>
            <w:noProof/>
            <w:webHidden/>
          </w:rPr>
          <w:fldChar w:fldCharType="end"/>
        </w:r>
      </w:hyperlink>
    </w:p>
    <w:p w14:paraId="6640F850" w14:textId="41BDEA1D"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82" w:history="1">
        <w:r w:rsidRPr="00F8237F">
          <w:rPr>
            <w:rStyle w:val="Hipervnculo"/>
            <w:noProof/>
          </w:rPr>
          <w:t>5.2 Implicancias</w:t>
        </w:r>
        <w:r>
          <w:rPr>
            <w:noProof/>
            <w:webHidden/>
          </w:rPr>
          <w:tab/>
        </w:r>
        <w:r>
          <w:rPr>
            <w:noProof/>
            <w:webHidden/>
          </w:rPr>
          <w:fldChar w:fldCharType="begin"/>
        </w:r>
        <w:r>
          <w:rPr>
            <w:noProof/>
            <w:webHidden/>
          </w:rPr>
          <w:instrText xml:space="preserve"> PAGEREF _Toc231081582 \h </w:instrText>
        </w:r>
        <w:r>
          <w:rPr>
            <w:noProof/>
            <w:webHidden/>
          </w:rPr>
        </w:r>
        <w:r>
          <w:rPr>
            <w:noProof/>
            <w:webHidden/>
          </w:rPr>
          <w:fldChar w:fldCharType="separate"/>
        </w:r>
        <w:r>
          <w:rPr>
            <w:noProof/>
            <w:webHidden/>
          </w:rPr>
          <w:t>41</w:t>
        </w:r>
        <w:r>
          <w:rPr>
            <w:noProof/>
            <w:webHidden/>
          </w:rPr>
          <w:fldChar w:fldCharType="end"/>
        </w:r>
      </w:hyperlink>
    </w:p>
    <w:p w14:paraId="6583011B" w14:textId="1E709913"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83" w:history="1">
        <w:r w:rsidRPr="00F8237F">
          <w:rPr>
            <w:rStyle w:val="Hipervnculo"/>
            <w:noProof/>
          </w:rPr>
          <w:t>5.3 Limitaciones</w:t>
        </w:r>
        <w:r>
          <w:rPr>
            <w:noProof/>
            <w:webHidden/>
          </w:rPr>
          <w:tab/>
        </w:r>
        <w:r>
          <w:rPr>
            <w:noProof/>
            <w:webHidden/>
          </w:rPr>
          <w:fldChar w:fldCharType="begin"/>
        </w:r>
        <w:r>
          <w:rPr>
            <w:noProof/>
            <w:webHidden/>
          </w:rPr>
          <w:instrText xml:space="preserve"> PAGEREF _Toc231081583 \h </w:instrText>
        </w:r>
        <w:r>
          <w:rPr>
            <w:noProof/>
            <w:webHidden/>
          </w:rPr>
        </w:r>
        <w:r>
          <w:rPr>
            <w:noProof/>
            <w:webHidden/>
          </w:rPr>
          <w:fldChar w:fldCharType="separate"/>
        </w:r>
        <w:r>
          <w:rPr>
            <w:noProof/>
            <w:webHidden/>
          </w:rPr>
          <w:t>41</w:t>
        </w:r>
        <w:r>
          <w:rPr>
            <w:noProof/>
            <w:webHidden/>
          </w:rPr>
          <w:fldChar w:fldCharType="end"/>
        </w:r>
      </w:hyperlink>
    </w:p>
    <w:p w14:paraId="6DCE6629" w14:textId="76A61224"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84" w:history="1">
        <w:r w:rsidRPr="00F8237F">
          <w:rPr>
            <w:rStyle w:val="Hipervnculo"/>
            <w:noProof/>
          </w:rPr>
          <w:t>5.4 Líneas futuras de investigación</w:t>
        </w:r>
        <w:r>
          <w:rPr>
            <w:noProof/>
            <w:webHidden/>
          </w:rPr>
          <w:tab/>
        </w:r>
        <w:r>
          <w:rPr>
            <w:noProof/>
            <w:webHidden/>
          </w:rPr>
          <w:fldChar w:fldCharType="begin"/>
        </w:r>
        <w:r>
          <w:rPr>
            <w:noProof/>
            <w:webHidden/>
          </w:rPr>
          <w:instrText xml:space="preserve"> PAGEREF _Toc231081584 \h </w:instrText>
        </w:r>
        <w:r>
          <w:rPr>
            <w:noProof/>
            <w:webHidden/>
          </w:rPr>
        </w:r>
        <w:r>
          <w:rPr>
            <w:noProof/>
            <w:webHidden/>
          </w:rPr>
          <w:fldChar w:fldCharType="separate"/>
        </w:r>
        <w:r>
          <w:rPr>
            <w:noProof/>
            <w:webHidden/>
          </w:rPr>
          <w:t>41</w:t>
        </w:r>
        <w:r>
          <w:rPr>
            <w:noProof/>
            <w:webHidden/>
          </w:rPr>
          <w:fldChar w:fldCharType="end"/>
        </w:r>
      </w:hyperlink>
    </w:p>
    <w:p w14:paraId="22322EAE" w14:textId="06C42094"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85" w:history="1">
        <w:r w:rsidRPr="00F8237F">
          <w:rPr>
            <w:rStyle w:val="Hipervnculo"/>
            <w:noProof/>
          </w:rPr>
          <w:t>Referencias</w:t>
        </w:r>
        <w:r>
          <w:rPr>
            <w:noProof/>
            <w:webHidden/>
          </w:rPr>
          <w:tab/>
        </w:r>
        <w:r>
          <w:rPr>
            <w:noProof/>
            <w:webHidden/>
          </w:rPr>
          <w:fldChar w:fldCharType="begin"/>
        </w:r>
        <w:r>
          <w:rPr>
            <w:noProof/>
            <w:webHidden/>
          </w:rPr>
          <w:instrText xml:space="preserve"> PAGEREF _Toc231081585 \h </w:instrText>
        </w:r>
        <w:r>
          <w:rPr>
            <w:noProof/>
            <w:webHidden/>
          </w:rPr>
        </w:r>
        <w:r>
          <w:rPr>
            <w:noProof/>
            <w:webHidden/>
          </w:rPr>
          <w:fldChar w:fldCharType="separate"/>
        </w:r>
        <w:r>
          <w:rPr>
            <w:noProof/>
            <w:webHidden/>
          </w:rPr>
          <w:t>43</w:t>
        </w:r>
        <w:r>
          <w:rPr>
            <w:noProof/>
            <w:webHidden/>
          </w:rPr>
          <w:fldChar w:fldCharType="end"/>
        </w:r>
      </w:hyperlink>
    </w:p>
    <w:p w14:paraId="7A357F62" w14:textId="0F8E6D18"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86" w:history="1">
        <w:r w:rsidRPr="00F8237F">
          <w:rPr>
            <w:rStyle w:val="Hipervnculo"/>
            <w:noProof/>
          </w:rPr>
          <w:t>Anexos</w:t>
        </w:r>
        <w:r>
          <w:rPr>
            <w:noProof/>
            <w:webHidden/>
          </w:rPr>
          <w:tab/>
        </w:r>
        <w:r>
          <w:rPr>
            <w:noProof/>
            <w:webHidden/>
          </w:rPr>
          <w:fldChar w:fldCharType="begin"/>
        </w:r>
        <w:r>
          <w:rPr>
            <w:noProof/>
            <w:webHidden/>
          </w:rPr>
          <w:instrText xml:space="preserve"> PAGEREF _Toc231081586 \h </w:instrText>
        </w:r>
        <w:r>
          <w:rPr>
            <w:noProof/>
            <w:webHidden/>
          </w:rPr>
        </w:r>
        <w:r>
          <w:rPr>
            <w:noProof/>
            <w:webHidden/>
          </w:rPr>
          <w:fldChar w:fldCharType="separate"/>
        </w:r>
        <w:r>
          <w:rPr>
            <w:noProof/>
            <w:webHidden/>
          </w:rPr>
          <w:t>47</w:t>
        </w:r>
        <w:r>
          <w:rPr>
            <w:noProof/>
            <w:webHidden/>
          </w:rPr>
          <w:fldChar w:fldCharType="end"/>
        </w:r>
      </w:hyperlink>
    </w:p>
    <w:p w14:paraId="7164B8F3" w14:textId="6A75A8BF"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87" w:history="1">
        <w:r w:rsidRPr="00F8237F">
          <w:rPr>
            <w:rStyle w:val="Hipervnculo"/>
            <w:noProof/>
          </w:rPr>
          <w:t>Anexo A. Estadística descriptiva</w:t>
        </w:r>
        <w:r>
          <w:rPr>
            <w:noProof/>
            <w:webHidden/>
          </w:rPr>
          <w:tab/>
        </w:r>
        <w:r>
          <w:rPr>
            <w:noProof/>
            <w:webHidden/>
          </w:rPr>
          <w:fldChar w:fldCharType="begin"/>
        </w:r>
        <w:r>
          <w:rPr>
            <w:noProof/>
            <w:webHidden/>
          </w:rPr>
          <w:instrText xml:space="preserve"> PAGEREF _Toc231081587 \h </w:instrText>
        </w:r>
        <w:r>
          <w:rPr>
            <w:noProof/>
            <w:webHidden/>
          </w:rPr>
        </w:r>
        <w:r>
          <w:rPr>
            <w:noProof/>
            <w:webHidden/>
          </w:rPr>
          <w:fldChar w:fldCharType="separate"/>
        </w:r>
        <w:r>
          <w:rPr>
            <w:noProof/>
            <w:webHidden/>
          </w:rPr>
          <w:t>47</w:t>
        </w:r>
        <w:r>
          <w:rPr>
            <w:noProof/>
            <w:webHidden/>
          </w:rPr>
          <w:fldChar w:fldCharType="end"/>
        </w:r>
      </w:hyperlink>
    </w:p>
    <w:p w14:paraId="40184746" w14:textId="4EF0246E"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88" w:history="1">
        <w:r w:rsidRPr="00F8237F">
          <w:rPr>
            <w:rStyle w:val="Hipervnculo"/>
            <w:noProof/>
          </w:rPr>
          <w:t>Anexo B. Matriz de correlación de los factores</w:t>
        </w:r>
        <w:r>
          <w:rPr>
            <w:noProof/>
            <w:webHidden/>
          </w:rPr>
          <w:tab/>
        </w:r>
        <w:r>
          <w:rPr>
            <w:noProof/>
            <w:webHidden/>
          </w:rPr>
          <w:fldChar w:fldCharType="begin"/>
        </w:r>
        <w:r>
          <w:rPr>
            <w:noProof/>
            <w:webHidden/>
          </w:rPr>
          <w:instrText xml:space="preserve"> PAGEREF _Toc231081588 \h </w:instrText>
        </w:r>
        <w:r>
          <w:rPr>
            <w:noProof/>
            <w:webHidden/>
          </w:rPr>
        </w:r>
        <w:r>
          <w:rPr>
            <w:noProof/>
            <w:webHidden/>
          </w:rPr>
          <w:fldChar w:fldCharType="separate"/>
        </w:r>
        <w:r>
          <w:rPr>
            <w:noProof/>
            <w:webHidden/>
          </w:rPr>
          <w:t>47</w:t>
        </w:r>
        <w:r>
          <w:rPr>
            <w:noProof/>
            <w:webHidden/>
          </w:rPr>
          <w:fldChar w:fldCharType="end"/>
        </w:r>
      </w:hyperlink>
    </w:p>
    <w:p w14:paraId="7E733226" w14:textId="7E6CAFAC"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89" w:history="1">
        <w:r w:rsidRPr="00F8237F">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_Toc231081589 \h </w:instrText>
        </w:r>
        <w:r>
          <w:rPr>
            <w:noProof/>
            <w:webHidden/>
          </w:rPr>
        </w:r>
        <w:r>
          <w:rPr>
            <w:noProof/>
            <w:webHidden/>
          </w:rPr>
          <w:fldChar w:fldCharType="separate"/>
        </w:r>
        <w:r>
          <w:rPr>
            <w:noProof/>
            <w:webHidden/>
          </w:rPr>
          <w:t>48</w:t>
        </w:r>
        <w:r>
          <w:rPr>
            <w:noProof/>
            <w:webHidden/>
          </w:rPr>
          <w:fldChar w:fldCharType="end"/>
        </w:r>
      </w:hyperlink>
    </w:p>
    <w:p w14:paraId="2457E753" w14:textId="1507AC00"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90" w:history="1">
        <w:r w:rsidRPr="00F8237F">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_Toc231081590 \h </w:instrText>
        </w:r>
        <w:r>
          <w:rPr>
            <w:noProof/>
            <w:webHidden/>
          </w:rPr>
        </w:r>
        <w:r>
          <w:rPr>
            <w:noProof/>
            <w:webHidden/>
          </w:rPr>
          <w:fldChar w:fldCharType="separate"/>
        </w:r>
        <w:r>
          <w:rPr>
            <w:noProof/>
            <w:webHidden/>
          </w:rPr>
          <w:t>49</w:t>
        </w:r>
        <w:r>
          <w:rPr>
            <w:noProof/>
            <w:webHidden/>
          </w:rPr>
          <w:fldChar w:fldCharType="end"/>
        </w:r>
      </w:hyperlink>
    </w:p>
    <w:p w14:paraId="5B521705" w14:textId="7C9A7CF1"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91" w:history="1">
        <w:r w:rsidRPr="00F8237F">
          <w:rPr>
            <w:rStyle w:val="Hipervnculo"/>
            <w:noProof/>
          </w:rPr>
          <w:t>D.1 Muestra B — cobre, mercado internacional</w:t>
        </w:r>
        <w:r>
          <w:rPr>
            <w:noProof/>
            <w:webHidden/>
          </w:rPr>
          <w:tab/>
        </w:r>
        <w:r>
          <w:rPr>
            <w:noProof/>
            <w:webHidden/>
          </w:rPr>
          <w:fldChar w:fldCharType="begin"/>
        </w:r>
        <w:r>
          <w:rPr>
            <w:noProof/>
            <w:webHidden/>
          </w:rPr>
          <w:instrText xml:space="preserve"> PAGEREF _Toc231081591 \h </w:instrText>
        </w:r>
        <w:r>
          <w:rPr>
            <w:noProof/>
            <w:webHidden/>
          </w:rPr>
        </w:r>
        <w:r>
          <w:rPr>
            <w:noProof/>
            <w:webHidden/>
          </w:rPr>
          <w:fldChar w:fldCharType="separate"/>
        </w:r>
        <w:r>
          <w:rPr>
            <w:noProof/>
            <w:webHidden/>
          </w:rPr>
          <w:t>49</w:t>
        </w:r>
        <w:r>
          <w:rPr>
            <w:noProof/>
            <w:webHidden/>
          </w:rPr>
          <w:fldChar w:fldCharType="end"/>
        </w:r>
      </w:hyperlink>
    </w:p>
    <w:p w14:paraId="7749F9AC" w14:textId="5C61697F"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92" w:history="1">
        <w:r w:rsidRPr="00F8237F">
          <w:rPr>
            <w:rStyle w:val="Hipervnculo"/>
            <w:noProof/>
          </w:rPr>
          <w:t>D.2 Muestra A — cobre, mercado chileno (Pucobre)</w:t>
        </w:r>
        <w:r>
          <w:rPr>
            <w:noProof/>
            <w:webHidden/>
          </w:rPr>
          <w:tab/>
        </w:r>
        <w:r>
          <w:rPr>
            <w:noProof/>
            <w:webHidden/>
          </w:rPr>
          <w:fldChar w:fldCharType="begin"/>
        </w:r>
        <w:r>
          <w:rPr>
            <w:noProof/>
            <w:webHidden/>
          </w:rPr>
          <w:instrText xml:space="preserve"> PAGEREF _Toc231081592 \h </w:instrText>
        </w:r>
        <w:r>
          <w:rPr>
            <w:noProof/>
            <w:webHidden/>
          </w:rPr>
        </w:r>
        <w:r>
          <w:rPr>
            <w:noProof/>
            <w:webHidden/>
          </w:rPr>
          <w:fldChar w:fldCharType="separate"/>
        </w:r>
        <w:r>
          <w:rPr>
            <w:noProof/>
            <w:webHidden/>
          </w:rPr>
          <w:t>49</w:t>
        </w:r>
        <w:r>
          <w:rPr>
            <w:noProof/>
            <w:webHidden/>
          </w:rPr>
          <w:fldChar w:fldCharType="end"/>
        </w:r>
      </w:hyperlink>
    </w:p>
    <w:p w14:paraId="6BFC3A09" w14:textId="3D1E50F4" w:rsidR="00E96965" w:rsidRDefault="00E96965">
      <w:pPr>
        <w:pStyle w:val="TDC3"/>
        <w:tabs>
          <w:tab w:val="right" w:leader="dot" w:pos="8832"/>
        </w:tabs>
        <w:rPr>
          <w:rFonts w:asciiTheme="minorHAnsi" w:hAnsiTheme="minorHAnsi"/>
          <w:noProof/>
          <w:kern w:val="2"/>
          <w:szCs w:val="24"/>
          <w:lang w:val="es-CL" w:eastAsia="es-CL"/>
          <w14:ligatures w14:val="standardContextual"/>
        </w:rPr>
      </w:pPr>
      <w:hyperlink w:anchor="_Toc231081593" w:history="1">
        <w:r w:rsidRPr="00F8237F">
          <w:rPr>
            <w:rStyle w:val="Hipervnculo"/>
            <w:noProof/>
          </w:rPr>
          <w:t>D.3 Muestra C — sector minero, mercado chileno</w:t>
        </w:r>
        <w:r>
          <w:rPr>
            <w:noProof/>
            <w:webHidden/>
          </w:rPr>
          <w:tab/>
        </w:r>
        <w:r>
          <w:rPr>
            <w:noProof/>
            <w:webHidden/>
          </w:rPr>
          <w:fldChar w:fldCharType="begin"/>
        </w:r>
        <w:r>
          <w:rPr>
            <w:noProof/>
            <w:webHidden/>
          </w:rPr>
          <w:instrText xml:space="preserve"> PAGEREF _Toc231081593 \h </w:instrText>
        </w:r>
        <w:r>
          <w:rPr>
            <w:noProof/>
            <w:webHidden/>
          </w:rPr>
        </w:r>
        <w:r>
          <w:rPr>
            <w:noProof/>
            <w:webHidden/>
          </w:rPr>
          <w:fldChar w:fldCharType="separate"/>
        </w:r>
        <w:r>
          <w:rPr>
            <w:noProof/>
            <w:webHidden/>
          </w:rPr>
          <w:t>50</w:t>
        </w:r>
        <w:r>
          <w:rPr>
            <w:noProof/>
            <w:webHidden/>
          </w:rPr>
          <w:fldChar w:fldCharType="end"/>
        </w:r>
      </w:hyperlink>
    </w:p>
    <w:p w14:paraId="464B6388" w14:textId="12E8DA35"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94" w:history="1">
        <w:r w:rsidRPr="00F8237F">
          <w:rPr>
            <w:rStyle w:val="Hipervnculo"/>
            <w:noProof/>
          </w:rPr>
          <w:t>Anexo E. Cointegración (test de Johansen)</w:t>
        </w:r>
        <w:r>
          <w:rPr>
            <w:noProof/>
            <w:webHidden/>
          </w:rPr>
          <w:tab/>
        </w:r>
        <w:r>
          <w:rPr>
            <w:noProof/>
            <w:webHidden/>
          </w:rPr>
          <w:fldChar w:fldCharType="begin"/>
        </w:r>
        <w:r>
          <w:rPr>
            <w:noProof/>
            <w:webHidden/>
          </w:rPr>
          <w:instrText xml:space="preserve"> PAGEREF _Toc231081594 \h </w:instrText>
        </w:r>
        <w:r>
          <w:rPr>
            <w:noProof/>
            <w:webHidden/>
          </w:rPr>
        </w:r>
        <w:r>
          <w:rPr>
            <w:noProof/>
            <w:webHidden/>
          </w:rPr>
          <w:fldChar w:fldCharType="separate"/>
        </w:r>
        <w:r>
          <w:rPr>
            <w:noProof/>
            <w:webHidden/>
          </w:rPr>
          <w:t>50</w:t>
        </w:r>
        <w:r>
          <w:rPr>
            <w:noProof/>
            <w:webHidden/>
          </w:rPr>
          <w:fldChar w:fldCharType="end"/>
        </w:r>
      </w:hyperlink>
    </w:p>
    <w:p w14:paraId="55362069" w14:textId="449AF266"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95" w:history="1">
        <w:r w:rsidRPr="00F8237F">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_Toc231081595 \h </w:instrText>
        </w:r>
        <w:r>
          <w:rPr>
            <w:noProof/>
            <w:webHidden/>
          </w:rPr>
        </w:r>
        <w:r>
          <w:rPr>
            <w:noProof/>
            <w:webHidden/>
          </w:rPr>
          <w:fldChar w:fldCharType="separate"/>
        </w:r>
        <w:r>
          <w:rPr>
            <w:noProof/>
            <w:webHidden/>
          </w:rPr>
          <w:t>50</w:t>
        </w:r>
        <w:r>
          <w:rPr>
            <w:noProof/>
            <w:webHidden/>
          </w:rPr>
          <w:fldChar w:fldCharType="end"/>
        </w:r>
      </w:hyperlink>
    </w:p>
    <w:p w14:paraId="18864B57" w14:textId="13AB1D24"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96" w:history="1">
        <w:r w:rsidRPr="00F8237F">
          <w:rPr>
            <w:rStyle w:val="Hipervnculo"/>
            <w:noProof/>
          </w:rPr>
          <w:t>Anexo G. Fuentes de datos</w:t>
        </w:r>
        <w:r>
          <w:rPr>
            <w:noProof/>
            <w:webHidden/>
          </w:rPr>
          <w:tab/>
        </w:r>
        <w:r>
          <w:rPr>
            <w:noProof/>
            <w:webHidden/>
          </w:rPr>
          <w:fldChar w:fldCharType="begin"/>
        </w:r>
        <w:r>
          <w:rPr>
            <w:noProof/>
            <w:webHidden/>
          </w:rPr>
          <w:instrText xml:space="preserve"> PAGEREF _Toc231081596 \h </w:instrText>
        </w:r>
        <w:r>
          <w:rPr>
            <w:noProof/>
            <w:webHidden/>
          </w:rPr>
        </w:r>
        <w:r>
          <w:rPr>
            <w:noProof/>
            <w:webHidden/>
          </w:rPr>
          <w:fldChar w:fldCharType="separate"/>
        </w:r>
        <w:r>
          <w:rPr>
            <w:noProof/>
            <w:webHidden/>
          </w:rPr>
          <w:t>51</w:t>
        </w:r>
        <w:r>
          <w:rPr>
            <w:noProof/>
            <w:webHidden/>
          </w:rPr>
          <w:fldChar w:fldCharType="end"/>
        </w:r>
      </w:hyperlink>
    </w:p>
    <w:p w14:paraId="7305115C" w14:textId="659BF58D" w:rsidR="00E96965" w:rsidRDefault="00E96965">
      <w:pPr>
        <w:pStyle w:val="TDC2"/>
        <w:tabs>
          <w:tab w:val="right" w:leader="dot" w:pos="8832"/>
        </w:tabs>
        <w:rPr>
          <w:rFonts w:asciiTheme="minorHAnsi" w:hAnsiTheme="minorHAnsi"/>
          <w:noProof/>
          <w:kern w:val="2"/>
          <w:szCs w:val="24"/>
          <w:lang w:val="es-CL" w:eastAsia="es-CL"/>
          <w14:ligatures w14:val="standardContextual"/>
        </w:rPr>
      </w:pPr>
      <w:hyperlink w:anchor="_Toc231081597" w:history="1">
        <w:r w:rsidRPr="00F8237F">
          <w:rPr>
            <w:rStyle w:val="Hipervnculo"/>
            <w:noProof/>
          </w:rPr>
          <w:t>Anexo H. Disponibilidad del código</w:t>
        </w:r>
        <w:r>
          <w:rPr>
            <w:noProof/>
            <w:webHidden/>
          </w:rPr>
          <w:tab/>
        </w:r>
        <w:r>
          <w:rPr>
            <w:noProof/>
            <w:webHidden/>
          </w:rPr>
          <w:fldChar w:fldCharType="begin"/>
        </w:r>
        <w:r>
          <w:rPr>
            <w:noProof/>
            <w:webHidden/>
          </w:rPr>
          <w:instrText xml:space="preserve"> PAGEREF _Toc231081597 \h </w:instrText>
        </w:r>
        <w:r>
          <w:rPr>
            <w:noProof/>
            <w:webHidden/>
          </w:rPr>
        </w:r>
        <w:r>
          <w:rPr>
            <w:noProof/>
            <w:webHidden/>
          </w:rPr>
          <w:fldChar w:fldCharType="separate"/>
        </w:r>
        <w:r>
          <w:rPr>
            <w:noProof/>
            <w:webHidden/>
          </w:rPr>
          <w:t>52</w:t>
        </w:r>
        <w:r>
          <w:rPr>
            <w:noProof/>
            <w:webHidden/>
          </w:rPr>
          <w:fldChar w:fldCharType="end"/>
        </w:r>
      </w:hyperlink>
    </w:p>
    <w:p w14:paraId="2477DE93" w14:textId="51F19356" w:rsidR="00E96965" w:rsidRDefault="00E96965">
      <w:pPr>
        <w:pStyle w:val="TDC1"/>
        <w:tabs>
          <w:tab w:val="right" w:leader="dot" w:pos="8832"/>
        </w:tabs>
        <w:rPr>
          <w:rFonts w:asciiTheme="minorHAnsi" w:hAnsiTheme="minorHAnsi"/>
          <w:noProof/>
          <w:kern w:val="2"/>
          <w:szCs w:val="24"/>
          <w:lang w:val="es-CL" w:eastAsia="es-CL"/>
          <w14:ligatures w14:val="standardContextual"/>
        </w:rPr>
      </w:pPr>
      <w:hyperlink w:anchor="_Toc231081598" w:history="1">
        <w:r w:rsidRPr="00F8237F">
          <w:rPr>
            <w:rStyle w:val="Hipervnculo"/>
            <w:noProof/>
          </w:rPr>
          <w:t>Glosario de términos econométricos</w:t>
        </w:r>
        <w:r>
          <w:rPr>
            <w:noProof/>
            <w:webHidden/>
          </w:rPr>
          <w:tab/>
        </w:r>
        <w:r>
          <w:rPr>
            <w:noProof/>
            <w:webHidden/>
          </w:rPr>
          <w:fldChar w:fldCharType="begin"/>
        </w:r>
        <w:r>
          <w:rPr>
            <w:noProof/>
            <w:webHidden/>
          </w:rPr>
          <w:instrText xml:space="preserve"> PAGEREF _Toc231081598 \h </w:instrText>
        </w:r>
        <w:r>
          <w:rPr>
            <w:noProof/>
            <w:webHidden/>
          </w:rPr>
        </w:r>
        <w:r>
          <w:rPr>
            <w:noProof/>
            <w:webHidden/>
          </w:rPr>
          <w:fldChar w:fldCharType="separate"/>
        </w:r>
        <w:r>
          <w:rPr>
            <w:noProof/>
            <w:webHidden/>
          </w:rPr>
          <w:t>53</w:t>
        </w:r>
        <w:r>
          <w:rPr>
            <w:noProof/>
            <w:webHidden/>
          </w:rPr>
          <w:fldChar w:fldCharType="end"/>
        </w:r>
      </w:hyperlink>
    </w:p>
    <w:p w14:paraId="7E5C9102" w14:textId="25A27376" w:rsidR="00DE3F5D" w:rsidRDefault="00E96965">
      <w:r>
        <w:fldChar w:fldCharType="end"/>
      </w:r>
    </w:p>
    <w:p w14:paraId="4033F176" w14:textId="77777777" w:rsidR="00DE3F5D" w:rsidRDefault="00E96965">
      <w:r>
        <w:br w:type="page"/>
      </w:r>
    </w:p>
    <w:p w14:paraId="23C31FE6" w14:textId="77777777" w:rsidR="00DE3F5D" w:rsidRDefault="00E96965">
      <w:pPr>
        <w:pStyle w:val="Ttulo1"/>
      </w:pPr>
      <w:bookmarkStart w:id="7" w:name="_Toc231081536"/>
      <w:r>
        <w:lastRenderedPageBreak/>
        <w:t>Índice de tablas</w:t>
      </w:r>
      <w:bookmarkEnd w:id="7"/>
    </w:p>
    <w:p w14:paraId="6CAC7155" w14:textId="71E12833"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"Tabla"</w:instrText>
      </w:r>
      <w:r>
        <w:fldChar w:fldCharType="separate"/>
      </w:r>
      <w:hyperlink w:anchor="_Toc231081599" w:history="1">
        <w:r w:rsidRPr="00AC2DBD">
          <w:rPr>
            <w:rStyle w:val="Hipervnculo"/>
            <w:noProof/>
          </w:rPr>
          <w:t>Tabla 1.</w:t>
        </w:r>
        <w:r>
          <w:rPr>
            <w:noProof/>
            <w:webHidden/>
          </w:rPr>
          <w:tab/>
        </w:r>
        <w:r>
          <w:rPr>
            <w:noProof/>
            <w:webHidden/>
          </w:rPr>
          <w:fldChar w:fldCharType="begin"/>
        </w:r>
        <w:r>
          <w:rPr>
            <w:noProof/>
            <w:webHidden/>
          </w:rPr>
          <w:instrText xml:space="preserve"> PAGEREF _Toc231081599 \h </w:instrText>
        </w:r>
        <w:r>
          <w:rPr>
            <w:noProof/>
            <w:webHidden/>
          </w:rPr>
        </w:r>
        <w:r>
          <w:rPr>
            <w:noProof/>
            <w:webHidden/>
          </w:rPr>
          <w:fldChar w:fldCharType="separate"/>
        </w:r>
        <w:r>
          <w:rPr>
            <w:noProof/>
            <w:webHidden/>
          </w:rPr>
          <w:t>26</w:t>
        </w:r>
        <w:r>
          <w:rPr>
            <w:noProof/>
            <w:webHidden/>
          </w:rPr>
          <w:fldChar w:fldCharType="end"/>
        </w:r>
      </w:hyperlink>
    </w:p>
    <w:p w14:paraId="2E84BA0C" w14:textId="13985327"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0" w:history="1">
        <w:r w:rsidRPr="00AC2DBD">
          <w:rPr>
            <w:rStyle w:val="Hipervnculo"/>
            <w:noProof/>
          </w:rPr>
          <w:t>Tabla 2.</w:t>
        </w:r>
        <w:r>
          <w:rPr>
            <w:noProof/>
            <w:webHidden/>
          </w:rPr>
          <w:tab/>
        </w:r>
        <w:r>
          <w:rPr>
            <w:noProof/>
            <w:webHidden/>
          </w:rPr>
          <w:fldChar w:fldCharType="begin"/>
        </w:r>
        <w:r>
          <w:rPr>
            <w:noProof/>
            <w:webHidden/>
          </w:rPr>
          <w:instrText xml:space="preserve"> PAGEREF _Toc231081600 \h </w:instrText>
        </w:r>
        <w:r>
          <w:rPr>
            <w:noProof/>
            <w:webHidden/>
          </w:rPr>
        </w:r>
        <w:r>
          <w:rPr>
            <w:noProof/>
            <w:webHidden/>
          </w:rPr>
          <w:fldChar w:fldCharType="separate"/>
        </w:r>
        <w:r>
          <w:rPr>
            <w:noProof/>
            <w:webHidden/>
          </w:rPr>
          <w:t>28</w:t>
        </w:r>
        <w:r>
          <w:rPr>
            <w:noProof/>
            <w:webHidden/>
          </w:rPr>
          <w:fldChar w:fldCharType="end"/>
        </w:r>
      </w:hyperlink>
    </w:p>
    <w:p w14:paraId="34E2350D" w14:textId="0F041A6E"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1" w:history="1">
        <w:r w:rsidRPr="00AC2DBD">
          <w:rPr>
            <w:rStyle w:val="Hipervnculo"/>
            <w:noProof/>
          </w:rPr>
          <w:t>Tabla 3.</w:t>
        </w:r>
        <w:r>
          <w:rPr>
            <w:noProof/>
            <w:webHidden/>
          </w:rPr>
          <w:tab/>
        </w:r>
        <w:r>
          <w:rPr>
            <w:noProof/>
            <w:webHidden/>
          </w:rPr>
          <w:fldChar w:fldCharType="begin"/>
        </w:r>
        <w:r>
          <w:rPr>
            <w:noProof/>
            <w:webHidden/>
          </w:rPr>
          <w:instrText xml:space="preserve"> PAGEREF _Toc231081601 \h </w:instrText>
        </w:r>
        <w:r>
          <w:rPr>
            <w:noProof/>
            <w:webHidden/>
          </w:rPr>
        </w:r>
        <w:r>
          <w:rPr>
            <w:noProof/>
            <w:webHidden/>
          </w:rPr>
          <w:fldChar w:fldCharType="separate"/>
        </w:r>
        <w:r>
          <w:rPr>
            <w:noProof/>
            <w:webHidden/>
          </w:rPr>
          <w:t>31</w:t>
        </w:r>
        <w:r>
          <w:rPr>
            <w:noProof/>
            <w:webHidden/>
          </w:rPr>
          <w:fldChar w:fldCharType="end"/>
        </w:r>
      </w:hyperlink>
    </w:p>
    <w:p w14:paraId="651A13A1" w14:textId="2F61A7AA"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2" w:history="1">
        <w:r w:rsidRPr="00AC2DBD">
          <w:rPr>
            <w:rStyle w:val="Hipervnculo"/>
            <w:noProof/>
          </w:rPr>
          <w:t>Tabla 4.</w:t>
        </w:r>
        <w:r>
          <w:rPr>
            <w:noProof/>
            <w:webHidden/>
          </w:rPr>
          <w:tab/>
        </w:r>
        <w:r>
          <w:rPr>
            <w:noProof/>
            <w:webHidden/>
          </w:rPr>
          <w:fldChar w:fldCharType="begin"/>
        </w:r>
        <w:r>
          <w:rPr>
            <w:noProof/>
            <w:webHidden/>
          </w:rPr>
          <w:instrText xml:space="preserve"> PAGEREF _Toc231081602 \h </w:instrText>
        </w:r>
        <w:r>
          <w:rPr>
            <w:noProof/>
            <w:webHidden/>
          </w:rPr>
        </w:r>
        <w:r>
          <w:rPr>
            <w:noProof/>
            <w:webHidden/>
          </w:rPr>
          <w:fldChar w:fldCharType="separate"/>
        </w:r>
        <w:r>
          <w:rPr>
            <w:noProof/>
            <w:webHidden/>
          </w:rPr>
          <w:t>34</w:t>
        </w:r>
        <w:r>
          <w:rPr>
            <w:noProof/>
            <w:webHidden/>
          </w:rPr>
          <w:fldChar w:fldCharType="end"/>
        </w:r>
      </w:hyperlink>
    </w:p>
    <w:p w14:paraId="346FF483" w14:textId="589F8475"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3" w:history="1">
        <w:r w:rsidRPr="00AC2DBD">
          <w:rPr>
            <w:rStyle w:val="Hipervnculo"/>
            <w:noProof/>
          </w:rPr>
          <w:t>Tabla 5.</w:t>
        </w:r>
        <w:r>
          <w:rPr>
            <w:noProof/>
            <w:webHidden/>
          </w:rPr>
          <w:tab/>
        </w:r>
        <w:r>
          <w:rPr>
            <w:noProof/>
            <w:webHidden/>
          </w:rPr>
          <w:fldChar w:fldCharType="begin"/>
        </w:r>
        <w:r>
          <w:rPr>
            <w:noProof/>
            <w:webHidden/>
          </w:rPr>
          <w:instrText xml:space="preserve"> PAGEREF _Toc231081603 \h </w:instrText>
        </w:r>
        <w:r>
          <w:rPr>
            <w:noProof/>
            <w:webHidden/>
          </w:rPr>
        </w:r>
        <w:r>
          <w:rPr>
            <w:noProof/>
            <w:webHidden/>
          </w:rPr>
          <w:fldChar w:fldCharType="separate"/>
        </w:r>
        <w:r>
          <w:rPr>
            <w:noProof/>
            <w:webHidden/>
          </w:rPr>
          <w:t>47</w:t>
        </w:r>
        <w:r>
          <w:rPr>
            <w:noProof/>
            <w:webHidden/>
          </w:rPr>
          <w:fldChar w:fldCharType="end"/>
        </w:r>
      </w:hyperlink>
    </w:p>
    <w:p w14:paraId="46040414" w14:textId="4AEC14A8"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4" w:history="1">
        <w:r w:rsidRPr="00AC2DBD">
          <w:rPr>
            <w:rStyle w:val="Hipervnculo"/>
            <w:noProof/>
          </w:rPr>
          <w:t>Tabla 6.</w:t>
        </w:r>
        <w:r>
          <w:rPr>
            <w:noProof/>
            <w:webHidden/>
          </w:rPr>
          <w:tab/>
        </w:r>
        <w:r>
          <w:rPr>
            <w:noProof/>
            <w:webHidden/>
          </w:rPr>
          <w:fldChar w:fldCharType="begin"/>
        </w:r>
        <w:r>
          <w:rPr>
            <w:noProof/>
            <w:webHidden/>
          </w:rPr>
          <w:instrText xml:space="preserve"> PAGEREF _Toc231081604 \h </w:instrText>
        </w:r>
        <w:r>
          <w:rPr>
            <w:noProof/>
            <w:webHidden/>
          </w:rPr>
        </w:r>
        <w:r>
          <w:rPr>
            <w:noProof/>
            <w:webHidden/>
          </w:rPr>
          <w:fldChar w:fldCharType="separate"/>
        </w:r>
        <w:r>
          <w:rPr>
            <w:noProof/>
            <w:webHidden/>
          </w:rPr>
          <w:t>47</w:t>
        </w:r>
        <w:r>
          <w:rPr>
            <w:noProof/>
            <w:webHidden/>
          </w:rPr>
          <w:fldChar w:fldCharType="end"/>
        </w:r>
      </w:hyperlink>
    </w:p>
    <w:p w14:paraId="231D5FD7" w14:textId="4A2962CD"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5" w:history="1">
        <w:r w:rsidRPr="00AC2DBD">
          <w:rPr>
            <w:rStyle w:val="Hipervnculo"/>
            <w:noProof/>
          </w:rPr>
          <w:t>Tabla 7.</w:t>
        </w:r>
        <w:r>
          <w:rPr>
            <w:noProof/>
            <w:webHidden/>
          </w:rPr>
          <w:tab/>
        </w:r>
        <w:r>
          <w:rPr>
            <w:noProof/>
            <w:webHidden/>
          </w:rPr>
          <w:fldChar w:fldCharType="begin"/>
        </w:r>
        <w:r>
          <w:rPr>
            <w:noProof/>
            <w:webHidden/>
          </w:rPr>
          <w:instrText xml:space="preserve"> PAGEREF _Toc231081605 \h </w:instrText>
        </w:r>
        <w:r>
          <w:rPr>
            <w:noProof/>
            <w:webHidden/>
          </w:rPr>
        </w:r>
        <w:r>
          <w:rPr>
            <w:noProof/>
            <w:webHidden/>
          </w:rPr>
          <w:fldChar w:fldCharType="separate"/>
        </w:r>
        <w:r>
          <w:rPr>
            <w:noProof/>
            <w:webHidden/>
          </w:rPr>
          <w:t>48</w:t>
        </w:r>
        <w:r>
          <w:rPr>
            <w:noProof/>
            <w:webHidden/>
          </w:rPr>
          <w:fldChar w:fldCharType="end"/>
        </w:r>
      </w:hyperlink>
    </w:p>
    <w:p w14:paraId="38F27626" w14:textId="3CC3CBC7"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6" w:history="1">
        <w:r w:rsidRPr="00AC2DBD">
          <w:rPr>
            <w:rStyle w:val="Hipervnculo"/>
            <w:noProof/>
          </w:rPr>
          <w:t>Tabla 8.</w:t>
        </w:r>
        <w:r>
          <w:rPr>
            <w:noProof/>
            <w:webHidden/>
          </w:rPr>
          <w:tab/>
        </w:r>
        <w:r>
          <w:rPr>
            <w:noProof/>
            <w:webHidden/>
          </w:rPr>
          <w:fldChar w:fldCharType="begin"/>
        </w:r>
        <w:r>
          <w:rPr>
            <w:noProof/>
            <w:webHidden/>
          </w:rPr>
          <w:instrText xml:space="preserve"> PAGEREF _Toc231081606 \h </w:instrText>
        </w:r>
        <w:r>
          <w:rPr>
            <w:noProof/>
            <w:webHidden/>
          </w:rPr>
        </w:r>
        <w:r>
          <w:rPr>
            <w:noProof/>
            <w:webHidden/>
          </w:rPr>
          <w:fldChar w:fldCharType="separate"/>
        </w:r>
        <w:r>
          <w:rPr>
            <w:noProof/>
            <w:webHidden/>
          </w:rPr>
          <w:t>49</w:t>
        </w:r>
        <w:r>
          <w:rPr>
            <w:noProof/>
            <w:webHidden/>
          </w:rPr>
          <w:fldChar w:fldCharType="end"/>
        </w:r>
      </w:hyperlink>
    </w:p>
    <w:p w14:paraId="48AB6EBD" w14:textId="20A063FE"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7" w:history="1">
        <w:r w:rsidRPr="00AC2DBD">
          <w:rPr>
            <w:rStyle w:val="Hipervnculo"/>
            <w:noProof/>
          </w:rPr>
          <w:t>Tabla 9.</w:t>
        </w:r>
        <w:r>
          <w:rPr>
            <w:noProof/>
            <w:webHidden/>
          </w:rPr>
          <w:tab/>
        </w:r>
        <w:r>
          <w:rPr>
            <w:noProof/>
            <w:webHidden/>
          </w:rPr>
          <w:fldChar w:fldCharType="begin"/>
        </w:r>
        <w:r>
          <w:rPr>
            <w:noProof/>
            <w:webHidden/>
          </w:rPr>
          <w:instrText xml:space="preserve"> PAGEREF _Toc231081607 \h </w:instrText>
        </w:r>
        <w:r>
          <w:rPr>
            <w:noProof/>
            <w:webHidden/>
          </w:rPr>
        </w:r>
        <w:r>
          <w:rPr>
            <w:noProof/>
            <w:webHidden/>
          </w:rPr>
          <w:fldChar w:fldCharType="separate"/>
        </w:r>
        <w:r>
          <w:rPr>
            <w:noProof/>
            <w:webHidden/>
          </w:rPr>
          <w:t>49</w:t>
        </w:r>
        <w:r>
          <w:rPr>
            <w:noProof/>
            <w:webHidden/>
          </w:rPr>
          <w:fldChar w:fldCharType="end"/>
        </w:r>
      </w:hyperlink>
    </w:p>
    <w:p w14:paraId="73C427D1" w14:textId="493FB5B2"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8" w:history="1">
        <w:r w:rsidRPr="00AC2DBD">
          <w:rPr>
            <w:rStyle w:val="Hipervnculo"/>
            <w:noProof/>
          </w:rPr>
          <w:t>Tabla 10.</w:t>
        </w:r>
        <w:r>
          <w:rPr>
            <w:noProof/>
            <w:webHidden/>
          </w:rPr>
          <w:tab/>
        </w:r>
        <w:r>
          <w:rPr>
            <w:noProof/>
            <w:webHidden/>
          </w:rPr>
          <w:fldChar w:fldCharType="begin"/>
        </w:r>
        <w:r>
          <w:rPr>
            <w:noProof/>
            <w:webHidden/>
          </w:rPr>
          <w:instrText xml:space="preserve"> PAGEREF _Toc231081608 \h </w:instrText>
        </w:r>
        <w:r>
          <w:rPr>
            <w:noProof/>
            <w:webHidden/>
          </w:rPr>
        </w:r>
        <w:r>
          <w:rPr>
            <w:noProof/>
            <w:webHidden/>
          </w:rPr>
          <w:fldChar w:fldCharType="separate"/>
        </w:r>
        <w:r>
          <w:rPr>
            <w:noProof/>
            <w:webHidden/>
          </w:rPr>
          <w:t>50</w:t>
        </w:r>
        <w:r>
          <w:rPr>
            <w:noProof/>
            <w:webHidden/>
          </w:rPr>
          <w:fldChar w:fldCharType="end"/>
        </w:r>
      </w:hyperlink>
    </w:p>
    <w:p w14:paraId="473870FD" w14:textId="11A09354"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09" w:history="1">
        <w:r w:rsidRPr="00AC2DBD">
          <w:rPr>
            <w:rStyle w:val="Hipervnculo"/>
            <w:noProof/>
          </w:rPr>
          <w:t>Tabla 11.</w:t>
        </w:r>
        <w:r>
          <w:rPr>
            <w:noProof/>
            <w:webHidden/>
          </w:rPr>
          <w:tab/>
        </w:r>
        <w:r>
          <w:rPr>
            <w:noProof/>
            <w:webHidden/>
          </w:rPr>
          <w:fldChar w:fldCharType="begin"/>
        </w:r>
        <w:r>
          <w:rPr>
            <w:noProof/>
            <w:webHidden/>
          </w:rPr>
          <w:instrText xml:space="preserve"> PAGEREF _Toc231081609 \h </w:instrText>
        </w:r>
        <w:r>
          <w:rPr>
            <w:noProof/>
            <w:webHidden/>
          </w:rPr>
        </w:r>
        <w:r>
          <w:rPr>
            <w:noProof/>
            <w:webHidden/>
          </w:rPr>
          <w:fldChar w:fldCharType="separate"/>
        </w:r>
        <w:r>
          <w:rPr>
            <w:noProof/>
            <w:webHidden/>
          </w:rPr>
          <w:t>50</w:t>
        </w:r>
        <w:r>
          <w:rPr>
            <w:noProof/>
            <w:webHidden/>
          </w:rPr>
          <w:fldChar w:fldCharType="end"/>
        </w:r>
      </w:hyperlink>
    </w:p>
    <w:p w14:paraId="5B5381AF" w14:textId="569D00F0"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10" w:history="1">
        <w:r w:rsidRPr="00AC2DBD">
          <w:rPr>
            <w:rStyle w:val="Hipervnculo"/>
            <w:noProof/>
          </w:rPr>
          <w:t>Tabla 12.</w:t>
        </w:r>
        <w:r>
          <w:rPr>
            <w:noProof/>
            <w:webHidden/>
          </w:rPr>
          <w:tab/>
        </w:r>
        <w:r>
          <w:rPr>
            <w:noProof/>
            <w:webHidden/>
          </w:rPr>
          <w:fldChar w:fldCharType="begin"/>
        </w:r>
        <w:r>
          <w:rPr>
            <w:noProof/>
            <w:webHidden/>
          </w:rPr>
          <w:instrText xml:space="preserve"> PAGEREF _Toc231081610 \h </w:instrText>
        </w:r>
        <w:r>
          <w:rPr>
            <w:noProof/>
            <w:webHidden/>
          </w:rPr>
        </w:r>
        <w:r>
          <w:rPr>
            <w:noProof/>
            <w:webHidden/>
          </w:rPr>
          <w:fldChar w:fldCharType="separate"/>
        </w:r>
        <w:r>
          <w:rPr>
            <w:noProof/>
            <w:webHidden/>
          </w:rPr>
          <w:t>50</w:t>
        </w:r>
        <w:r>
          <w:rPr>
            <w:noProof/>
            <w:webHidden/>
          </w:rPr>
          <w:fldChar w:fldCharType="end"/>
        </w:r>
      </w:hyperlink>
    </w:p>
    <w:p w14:paraId="2DA3065E" w14:textId="7A8AFA72"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11" w:history="1">
        <w:r w:rsidRPr="00AC2DBD">
          <w:rPr>
            <w:rStyle w:val="Hipervnculo"/>
            <w:noProof/>
          </w:rPr>
          <w:t>Tabla 13.</w:t>
        </w:r>
        <w:r>
          <w:rPr>
            <w:noProof/>
            <w:webHidden/>
          </w:rPr>
          <w:tab/>
        </w:r>
        <w:r>
          <w:rPr>
            <w:noProof/>
            <w:webHidden/>
          </w:rPr>
          <w:fldChar w:fldCharType="begin"/>
        </w:r>
        <w:r>
          <w:rPr>
            <w:noProof/>
            <w:webHidden/>
          </w:rPr>
          <w:instrText xml:space="preserve"> PAGEREF _Toc231081611 \h </w:instrText>
        </w:r>
        <w:r>
          <w:rPr>
            <w:noProof/>
            <w:webHidden/>
          </w:rPr>
        </w:r>
        <w:r>
          <w:rPr>
            <w:noProof/>
            <w:webHidden/>
          </w:rPr>
          <w:fldChar w:fldCharType="separate"/>
        </w:r>
        <w:r>
          <w:rPr>
            <w:noProof/>
            <w:webHidden/>
          </w:rPr>
          <w:t>51</w:t>
        </w:r>
        <w:r>
          <w:rPr>
            <w:noProof/>
            <w:webHidden/>
          </w:rPr>
          <w:fldChar w:fldCharType="end"/>
        </w:r>
      </w:hyperlink>
    </w:p>
    <w:p w14:paraId="0FAB80D7" w14:textId="62381E49" w:rsidR="00DE3F5D" w:rsidRDefault="00E96965">
      <w:r>
        <w:fldChar w:fldCharType="end"/>
      </w:r>
    </w:p>
    <w:p w14:paraId="417A7A1E" w14:textId="77777777" w:rsidR="00DE3F5D" w:rsidRDefault="00E96965">
      <w:r>
        <w:br w:type="page"/>
      </w:r>
    </w:p>
    <w:p w14:paraId="12ABABB7" w14:textId="77777777" w:rsidR="00DE3F5D" w:rsidRDefault="00E96965">
      <w:pPr>
        <w:pStyle w:val="Ttulo1"/>
      </w:pPr>
      <w:bookmarkStart w:id="8" w:name="_Toc231081537"/>
      <w:r>
        <w:lastRenderedPageBreak/>
        <w:t>Índice de figuras</w:t>
      </w:r>
      <w:bookmarkEnd w:id="8"/>
    </w:p>
    <w:p w14:paraId="46D63FEB" w14:textId="74CDC06F"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"Figura"</w:instrText>
      </w:r>
      <w:r>
        <w:fldChar w:fldCharType="separate"/>
      </w:r>
      <w:hyperlink w:anchor="_Toc231081612" w:history="1">
        <w:r w:rsidRPr="00AD29D1">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_Toc231081612 \h </w:instrText>
        </w:r>
        <w:r>
          <w:rPr>
            <w:noProof/>
            <w:webHidden/>
          </w:rPr>
        </w:r>
        <w:r>
          <w:rPr>
            <w:noProof/>
            <w:webHidden/>
          </w:rPr>
          <w:fldChar w:fldCharType="separate"/>
        </w:r>
        <w:r>
          <w:rPr>
            <w:noProof/>
            <w:webHidden/>
          </w:rPr>
          <w:t>29</w:t>
        </w:r>
        <w:r>
          <w:rPr>
            <w:noProof/>
            <w:webHidden/>
          </w:rPr>
          <w:fldChar w:fldCharType="end"/>
        </w:r>
      </w:hyperlink>
    </w:p>
    <w:p w14:paraId="245EF15D" w14:textId="30A53BDF"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13" w:history="1">
        <w:r w:rsidRPr="00AD29D1">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_Toc231081613 \h </w:instrText>
        </w:r>
        <w:r>
          <w:rPr>
            <w:noProof/>
            <w:webHidden/>
          </w:rPr>
        </w:r>
        <w:r>
          <w:rPr>
            <w:noProof/>
            <w:webHidden/>
          </w:rPr>
          <w:fldChar w:fldCharType="separate"/>
        </w:r>
        <w:r>
          <w:rPr>
            <w:noProof/>
            <w:webHidden/>
          </w:rPr>
          <w:t>32</w:t>
        </w:r>
        <w:r>
          <w:rPr>
            <w:noProof/>
            <w:webHidden/>
          </w:rPr>
          <w:fldChar w:fldCharType="end"/>
        </w:r>
      </w:hyperlink>
    </w:p>
    <w:p w14:paraId="695E5234" w14:textId="3163F89E"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14" w:history="1">
        <w:r w:rsidRPr="00AD29D1">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_Toc231081614 \h </w:instrText>
        </w:r>
        <w:r>
          <w:rPr>
            <w:noProof/>
            <w:webHidden/>
          </w:rPr>
        </w:r>
        <w:r>
          <w:rPr>
            <w:noProof/>
            <w:webHidden/>
          </w:rPr>
          <w:fldChar w:fldCharType="separate"/>
        </w:r>
        <w:r>
          <w:rPr>
            <w:noProof/>
            <w:webHidden/>
          </w:rPr>
          <w:t>33</w:t>
        </w:r>
        <w:r>
          <w:rPr>
            <w:noProof/>
            <w:webHidden/>
          </w:rPr>
          <w:fldChar w:fldCharType="end"/>
        </w:r>
      </w:hyperlink>
    </w:p>
    <w:p w14:paraId="6284716D" w14:textId="6E65F1B1"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15" w:history="1">
        <w:r w:rsidRPr="00AD29D1">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_Toc231081615 \h </w:instrText>
        </w:r>
        <w:r>
          <w:rPr>
            <w:noProof/>
            <w:webHidden/>
          </w:rPr>
        </w:r>
        <w:r>
          <w:rPr>
            <w:noProof/>
            <w:webHidden/>
          </w:rPr>
          <w:fldChar w:fldCharType="separate"/>
        </w:r>
        <w:r>
          <w:rPr>
            <w:noProof/>
            <w:webHidden/>
          </w:rPr>
          <w:t>34</w:t>
        </w:r>
        <w:r>
          <w:rPr>
            <w:noProof/>
            <w:webHidden/>
          </w:rPr>
          <w:fldChar w:fldCharType="end"/>
        </w:r>
      </w:hyperlink>
    </w:p>
    <w:p w14:paraId="0E0048F4" w14:textId="1AD15603"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16" w:history="1">
        <w:r w:rsidRPr="00AD29D1">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_Toc231081616 \h </w:instrText>
        </w:r>
        <w:r>
          <w:rPr>
            <w:noProof/>
            <w:webHidden/>
          </w:rPr>
        </w:r>
        <w:r>
          <w:rPr>
            <w:noProof/>
            <w:webHidden/>
          </w:rPr>
          <w:fldChar w:fldCharType="separate"/>
        </w:r>
        <w:r>
          <w:rPr>
            <w:noProof/>
            <w:webHidden/>
          </w:rPr>
          <w:t>35</w:t>
        </w:r>
        <w:r>
          <w:rPr>
            <w:noProof/>
            <w:webHidden/>
          </w:rPr>
          <w:fldChar w:fldCharType="end"/>
        </w:r>
      </w:hyperlink>
    </w:p>
    <w:p w14:paraId="3BFB70C3" w14:textId="33652971" w:rsidR="00E96965" w:rsidRDefault="00E96965">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1617" w:history="1">
        <w:r w:rsidRPr="00AD29D1">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_Toc231081617 \h </w:instrText>
        </w:r>
        <w:r>
          <w:rPr>
            <w:noProof/>
            <w:webHidden/>
          </w:rPr>
        </w:r>
        <w:r>
          <w:rPr>
            <w:noProof/>
            <w:webHidden/>
          </w:rPr>
          <w:fldChar w:fldCharType="separate"/>
        </w:r>
        <w:r>
          <w:rPr>
            <w:noProof/>
            <w:webHidden/>
          </w:rPr>
          <w:t>38</w:t>
        </w:r>
        <w:r>
          <w:rPr>
            <w:noProof/>
            <w:webHidden/>
          </w:rPr>
          <w:fldChar w:fldCharType="end"/>
        </w:r>
      </w:hyperlink>
    </w:p>
    <w:p w14:paraId="5EE744A6" w14:textId="3821C48E" w:rsidR="00DE3F5D" w:rsidRDefault="00E96965">
      <w:r>
        <w:fldChar w:fldCharType="end"/>
      </w:r>
    </w:p>
    <w:p w14:paraId="694184D8" w14:textId="77777777" w:rsidR="00DE3F5D" w:rsidRDefault="00E96965">
      <w:r>
        <w:br w:type="page"/>
      </w:r>
    </w:p>
    <w:p w14:paraId="11924BEE" w14:textId="77777777" w:rsidR="00DE3F5D" w:rsidRDefault="00E96965">
      <w:pPr>
        <w:pStyle w:val="Ttulo1"/>
      </w:pPr>
      <w:bookmarkStart w:id="9" w:name="_Toc231081538"/>
      <w:r>
        <w:lastRenderedPageBreak/>
        <w:t xml:space="preserve">Lista de </w:t>
      </w:r>
      <w:r>
        <w:t>abreviaturas y siglas</w:t>
      </w:r>
      <w:bookmarkEnd w:id="9"/>
    </w:p>
    <w:tbl>
      <w:tblPr>
        <w:tblStyle w:val="Listaclara-nfasis1"/>
        <w:tblW w:w="0" w:type="auto"/>
        <w:tblLook w:val="04A0" w:firstRow="1" w:lastRow="0" w:firstColumn="1" w:lastColumn="0" w:noHBand="0" w:noVBand="1"/>
      </w:tblPr>
      <w:tblGrid>
        <w:gridCol w:w="4421"/>
        <w:gridCol w:w="4421"/>
      </w:tblGrid>
      <w:tr w:rsidR="00DE3F5D" w14:paraId="098F06B7"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477ADCC" w14:textId="77777777" w:rsidR="00DE3F5D" w:rsidRDefault="00E96965">
            <w:r>
              <w:rPr>
                <w:sz w:val="22"/>
              </w:rPr>
              <w:t>APT</w:t>
            </w:r>
          </w:p>
        </w:tc>
        <w:tc>
          <w:tcPr>
            <w:tcW w:w="4421" w:type="dxa"/>
          </w:tcPr>
          <w:p w14:paraId="6E5337C2"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2"/>
              </w:rPr>
              <w:t>Arbitrage Pricing Theory (teoría de valoración por arbitraje)</w:t>
            </w:r>
          </w:p>
        </w:tc>
      </w:tr>
      <w:tr w:rsidR="00DE3F5D" w14:paraId="60E620EC"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F014A0F" w14:textId="77777777" w:rsidR="00DE3F5D" w:rsidRDefault="00E96965">
            <w:r>
              <w:rPr>
                <w:sz w:val="22"/>
              </w:rPr>
              <w:t>ADF</w:t>
            </w:r>
          </w:p>
        </w:tc>
        <w:tc>
          <w:tcPr>
            <w:tcW w:w="4421" w:type="dxa"/>
          </w:tcPr>
          <w:p w14:paraId="7F83086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2"/>
              </w:rPr>
              <w:t>Augmented Dickey-Fuller (prueba de raíz unitaria)</w:t>
            </w:r>
          </w:p>
        </w:tc>
      </w:tr>
      <w:tr w:rsidR="00DE3F5D" w14:paraId="61D7DF93" w14:textId="77777777" w:rsidTr="00DE3F5D">
        <w:tc>
          <w:tcPr>
            <w:cnfStyle w:val="001000000000" w:firstRow="0" w:lastRow="0" w:firstColumn="1" w:lastColumn="0" w:oddVBand="0" w:evenVBand="0" w:oddHBand="0" w:evenHBand="0" w:firstRowFirstColumn="0" w:firstRowLastColumn="0" w:lastRowFirstColumn="0" w:lastRowLastColumn="0"/>
            <w:tcW w:w="4421" w:type="dxa"/>
          </w:tcPr>
          <w:p w14:paraId="7789DEEA" w14:textId="77777777" w:rsidR="00DE3F5D" w:rsidRDefault="00E96965">
            <w:r>
              <w:rPr>
                <w:sz w:val="22"/>
              </w:rPr>
              <w:t>ARDL</w:t>
            </w:r>
          </w:p>
        </w:tc>
        <w:tc>
          <w:tcPr>
            <w:tcW w:w="4421" w:type="dxa"/>
          </w:tcPr>
          <w:p w14:paraId="7F39A766" w14:textId="77777777" w:rsidR="00DE3F5D" w:rsidRDefault="00E96965">
            <w:pPr>
              <w:cnfStyle w:val="000000000000" w:firstRow="0" w:lastRow="0" w:firstColumn="0" w:lastColumn="0" w:oddVBand="0" w:evenVBand="0" w:oddHBand="0" w:evenHBand="0" w:firstRowFirstColumn="0" w:firstRowLastColumn="0" w:lastRowFirstColumn="0" w:lastRowLastColumn="0"/>
            </w:pPr>
            <w:r>
              <w:rPr>
                <w:sz w:val="22"/>
              </w:rPr>
              <w:t>Autoregressive Distributed Lag (modelo de rezagos distribuidos)</w:t>
            </w:r>
          </w:p>
        </w:tc>
      </w:tr>
      <w:tr w:rsidR="00DE3F5D" w14:paraId="409E82D1"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1A8FD6B" w14:textId="77777777" w:rsidR="00DE3F5D" w:rsidRDefault="00E96965">
            <w:r>
              <w:rPr>
                <w:sz w:val="22"/>
              </w:rPr>
              <w:t>BCCh</w:t>
            </w:r>
          </w:p>
        </w:tc>
        <w:tc>
          <w:tcPr>
            <w:tcW w:w="4421" w:type="dxa"/>
          </w:tcPr>
          <w:p w14:paraId="3B0EC4BE"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2"/>
              </w:rPr>
              <w:t>Banco Central de Chile</w:t>
            </w:r>
          </w:p>
        </w:tc>
      </w:tr>
      <w:tr w:rsidR="00DE3F5D" w14:paraId="44B09AF8" w14:textId="77777777" w:rsidTr="00DE3F5D">
        <w:tc>
          <w:tcPr>
            <w:cnfStyle w:val="001000000000" w:firstRow="0" w:lastRow="0" w:firstColumn="1" w:lastColumn="0" w:oddVBand="0" w:evenVBand="0" w:oddHBand="0" w:evenHBand="0" w:firstRowFirstColumn="0" w:firstRowLastColumn="0" w:lastRowFirstColumn="0" w:lastRowLastColumn="0"/>
            <w:tcW w:w="4421" w:type="dxa"/>
          </w:tcPr>
          <w:p w14:paraId="1C0D64F1" w14:textId="77777777" w:rsidR="00DE3F5D" w:rsidRDefault="00E96965">
            <w:r>
              <w:rPr>
                <w:sz w:val="22"/>
              </w:rPr>
              <w:t>CD</w:t>
            </w:r>
          </w:p>
        </w:tc>
        <w:tc>
          <w:tcPr>
            <w:tcW w:w="4421" w:type="dxa"/>
          </w:tcPr>
          <w:p w14:paraId="48E6434C" w14:textId="77777777" w:rsidR="00DE3F5D" w:rsidRDefault="00E96965">
            <w:pPr>
              <w:cnfStyle w:val="000000000000" w:firstRow="0" w:lastRow="0" w:firstColumn="0" w:lastColumn="0" w:oddVBand="0" w:evenVBand="0" w:oddHBand="0" w:evenHBand="0" w:firstRowFirstColumn="0" w:firstRowLastColumn="0" w:lastRowFirstColumn="0" w:lastRowLastColumn="0"/>
            </w:pPr>
            <w:r>
              <w:rPr>
                <w:sz w:val="22"/>
              </w:rPr>
              <w:t>Cross-section Dependence (prueba de Pesaran)</w:t>
            </w:r>
          </w:p>
        </w:tc>
      </w:tr>
      <w:tr w:rsidR="00DE3F5D" w14:paraId="7F523B7C"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635E633" w14:textId="77777777" w:rsidR="00DE3F5D" w:rsidRDefault="00E96965">
            <w:r>
              <w:rPr>
                <w:sz w:val="22"/>
              </w:rPr>
              <w:t>CMF</w:t>
            </w:r>
          </w:p>
        </w:tc>
        <w:tc>
          <w:tcPr>
            <w:tcW w:w="4421" w:type="dxa"/>
          </w:tcPr>
          <w:p w14:paraId="1CCCFEA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2"/>
              </w:rPr>
              <w:t>Comisión para el Mercado Financiero</w:t>
            </w:r>
          </w:p>
        </w:tc>
      </w:tr>
      <w:tr w:rsidR="00DE3F5D" w14:paraId="718104A7" w14:textId="77777777" w:rsidTr="00DE3F5D">
        <w:tc>
          <w:tcPr>
            <w:cnfStyle w:val="001000000000" w:firstRow="0" w:lastRow="0" w:firstColumn="1" w:lastColumn="0" w:oddVBand="0" w:evenVBand="0" w:oddHBand="0" w:evenHBand="0" w:firstRowFirstColumn="0" w:firstRowLastColumn="0" w:lastRowFirstColumn="0" w:lastRowLastColumn="0"/>
            <w:tcW w:w="4421" w:type="dxa"/>
          </w:tcPr>
          <w:p w14:paraId="10C0F6B1" w14:textId="77777777" w:rsidR="00DE3F5D" w:rsidRDefault="00E96965">
            <w:r>
              <w:rPr>
                <w:sz w:val="22"/>
              </w:rPr>
              <w:t>EMBI</w:t>
            </w:r>
          </w:p>
        </w:tc>
        <w:tc>
          <w:tcPr>
            <w:tcW w:w="4421" w:type="dxa"/>
          </w:tcPr>
          <w:p w14:paraId="55C4947B" w14:textId="77777777" w:rsidR="00DE3F5D" w:rsidRDefault="00E96965">
            <w:pPr>
              <w:cnfStyle w:val="000000000000" w:firstRow="0" w:lastRow="0" w:firstColumn="0" w:lastColumn="0" w:oddVBand="0" w:evenVBand="0" w:oddHBand="0" w:evenHBand="0" w:firstRowFirstColumn="0" w:firstRowLastColumn="0" w:lastRowFirstColumn="0" w:lastRowLastColumn="0"/>
            </w:pPr>
            <w:r>
              <w:rPr>
                <w:sz w:val="22"/>
              </w:rPr>
              <w:t>Emerging Markets Bond Index (índice de riesgo soberano)</w:t>
            </w:r>
          </w:p>
        </w:tc>
      </w:tr>
      <w:tr w:rsidR="00DE3F5D" w14:paraId="1FA324E0"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7D9C6FED" w14:textId="77777777" w:rsidR="00DE3F5D" w:rsidRDefault="00E96965">
            <w:r>
              <w:rPr>
                <w:sz w:val="22"/>
              </w:rPr>
              <w:t>FEVD</w:t>
            </w:r>
          </w:p>
        </w:tc>
        <w:tc>
          <w:tcPr>
            <w:tcW w:w="4421" w:type="dxa"/>
          </w:tcPr>
          <w:p w14:paraId="757EE1A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2"/>
              </w:rPr>
              <w:t>Forecast Error Variance Decomposition</w:t>
            </w:r>
          </w:p>
        </w:tc>
      </w:tr>
      <w:tr w:rsidR="00DE3F5D" w14:paraId="61E8E293" w14:textId="77777777" w:rsidTr="00DE3F5D">
        <w:tc>
          <w:tcPr>
            <w:cnfStyle w:val="001000000000" w:firstRow="0" w:lastRow="0" w:firstColumn="1" w:lastColumn="0" w:oddVBand="0" w:evenVBand="0" w:oddHBand="0" w:evenHBand="0" w:firstRowFirstColumn="0" w:firstRowLastColumn="0" w:lastRowFirstColumn="0" w:lastRowLastColumn="0"/>
            <w:tcW w:w="4421" w:type="dxa"/>
          </w:tcPr>
          <w:p w14:paraId="50CA6630" w14:textId="77777777" w:rsidR="00DE3F5D" w:rsidRDefault="00E96965">
            <w:r>
              <w:rPr>
                <w:sz w:val="22"/>
              </w:rPr>
              <w:t>FE</w:t>
            </w:r>
          </w:p>
        </w:tc>
        <w:tc>
          <w:tcPr>
            <w:tcW w:w="4421" w:type="dxa"/>
          </w:tcPr>
          <w:p w14:paraId="7FBF1DD8" w14:textId="77777777" w:rsidR="00DE3F5D" w:rsidRDefault="00E96965">
            <w:pPr>
              <w:cnfStyle w:val="000000000000" w:firstRow="0" w:lastRow="0" w:firstColumn="0" w:lastColumn="0" w:oddVBand="0" w:evenVBand="0" w:oddHBand="0" w:evenHBand="0" w:firstRowFirstColumn="0" w:firstRowLastColumn="0" w:lastRowFirstColumn="0" w:lastRowLastColumn="0"/>
            </w:pPr>
            <w:r>
              <w:rPr>
                <w:sz w:val="22"/>
              </w:rPr>
              <w:t>Fixed Effects (efectos fijos)</w:t>
            </w:r>
          </w:p>
        </w:tc>
      </w:tr>
      <w:tr w:rsidR="00DE3F5D" w14:paraId="457D3E10"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E490C07" w14:textId="77777777" w:rsidR="00DE3F5D" w:rsidRDefault="00E96965">
            <w:r>
              <w:rPr>
                <w:sz w:val="22"/>
              </w:rPr>
              <w:t>FRED</w:t>
            </w:r>
          </w:p>
        </w:tc>
        <w:tc>
          <w:tcPr>
            <w:tcW w:w="4421" w:type="dxa"/>
          </w:tcPr>
          <w:p w14:paraId="135F2E3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2"/>
              </w:rPr>
              <w:t>Federal Reserve Economic Data</w:t>
            </w:r>
          </w:p>
        </w:tc>
      </w:tr>
      <w:tr w:rsidR="00DE3F5D" w14:paraId="7B0CA084" w14:textId="77777777" w:rsidTr="00DE3F5D">
        <w:tc>
          <w:tcPr>
            <w:cnfStyle w:val="001000000000" w:firstRow="0" w:lastRow="0" w:firstColumn="1" w:lastColumn="0" w:oddVBand="0" w:evenVBand="0" w:oddHBand="0" w:evenHBand="0" w:firstRowFirstColumn="0" w:firstRowLastColumn="0" w:lastRowFirstColumn="0" w:lastRowLastColumn="0"/>
            <w:tcW w:w="4421" w:type="dxa"/>
          </w:tcPr>
          <w:p w14:paraId="70C2C13A" w14:textId="77777777" w:rsidR="00DE3F5D" w:rsidRDefault="00E96965">
            <w:r>
              <w:rPr>
                <w:sz w:val="22"/>
              </w:rPr>
              <w:t>IMACEC</w:t>
            </w:r>
          </w:p>
        </w:tc>
        <w:tc>
          <w:tcPr>
            <w:tcW w:w="4421" w:type="dxa"/>
          </w:tcPr>
          <w:p w14:paraId="7A7BD0F8" w14:textId="77777777" w:rsidR="00DE3F5D" w:rsidRDefault="00E96965">
            <w:pPr>
              <w:cnfStyle w:val="000000000000" w:firstRow="0" w:lastRow="0" w:firstColumn="0" w:lastColumn="0" w:oddVBand="0" w:evenVBand="0" w:oddHBand="0" w:evenHBand="0" w:firstRowFirstColumn="0" w:firstRowLastColumn="0" w:lastRowFirstColumn="0" w:lastRowLastColumn="0"/>
            </w:pPr>
            <w:r>
              <w:rPr>
                <w:sz w:val="22"/>
              </w:rPr>
              <w:t>Índice Mensual de Actividad Económica</w:t>
            </w:r>
          </w:p>
        </w:tc>
      </w:tr>
      <w:tr w:rsidR="00DE3F5D" w14:paraId="4B59C318"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E76F3D8" w14:textId="77777777" w:rsidR="00DE3F5D" w:rsidRDefault="00E96965">
            <w:r>
              <w:rPr>
                <w:sz w:val="22"/>
              </w:rPr>
              <w:t>IPSA</w:t>
            </w:r>
          </w:p>
        </w:tc>
        <w:tc>
          <w:tcPr>
            <w:tcW w:w="4421" w:type="dxa"/>
          </w:tcPr>
          <w:p w14:paraId="2475841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2"/>
              </w:rPr>
              <w:t>Índice de Precios Selectivo de Acciones</w:t>
            </w:r>
          </w:p>
        </w:tc>
      </w:tr>
      <w:tr w:rsidR="00DE3F5D" w14:paraId="4C0FDECF" w14:textId="77777777" w:rsidTr="00DE3F5D">
        <w:tc>
          <w:tcPr>
            <w:cnfStyle w:val="001000000000" w:firstRow="0" w:lastRow="0" w:firstColumn="1" w:lastColumn="0" w:oddVBand="0" w:evenVBand="0" w:oddHBand="0" w:evenHBand="0" w:firstRowFirstColumn="0" w:firstRowLastColumn="0" w:lastRowFirstColumn="0" w:lastRowLastColumn="0"/>
            <w:tcW w:w="4421" w:type="dxa"/>
          </w:tcPr>
          <w:p w14:paraId="4D9E4DE7" w14:textId="77777777" w:rsidR="00DE3F5D" w:rsidRDefault="00E96965">
            <w:r>
              <w:rPr>
                <w:sz w:val="22"/>
              </w:rPr>
              <w:t>KPSS</w:t>
            </w:r>
          </w:p>
        </w:tc>
        <w:tc>
          <w:tcPr>
            <w:tcW w:w="4421" w:type="dxa"/>
          </w:tcPr>
          <w:p w14:paraId="4D1F7D1F" w14:textId="77777777" w:rsidR="00DE3F5D" w:rsidRDefault="00E96965">
            <w:pPr>
              <w:cnfStyle w:val="000000000000" w:firstRow="0" w:lastRow="0" w:firstColumn="0" w:lastColumn="0" w:oddVBand="0" w:evenVBand="0" w:oddHBand="0" w:evenHBand="0" w:firstRowFirstColumn="0" w:firstRowLastColumn="0" w:lastRowFirstColumn="0" w:lastRowLastColumn="0"/>
            </w:pPr>
            <w:r>
              <w:rPr>
                <w:sz w:val="22"/>
              </w:rPr>
              <w:t>Kwiatkowski-Phillips-Schmidt-Shin (prueba de estacionariedad)</w:t>
            </w:r>
          </w:p>
        </w:tc>
      </w:tr>
      <w:tr w:rsidR="00DE3F5D" w14:paraId="2C483AF7"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7E38F28" w14:textId="77777777" w:rsidR="00DE3F5D" w:rsidRDefault="00E96965">
            <w:r>
              <w:rPr>
                <w:sz w:val="22"/>
              </w:rPr>
              <w:t>TPM</w:t>
            </w:r>
          </w:p>
        </w:tc>
        <w:tc>
          <w:tcPr>
            <w:tcW w:w="4421" w:type="dxa"/>
          </w:tcPr>
          <w:p w14:paraId="0FF7B0D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2"/>
              </w:rPr>
              <w:t>Tasa de Política Monetaria</w:t>
            </w:r>
          </w:p>
        </w:tc>
      </w:tr>
      <w:tr w:rsidR="00DE3F5D" w14:paraId="356ABFA2" w14:textId="77777777" w:rsidTr="00DE3F5D">
        <w:tc>
          <w:tcPr>
            <w:cnfStyle w:val="001000000000" w:firstRow="0" w:lastRow="0" w:firstColumn="1" w:lastColumn="0" w:oddVBand="0" w:evenVBand="0" w:oddHBand="0" w:evenHBand="0" w:firstRowFirstColumn="0" w:firstRowLastColumn="0" w:lastRowFirstColumn="0" w:lastRowLastColumn="0"/>
            <w:tcW w:w="4421" w:type="dxa"/>
          </w:tcPr>
          <w:p w14:paraId="6A0AF02B" w14:textId="77777777" w:rsidR="00DE3F5D" w:rsidRDefault="00E96965">
            <w:r>
              <w:rPr>
                <w:sz w:val="22"/>
              </w:rPr>
              <w:t>VAR</w:t>
            </w:r>
          </w:p>
        </w:tc>
        <w:tc>
          <w:tcPr>
            <w:tcW w:w="4421" w:type="dxa"/>
          </w:tcPr>
          <w:p w14:paraId="40AC84AD" w14:textId="77777777" w:rsidR="00DE3F5D" w:rsidRDefault="00E96965">
            <w:pPr>
              <w:cnfStyle w:val="000000000000" w:firstRow="0" w:lastRow="0" w:firstColumn="0" w:lastColumn="0" w:oddVBand="0" w:evenVBand="0" w:oddHBand="0" w:evenHBand="0" w:firstRowFirstColumn="0" w:firstRowLastColumn="0" w:lastRowFirstColumn="0" w:lastRowLastColumn="0"/>
            </w:pPr>
            <w:r>
              <w:rPr>
                <w:sz w:val="22"/>
              </w:rPr>
              <w:t>Vector Autoregression (vector autorregresivo)</w:t>
            </w:r>
          </w:p>
        </w:tc>
      </w:tr>
      <w:tr w:rsidR="00DE3F5D" w14:paraId="3BD90E6C"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5B467B13" w14:textId="77777777" w:rsidR="00DE3F5D" w:rsidRDefault="00E96965">
            <w:r>
              <w:rPr>
                <w:sz w:val="22"/>
              </w:rPr>
              <w:t>VECM</w:t>
            </w:r>
          </w:p>
        </w:tc>
        <w:tc>
          <w:tcPr>
            <w:tcW w:w="4421" w:type="dxa"/>
          </w:tcPr>
          <w:p w14:paraId="39EC5DD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2"/>
              </w:rPr>
              <w:t>Vector Error Correction Model</w:t>
            </w:r>
          </w:p>
        </w:tc>
      </w:tr>
      <w:tr w:rsidR="00DE3F5D" w14:paraId="13B7CDA1" w14:textId="77777777" w:rsidTr="00DE3F5D">
        <w:tc>
          <w:tcPr>
            <w:cnfStyle w:val="001000000000" w:firstRow="0" w:lastRow="0" w:firstColumn="1" w:lastColumn="0" w:oddVBand="0" w:evenVBand="0" w:oddHBand="0" w:evenHBand="0" w:firstRowFirstColumn="0" w:firstRowLastColumn="0" w:lastRowFirstColumn="0" w:lastRowLastColumn="0"/>
            <w:tcW w:w="4421" w:type="dxa"/>
          </w:tcPr>
          <w:p w14:paraId="110B0EBE" w14:textId="77777777" w:rsidR="00DE3F5D" w:rsidRDefault="00E96965">
            <w:r>
              <w:rPr>
                <w:sz w:val="22"/>
              </w:rPr>
              <w:t>VIX</w:t>
            </w:r>
          </w:p>
        </w:tc>
        <w:tc>
          <w:tcPr>
            <w:tcW w:w="4421" w:type="dxa"/>
          </w:tcPr>
          <w:p w14:paraId="704149C4" w14:textId="77777777" w:rsidR="00DE3F5D" w:rsidRDefault="00E96965">
            <w:pPr>
              <w:cnfStyle w:val="000000000000" w:firstRow="0" w:lastRow="0" w:firstColumn="0" w:lastColumn="0" w:oddVBand="0" w:evenVBand="0" w:oddHBand="0" w:evenHBand="0" w:firstRowFirstColumn="0" w:firstRowLastColumn="0" w:lastRowFirstColumn="0" w:lastRowLastColumn="0"/>
            </w:pPr>
            <w:r>
              <w:rPr>
                <w:sz w:val="22"/>
              </w:rPr>
              <w:t>CBOE Volatility Index</w:t>
            </w:r>
          </w:p>
        </w:tc>
      </w:tr>
    </w:tbl>
    <w:p w14:paraId="0D5862D9" w14:textId="77777777" w:rsidR="00DE3F5D" w:rsidRDefault="00DE3F5D">
      <w:pPr>
        <w:sectPr w:rsidR="00DE3F5D">
          <w:footerReference w:type="default" r:id="rId8"/>
          <w:pgSz w:w="12240" w:h="15840"/>
          <w:pgMar w:top="1440" w:right="1699" w:bottom="1440" w:left="1699" w:header="720" w:footer="720" w:gutter="0"/>
          <w:pgNumType w:fmt="lowerRoman" w:start="1"/>
          <w:cols w:space="720"/>
          <w:titlePg/>
          <w:docGrid w:linePitch="360"/>
        </w:sectPr>
      </w:pPr>
    </w:p>
    <w:p w14:paraId="12D4CBA4" w14:textId="77777777" w:rsidR="00DE3F5D" w:rsidRDefault="00E96965">
      <w:pPr>
        <w:pStyle w:val="Ttulo1"/>
      </w:pPr>
      <w:bookmarkStart w:id="10" w:name="_Toc231081539"/>
      <w:r>
        <w:lastRenderedPageBreak/>
        <w:t>Capítulo 1 — Introducción</w:t>
      </w:r>
      <w:bookmarkEnd w:id="10"/>
    </w:p>
    <w:p w14:paraId="08951DE3" w14:textId="77777777" w:rsidR="00DE3F5D" w:rsidRDefault="00E96965">
      <w:pPr>
        <w:pStyle w:val="Ttulo2"/>
      </w:pPr>
      <w:bookmarkStart w:id="11" w:name="_Toc231081540"/>
      <w:r>
        <w:t>1.1 Contextualización</w:t>
      </w:r>
      <w:bookmarkEnd w:id="11"/>
    </w:p>
    <w:p w14:paraId="5BA82FA1" w14:textId="77777777" w:rsidR="00DE3F5D" w:rsidRDefault="00E96965">
      <w:r>
        <w:t>El cobre ocupa un lugar estructural en la economía chilena. Chile es el principal productor</w:t>
      </w:r>
    </w:p>
    <w:p w14:paraId="5E382D18" w14:textId="77777777" w:rsidR="00DE3F5D" w:rsidRDefault="00E96965">
      <w:r>
        <w:t>mundial de cobre, y este metal representa una fracción central de sus exportaciones y un aporte</w:t>
      </w:r>
    </w:p>
    <w:p w14:paraId="2C26EA5B" w14:textId="77777777" w:rsidR="00DE3F5D" w:rsidRDefault="00E96965">
      <w:r>
        <w:t>significativo a los ingresos fiscales y al producto. [COMPLETAR: participación del cobre en las</w:t>
      </w:r>
    </w:p>
    <w:p w14:paraId="6BF96977" w14:textId="77777777" w:rsidR="00DE3F5D" w:rsidRDefault="00E96965">
      <w:r>
        <w:t>exportaciones totales y en el PIB, con cifra y año, fuente Cochilco / Banco Central de Chile.]</w:t>
      </w:r>
    </w:p>
    <w:p w14:paraId="5A4FF436" w14:textId="77777777" w:rsidR="00DE3F5D" w:rsidRDefault="00E96965">
      <w:r>
        <w:t>Esta dependencia convierte al precio del cobre en una variable macroeconómica de primer orden</w:t>
      </w:r>
    </w:p>
    <w:p w14:paraId="4858B0BB" w14:textId="77777777" w:rsidR="00DE3F5D" w:rsidRDefault="00E96965">
      <w:r>
        <w:t>para el país, con efectos documentados sobre el tipo de cambio, las cuentas externas y el ciclo</w:t>
      </w:r>
    </w:p>
    <w:p w14:paraId="0D80CC1B" w14:textId="77777777" w:rsidR="00DE3F5D" w:rsidRDefault="00E96965">
      <w:r>
        <w:t>económico nacional.</w:t>
      </w:r>
    </w:p>
    <w:p w14:paraId="2122D6F1" w14:textId="77777777" w:rsidR="00DE3F5D" w:rsidRDefault="00E96965">
      <w:r>
        <w:t>En el plano financiero, las empresas dedicadas a la extracción y procesamiento de cobre</w:t>
      </w:r>
    </w:p>
    <w:p w14:paraId="509C98B1" w14:textId="77777777" w:rsidR="00DE3F5D" w:rsidRDefault="00E96965">
      <w:r>
        <w:t>constituyen un sector cuya valoración bursátil está, en principio, estrechamente ligada a la</w:t>
      </w:r>
    </w:p>
    <w:p w14:paraId="229AA089" w14:textId="77777777" w:rsidR="00DE3F5D" w:rsidRDefault="00E96965">
      <w:r>
        <w:t>evolución del precio del metal y a las condiciones macroeconómicas globales y locales. Sin</w:t>
      </w:r>
    </w:p>
    <w:p w14:paraId="210D6045" w14:textId="77777777" w:rsidR="00DE3F5D" w:rsidRDefault="00E96965">
      <w:r>
        <w:t>embargo, la magnitud, el signo y la estabilidad de esa relación no son evidentes a priori:</w:t>
      </w:r>
    </w:p>
    <w:p w14:paraId="1932E8E5" w14:textId="77777777" w:rsidR="00DE3F5D" w:rsidRDefault="00E96965">
      <w:r>
        <w:t>dependen de la estructura de ingresos y costos de las empresas, de su exposición cambiaria, del</w:t>
      </w:r>
    </w:p>
    <w:p w14:paraId="511D6B03" w14:textId="77777777" w:rsidR="00DE3F5D" w:rsidRDefault="00E96965">
      <w:r>
        <w:t>entorno de tasas de interés y del apetito por riesgo de los mercados internacionales. Cuantificar</w:t>
      </w:r>
    </w:p>
    <w:p w14:paraId="709F396A" w14:textId="77777777" w:rsidR="00DE3F5D" w:rsidRDefault="00E96965">
      <w:r>
        <w:t>empíricamente esta relación, para el caso específico de las empresas de minería de cobre con</w:t>
      </w:r>
    </w:p>
    <w:p w14:paraId="276A83DB" w14:textId="77777777" w:rsidR="00DE3F5D" w:rsidRDefault="00E96965">
      <w:r>
        <w:t>exposición a Chile, es el propósito de esta investigación.</w:t>
      </w:r>
    </w:p>
    <w:p w14:paraId="3C513536" w14:textId="77777777" w:rsidR="00DE3F5D" w:rsidRDefault="00E96965">
      <w:pPr>
        <w:pStyle w:val="Ttulo2"/>
      </w:pPr>
      <w:bookmarkStart w:id="12" w:name="_Toc231081541"/>
      <w:r>
        <w:lastRenderedPageBreak/>
        <w:t>1.2 Problema de investigación y justificación</w:t>
      </w:r>
      <w:bookmarkEnd w:id="12"/>
    </w:p>
    <w:p w14:paraId="12732B7E" w14:textId="77777777" w:rsidR="00DE3F5D" w:rsidRDefault="00E96965">
      <w:r>
        <w:t>La literatura financiera ha establecido que las variables macroeconómicas constituyen factores</w:t>
      </w:r>
    </w:p>
    <w:p w14:paraId="67583033" w14:textId="77777777" w:rsidR="00DE3F5D" w:rsidRDefault="00E96965">
      <w:r>
        <w:t>de riesgo sistemático que afectan los retornos accionarios. No obstante, la mayor parte de la</w:t>
      </w:r>
    </w:p>
    <w:p w14:paraId="3D3E13E8" w14:textId="77777777" w:rsidR="00DE3F5D" w:rsidRDefault="00E96965">
      <w:r>
        <w:t>evidencia se concentra en mercados desarrollados, en índices agregados y, en el ámbito de los</w:t>
      </w:r>
    </w:p>
    <w:p w14:paraId="118E7D08" w14:textId="77777777" w:rsidR="00DE3F5D" w:rsidRDefault="00E96965">
      <w:r>
        <w:t>commodities, en el sector energético. Para el caso chileno, si bien existe evidencia que vincula</w:t>
      </w:r>
    </w:p>
    <w:p w14:paraId="225F55E7" w14:textId="77777777" w:rsidR="00DE3F5D" w:rsidRDefault="00E96965">
      <w:r>
        <w:t>el precio del cobre con variables macroeconómicas agregadas como el tipo de cambio y el</w:t>
      </w:r>
    </w:p>
    <w:p w14:paraId="3E6F4906" w14:textId="77777777" w:rsidR="00DE3F5D" w:rsidRDefault="00E96965">
      <w:r>
        <w:t>crecimiento, son escasos los estudios que analizan su impacto sobre la **valoración bursátil de</w:t>
      </w:r>
    </w:p>
    <w:p w14:paraId="4E51374E" w14:textId="77777777" w:rsidR="00DE3F5D" w:rsidRDefault="00E96965">
      <w:r>
        <w:t>las propias empresas mineras**, y prácticamente inexistentes los que evalúan si dicho impacto es</w:t>
      </w:r>
    </w:p>
    <w:p w14:paraId="1CC39A28" w14:textId="77777777" w:rsidR="00DE3F5D" w:rsidRDefault="00E96965">
      <w:r>
        <w:rPr>
          <w:b/>
        </w:rPr>
        <w:t>estable a lo largo de las distintas fases del ciclo del precio del cobre</w:t>
      </w:r>
      <w:r>
        <w:t>.</w:t>
      </w:r>
    </w:p>
    <w:p w14:paraId="16FDBCD0" w14:textId="77777777" w:rsidR="00DE3F5D" w:rsidRDefault="00E96965">
      <w:r>
        <w:t xml:space="preserve">Este vacío es relevante por tres razones. Primero, desde la perspectiva de los </w:t>
      </w:r>
      <w:r>
        <w:rPr>
          <w:b/>
        </w:rPr>
        <w:t>inversionistas</w:t>
      </w:r>
      <w:r>
        <w:t>,</w:t>
      </w:r>
    </w:p>
    <w:p w14:paraId="1F412798" w14:textId="77777777" w:rsidR="00DE3F5D" w:rsidRDefault="00E96965">
      <w:r>
        <w:t>comprender qué factores mueven los retornos del sector y con qué intensidad es esencial para la</w:t>
      </w:r>
    </w:p>
    <w:p w14:paraId="2198B641" w14:textId="77777777" w:rsidR="00DE3F5D" w:rsidRDefault="00E96965">
      <w:r>
        <w:t>valoración y la gestión de riesgos. Segundo, desde la perspectiva de la **política y la gestión</w:t>
      </w:r>
    </w:p>
    <w:p w14:paraId="7A94B2C0" w14:textId="77777777" w:rsidR="00DE3F5D" w:rsidRDefault="00E96965">
      <w:r>
        <w:t xml:space="preserve">empresarial**, </w:t>
      </w:r>
      <w:r>
        <w:t>identificar la sensibilidad del valor de las empresas a shocks macroeconómicos</w:t>
      </w:r>
    </w:p>
    <w:p w14:paraId="359A7978" w14:textId="77777777" w:rsidR="00DE3F5D" w:rsidRDefault="00E96965">
      <w:r>
        <w:t xml:space="preserve">informa decisiones de cobertura y planificación. Tercero, desde la perspectiva </w:t>
      </w:r>
      <w:r>
        <w:rPr>
          <w:b/>
        </w:rPr>
        <w:t>académica</w:t>
      </w:r>
      <w:r>
        <w:t>, el</w:t>
      </w:r>
    </w:p>
    <w:p w14:paraId="0232C50B" w14:textId="77777777" w:rsidR="00DE3F5D" w:rsidRDefault="00E96965">
      <w:r>
        <w:t>caso chileno ofrece un laboratorio natural para estudiar la transmisión de un precio de commodity</w:t>
      </w:r>
    </w:p>
    <w:p w14:paraId="70BDDF4E" w14:textId="77777777" w:rsidR="00DE3F5D" w:rsidRDefault="00E96965">
      <w:r>
        <w:t>a la valoración de empresas en una economía pequeña, abierta y exportadora.</w:t>
      </w:r>
    </w:p>
    <w:p w14:paraId="3F2CA8E7" w14:textId="77777777" w:rsidR="00DE3F5D" w:rsidRDefault="00E96965">
      <w:pPr>
        <w:pStyle w:val="Ttulo2"/>
      </w:pPr>
      <w:bookmarkStart w:id="13" w:name="_Toc231081542"/>
      <w:r>
        <w:lastRenderedPageBreak/>
        <w:t>1.3 Pregunta y objetivos de investigación</w:t>
      </w:r>
      <w:bookmarkEnd w:id="13"/>
    </w:p>
    <w:p w14:paraId="2F58702C" w14:textId="77777777" w:rsidR="00DE3F5D" w:rsidRDefault="00E96965">
      <w:r>
        <w:rPr>
          <w:b/>
        </w:rPr>
        <w:t>Pregunta general.</w:t>
      </w:r>
      <w:r>
        <w:t xml:space="preserve"> ¿Cuál es el impacto de las variables macroeconómicas globales y nacionales</w:t>
      </w:r>
    </w:p>
    <w:p w14:paraId="6ED4220C" w14:textId="77777777" w:rsidR="00DE3F5D" w:rsidRDefault="00E96965">
      <w:r>
        <w:t>sobre los retornos accionarios de las empresas de cobre con exposición a Chile; es dicho impacto</w:t>
      </w:r>
    </w:p>
    <w:p w14:paraId="5B2B0CEF" w14:textId="77777777" w:rsidR="00DE3F5D" w:rsidRDefault="00E96965">
      <w:r>
        <w:t>estable a lo largo de las fases del ciclo del precio del cobre; y se transmite de manera</w:t>
      </w:r>
    </w:p>
    <w:p w14:paraId="1D9C204B" w14:textId="77777777" w:rsidR="00DE3F5D" w:rsidRDefault="00E96965">
      <w:r>
        <w:t xml:space="preserve">diferenciada en el </w:t>
      </w:r>
      <w:r>
        <w:rPr>
          <w:b/>
        </w:rPr>
        <w:t>mercado bursátil internacional</w:t>
      </w:r>
      <w:r>
        <w:t xml:space="preserve"> frente al </w:t>
      </w:r>
      <w:r>
        <w:rPr>
          <w:b/>
        </w:rPr>
        <w:t>chileno</w:t>
      </w:r>
      <w:r>
        <w:t>?</w:t>
      </w:r>
    </w:p>
    <w:p w14:paraId="098F8D34" w14:textId="77777777" w:rsidR="00DE3F5D" w:rsidRDefault="00E96965">
      <w:r>
        <w:rPr>
          <w:b/>
        </w:rPr>
        <w:t>Objetivo general.</w:t>
      </w:r>
      <w:r>
        <w:t xml:space="preserve"> Cuantificar y comparar el impacto de las variables macroeconómicas globales</w:t>
      </w:r>
    </w:p>
    <w:p w14:paraId="6328C0F5" w14:textId="77777777" w:rsidR="00DE3F5D" w:rsidRDefault="00E96965">
      <w:r>
        <w:t>y nacionales sobre los retornos accionarios de las empresas de cobre con exposición a Chile</w:t>
      </w:r>
    </w:p>
    <w:p w14:paraId="2D7F5245" w14:textId="77777777" w:rsidR="00DE3F5D" w:rsidRDefault="00E96965">
      <w:r>
        <w:t>durante el período 2004–2024, contrastando su transmisión entre el mercado bursátil internacional</w:t>
      </w:r>
    </w:p>
    <w:p w14:paraId="0883DDB0" w14:textId="77777777" w:rsidR="00DE3F5D" w:rsidRDefault="00E96965">
      <w:r>
        <w:t>y el chileno, mediante modelos econométricos de series de tiempo y datos de panel.</w:t>
      </w:r>
    </w:p>
    <w:p w14:paraId="45DC5A64" w14:textId="77777777" w:rsidR="00DE3F5D" w:rsidRDefault="00E96965">
      <w:r>
        <w:t>*(La estabilidad de las relaciones a lo largo de las fases del ciclo del cobre y la comparación</w:t>
      </w:r>
    </w:p>
    <w:p w14:paraId="318483AC" w14:textId="77777777" w:rsidR="00DE3F5D" w:rsidRDefault="00E96965">
      <w:r>
        <w:t>entre mercados se desarrollan como objetivos específicos OE5 y OE6.)*</w:t>
      </w:r>
    </w:p>
    <w:p w14:paraId="43BC330D" w14:textId="77777777" w:rsidR="00DE3F5D" w:rsidRDefault="00E96965">
      <w:r>
        <w:rPr>
          <w:b/>
        </w:rPr>
        <w:t>Objetivos específicos.</w:t>
      </w:r>
    </w:p>
    <w:p w14:paraId="25FF6433" w14:textId="77777777" w:rsidR="00DE3F5D" w:rsidRDefault="00E96965">
      <w:pPr>
        <w:pStyle w:val="Listaconnmeros"/>
      </w:pPr>
      <w:r>
        <w:t>Caracterizar las propiedades estadísticas de las series de retornos y de las variables</w:t>
      </w:r>
    </w:p>
    <w:p w14:paraId="51B3B046" w14:textId="77777777" w:rsidR="00DE3F5D" w:rsidRDefault="00E96965">
      <w:r>
        <w:t xml:space="preserve">   explicativas (estacionariedad, volatilidad y quiebres estructurales).</w:t>
      </w:r>
    </w:p>
    <w:p w14:paraId="757E4CA9" w14:textId="77777777" w:rsidR="00DE3F5D" w:rsidRDefault="00E96965">
      <w:pPr>
        <w:pStyle w:val="Listaconnmeros"/>
      </w:pPr>
      <w:r>
        <w:t>Estimar la sensibilidad de los retornos a las variables macro-financieras, distinguiendo</w:t>
      </w:r>
    </w:p>
    <w:p w14:paraId="094FEA6E" w14:textId="77777777" w:rsidR="00DE3F5D" w:rsidRDefault="00E96965">
      <w:r>
        <w:t xml:space="preserve">   factores globales de locales.</w:t>
      </w:r>
    </w:p>
    <w:p w14:paraId="59E13B53" w14:textId="77777777" w:rsidR="00DE3F5D" w:rsidRDefault="00E96965">
      <w:pPr>
        <w:pStyle w:val="Listaconnmeros"/>
      </w:pPr>
      <w:r>
        <w:t>Determinar la existencia de relaciones de equilibrio de largo plazo y dinámicas de corto plazo</w:t>
      </w:r>
    </w:p>
    <w:p w14:paraId="30ADD64A" w14:textId="77777777" w:rsidR="00DE3F5D" w:rsidRDefault="00E96965">
      <w:r>
        <w:t xml:space="preserve">   entre el valor bursátil del sector y sus determinantes macroeconómicos.</w:t>
      </w:r>
    </w:p>
    <w:p w14:paraId="1802A762" w14:textId="77777777" w:rsidR="00DE3F5D" w:rsidRDefault="00E96965">
      <w:pPr>
        <w:pStyle w:val="Listaconnmeros"/>
      </w:pPr>
      <w:r>
        <w:t>Cuantificar la respuesta dinámica de los retornos ante shocks en las variables macro clave.</w:t>
      </w:r>
    </w:p>
    <w:p w14:paraId="38DC0D8E" w14:textId="77777777" w:rsidR="00DE3F5D" w:rsidRDefault="00E96965">
      <w:pPr>
        <w:pStyle w:val="Listaconnmeros"/>
      </w:pPr>
      <w:r>
        <w:lastRenderedPageBreak/>
        <w:t>Evaluar la estabilidad de estas relaciones a lo largo de las fases del ciclo del precio del</w:t>
      </w:r>
    </w:p>
    <w:p w14:paraId="6D00C7D7" w14:textId="77777777" w:rsidR="00DE3F5D" w:rsidRDefault="00E96965">
      <w:r>
        <w:t xml:space="preserve">   cobre.</w:t>
      </w:r>
    </w:p>
    <w:p w14:paraId="51FF7957" w14:textId="77777777" w:rsidR="00DE3F5D" w:rsidRDefault="00E96965">
      <w:pPr>
        <w:pStyle w:val="Listaconnmeros"/>
      </w:pPr>
      <w:r>
        <w:t>Comparar la transmisión del impacto macroeconómico entre el mercado bursátil global y el</w:t>
      </w:r>
    </w:p>
    <w:p w14:paraId="50DEF0B8" w14:textId="77777777" w:rsidR="00DE3F5D" w:rsidRDefault="00E96965">
      <w:r>
        <w:t xml:space="preserve">   mercado bursátil chileno.</w:t>
      </w:r>
    </w:p>
    <w:p w14:paraId="13C5B530" w14:textId="77777777" w:rsidR="00DE3F5D" w:rsidRDefault="00E96965">
      <w:r>
        <w:t>*(Las preguntas específicas PI1–PI6 y las hipótesis H1–H7 se presentan en el Capítulo 2 y se</w:t>
      </w:r>
    </w:p>
    <w:p w14:paraId="22C4ACF5" w14:textId="77777777" w:rsidR="00DE3F5D" w:rsidRDefault="00E96965">
      <w:r>
        <w:t>sintetizan en la matriz de consistencia.)*</w:t>
      </w:r>
    </w:p>
    <w:p w14:paraId="6E2C0785" w14:textId="77777777" w:rsidR="00DE3F5D" w:rsidRDefault="00E96965">
      <w:pPr>
        <w:pStyle w:val="Ttulo2"/>
      </w:pPr>
      <w:bookmarkStart w:id="14" w:name="_Toc231081543"/>
      <w:r>
        <w:t>1.4 Hipótesis general</w:t>
      </w:r>
      <w:bookmarkEnd w:id="14"/>
    </w:p>
    <w:p w14:paraId="2A297553" w14:textId="77777777" w:rsidR="00DE3F5D" w:rsidRDefault="00E96965">
      <w:r>
        <w:t xml:space="preserve">Se postula que el precio del cobre constituye el principal </w:t>
      </w:r>
      <w:r>
        <w:t>determinante de los retornos del</w:t>
      </w:r>
    </w:p>
    <w:p w14:paraId="1386BC4F" w14:textId="77777777" w:rsidR="00DE3F5D" w:rsidRDefault="00E96965">
      <w:r>
        <w:t>sector, con un efecto positivo y significativo; que los factores globales predominan sobre los</w:t>
      </w:r>
    </w:p>
    <w:p w14:paraId="32F2DD4B" w14:textId="77777777" w:rsidR="00DE3F5D" w:rsidRDefault="00E96965">
      <w:r>
        <w:t>locales en la explicación de la varianza de los retornos; que la sensibilidad de los retornos a</w:t>
      </w:r>
    </w:p>
    <w:p w14:paraId="2A2061BC" w14:textId="77777777" w:rsidR="00DE3F5D" w:rsidRDefault="00E96965">
      <w:r>
        <w:t>los factores macroeconómicos varía según la fase del ciclo del cobre; y que el mercado bursátil</w:t>
      </w:r>
    </w:p>
    <w:p w14:paraId="37523AD2" w14:textId="77777777" w:rsidR="00DE3F5D" w:rsidRDefault="00E96965">
      <w:r>
        <w:t>global incorpora los shocks del cobre de forma más rápida y completa que el mercado chileno. El</w:t>
      </w:r>
    </w:p>
    <w:p w14:paraId="68A755BD" w14:textId="77777777" w:rsidR="00DE3F5D" w:rsidRDefault="00E96965">
      <w:r>
        <w:t>detalle y el sustento teórico de cada hipótesis se desarrollan en el Capítulo 2.</w:t>
      </w:r>
    </w:p>
    <w:p w14:paraId="7691307D" w14:textId="77777777" w:rsidR="00DE3F5D" w:rsidRDefault="00E96965">
      <w:pPr>
        <w:pStyle w:val="Ttulo2"/>
      </w:pPr>
      <w:bookmarkStart w:id="15" w:name="_Toc231081544"/>
      <w:r>
        <w:t>1.5 Aspectos metodológicos y alcance</w:t>
      </w:r>
      <w:bookmarkEnd w:id="15"/>
    </w:p>
    <w:p w14:paraId="3AFE1CC7" w14:textId="77777777" w:rsidR="00DE3F5D" w:rsidRDefault="00E96965">
      <w:r>
        <w:t xml:space="preserve">La investigación adopta un enfoque </w:t>
      </w:r>
      <w:r>
        <w:rPr>
          <w:b/>
        </w:rPr>
        <w:t>explicativo y de medición de impacto</w:t>
      </w:r>
      <w:r>
        <w:t>, no predictivo,</w:t>
      </w:r>
    </w:p>
    <w:p w14:paraId="41A2D163" w14:textId="77777777" w:rsidR="00DE3F5D" w:rsidRDefault="00E96965">
      <w:r>
        <w:t>empleando herramientas de econometría de series de tiempo y datos de panel. El universo de</w:t>
      </w:r>
    </w:p>
    <w:p w14:paraId="1E47ADAA" w14:textId="77777777" w:rsidR="00DE3F5D" w:rsidRDefault="00E96965">
      <w:r>
        <w:t xml:space="preserve">estudio se organiza bajo un </w:t>
      </w:r>
      <w:r>
        <w:rPr>
          <w:b/>
        </w:rPr>
        <w:t>diseño de triangulación por tres muestras</w:t>
      </w:r>
      <w:r>
        <w:t>: empresas de cobre que</w:t>
      </w:r>
    </w:p>
    <w:p w14:paraId="3EDE1F69" w14:textId="77777777" w:rsidR="00DE3F5D" w:rsidRDefault="00E96965">
      <w:r>
        <w:t>cotizan en el mercado global con operación en Chile (muestra B), empresas de extracción de cobre</w:t>
      </w:r>
    </w:p>
    <w:p w14:paraId="6A67D203" w14:textId="77777777" w:rsidR="00DE3F5D" w:rsidRDefault="00E96965">
      <w:r>
        <w:lastRenderedPageBreak/>
        <w:t>que cotizan en el mercado chileno (muestra A) y el sector minero cotizado en el mercado chileno</w:t>
      </w:r>
    </w:p>
    <w:p w14:paraId="2BF0B93F" w14:textId="77777777" w:rsidR="00DE3F5D" w:rsidRDefault="00E96965">
      <w:r>
        <w:t>(muestra C). La comparación de los resultados entre las tres muestras permite contrastar si el</w:t>
      </w:r>
    </w:p>
    <w:p w14:paraId="4CFF7EE7" w14:textId="77777777" w:rsidR="00DE3F5D" w:rsidRDefault="00E96965">
      <w:r>
        <w:t>mercado global y el chileno precian de manera diferenciada los shocks macroeconómicos. El período</w:t>
      </w:r>
    </w:p>
    <w:p w14:paraId="00B435AB" w14:textId="77777777" w:rsidR="00DE3F5D" w:rsidRDefault="00E96965">
      <w:r>
        <w:t>de estudio abarca 2004–2024 con frecuencia mensual, cubriendo al menos un ciclo completo del</w:t>
      </w:r>
    </w:p>
    <w:p w14:paraId="1C7B9B1E" w14:textId="77777777" w:rsidR="00DE3F5D" w:rsidRDefault="00E96965">
      <w:r>
        <w:t>precio del cobre. El análisis se implementa en Python.</w:t>
      </w:r>
    </w:p>
    <w:p w14:paraId="4CFA9801" w14:textId="77777777" w:rsidR="00DE3F5D" w:rsidRDefault="00E96965">
      <w:r>
        <w:t xml:space="preserve">Entre las </w:t>
      </w:r>
      <w:r>
        <w:rPr>
          <w:b/>
        </w:rPr>
        <w:t>limitaciones</w:t>
      </w:r>
      <w:r>
        <w:t xml:space="preserve"> del estudio cabe anticipar el reducido número de empresas de cobre</w:t>
      </w:r>
    </w:p>
    <w:p w14:paraId="44A635FE" w14:textId="77777777" w:rsidR="00DE3F5D" w:rsidRDefault="00E96965">
      <w:r>
        <w:t>puro cotizadas con exposición a Chile, la heterogeneidad de los mercados en que transan y la</w:t>
      </w:r>
    </w:p>
    <w:p w14:paraId="37722857" w14:textId="77777777" w:rsidR="00DE3F5D" w:rsidRDefault="00E96965">
      <w:r>
        <w:t>disponibilidad de algunas series macroeconómicas locales, aspectos que se abordan explícitamente</w:t>
      </w:r>
    </w:p>
    <w:p w14:paraId="31826DFE" w14:textId="77777777" w:rsidR="00DE3F5D" w:rsidRDefault="00E96965">
      <w:r>
        <w:t>en el diseño metodológico (Capítulo 3).</w:t>
      </w:r>
    </w:p>
    <w:p w14:paraId="73C281B0" w14:textId="77777777" w:rsidR="00DE3F5D" w:rsidRDefault="00E96965">
      <w:pPr>
        <w:pStyle w:val="Ttulo2"/>
      </w:pPr>
      <w:bookmarkStart w:id="16" w:name="_Toc231081545"/>
      <w:r>
        <w:t>1.6 Aportes esperados</w:t>
      </w:r>
      <w:bookmarkEnd w:id="16"/>
    </w:p>
    <w:p w14:paraId="07F623AB" w14:textId="77777777" w:rsidR="00DE3F5D" w:rsidRDefault="00E96965">
      <w:r>
        <w:t>El principal aporte de esta tesis es proporcionar evidencia empírica cuantitativa sobre los</w:t>
      </w:r>
    </w:p>
    <w:p w14:paraId="08C30BCD" w14:textId="77777777" w:rsidR="00DE3F5D" w:rsidRDefault="00E96965">
      <w:r>
        <w:t>determinantes macroeconómicos de la valoración bursátil del sector de minería de cobre en Chile,</w:t>
      </w:r>
    </w:p>
    <w:p w14:paraId="3DA85F2F" w14:textId="77777777" w:rsidR="00DE3F5D" w:rsidRDefault="00E96965">
      <w:r>
        <w:t>integrando en un mismo marco la medición de sensibilidad, el análisis de largo plazo, la dinámica</w:t>
      </w:r>
    </w:p>
    <w:p w14:paraId="7F587240" w14:textId="77777777" w:rsidR="00DE3F5D" w:rsidRDefault="00E96965">
      <w:r>
        <w:t>de shocks y la evaluación de la estabilidad de estas relaciones según la fase del ciclo del cobre.</w:t>
      </w:r>
    </w:p>
    <w:p w14:paraId="7F23FBD4" w14:textId="77777777" w:rsidR="00DE3F5D" w:rsidRDefault="00E96965">
      <w:r>
        <w:t>De manera distintiva, el diseño de triangulación por tres muestras permite **comparar cómo el</w:t>
      </w:r>
    </w:p>
    <w:p w14:paraId="2280FA84" w14:textId="77777777" w:rsidR="00DE3F5D" w:rsidRDefault="00E96965">
      <w:r>
        <w:t>mercado bursátil global y el mercado bursátil chileno incorporan los shocks macroeconómicos**</w:t>
      </w:r>
    </w:p>
    <w:p w14:paraId="49174F3A" w14:textId="77777777" w:rsidR="00DE3F5D" w:rsidRDefault="00E96965">
      <w:r>
        <w:lastRenderedPageBreak/>
        <w:t xml:space="preserve">sobre las mismas materias primas, </w:t>
      </w:r>
      <w:r>
        <w:t>conectando la evidencia con la literatura sobre eficiencia</w:t>
      </w:r>
    </w:p>
    <w:p w14:paraId="1E474388" w14:textId="77777777" w:rsidR="00DE3F5D" w:rsidRDefault="00E96965">
      <w:r>
        <w:t>informacional y segmentación de mercados —un ángulo escasamente explorado para el caso chileno.</w:t>
      </w:r>
    </w:p>
    <w:p w14:paraId="2EF67B9E" w14:textId="77777777" w:rsidR="00DE3F5D" w:rsidRDefault="00E96965">
      <w:pPr>
        <w:pStyle w:val="Ttulo2"/>
      </w:pPr>
      <w:bookmarkStart w:id="17" w:name="_Toc231081546"/>
      <w:r>
        <w:t>1.7 Estructura de la tesis</w:t>
      </w:r>
      <w:bookmarkEnd w:id="17"/>
    </w:p>
    <w:p w14:paraId="40F1339E" w14:textId="77777777" w:rsidR="00DE3F5D" w:rsidRDefault="00E96965">
      <w:r>
        <w:t xml:space="preserve">El resto del documento se organiza como sigue. El Capítulo 2 </w:t>
      </w:r>
      <w:r>
        <w:t>presenta el marco teórico y la</w:t>
      </w:r>
    </w:p>
    <w:p w14:paraId="0055F85D" w14:textId="77777777" w:rsidR="00DE3F5D" w:rsidRDefault="00E96965">
      <w:r>
        <w:t>revisión de literatura, junto con las hipótesis. El Capítulo 3 describe los datos, su tratamiento</w:t>
      </w:r>
    </w:p>
    <w:p w14:paraId="7D25B197" w14:textId="77777777" w:rsidR="00DE3F5D" w:rsidRDefault="00E96965">
      <w:r>
        <w:t>y la estrategia econométrica. El Capítulo 4 expone y discute los resultados, organizados por</w:t>
      </w:r>
    </w:p>
    <w:p w14:paraId="2A1AFBB3" w14:textId="77777777" w:rsidR="00DE3F5D" w:rsidRDefault="00E96965">
      <w:r>
        <w:t>objetivo específico. El Capítulo 5 concluye, sintetizando los hallazgos, sus implicancias, las</w:t>
      </w:r>
    </w:p>
    <w:p w14:paraId="6836BE0B" w14:textId="77777777" w:rsidR="00DE3F5D" w:rsidRDefault="00E96965">
      <w:r>
        <w:t>limitaciones del estudio y las líneas futuras de investigación.</w:t>
      </w:r>
    </w:p>
    <w:p w14:paraId="172598CB" w14:textId="77777777" w:rsidR="00DE3F5D" w:rsidRDefault="00E96965">
      <w:r>
        <w:br w:type="page"/>
      </w:r>
    </w:p>
    <w:p w14:paraId="186373B3" w14:textId="77777777" w:rsidR="00DE3F5D" w:rsidRDefault="00E96965">
      <w:pPr>
        <w:pStyle w:val="Ttulo1"/>
      </w:pPr>
      <w:bookmarkStart w:id="18" w:name="_Toc231081547"/>
      <w:r>
        <w:lastRenderedPageBreak/>
        <w:t>Capítulo 2 — Marco teórico y revisión de literatura</w:t>
      </w:r>
      <w:bookmarkEnd w:id="18"/>
    </w:p>
    <w:p w14:paraId="3A5A463C" w14:textId="77777777" w:rsidR="00DE3F5D" w:rsidRDefault="00E96965">
      <w:pPr>
        <w:pStyle w:val="Ttulo2"/>
      </w:pPr>
      <w:bookmarkStart w:id="19" w:name="_Toc231081548"/>
      <w:r>
        <w:t>2.1 Determinantes macroeconómicos de los retornos accionarios</w:t>
      </w:r>
      <w:bookmarkEnd w:id="19"/>
    </w:p>
    <w:p w14:paraId="34454C15" w14:textId="77777777" w:rsidR="00DE3F5D" w:rsidRDefault="00E96965">
      <w:r>
        <w:t>La relación entre las condiciones macroeconómicas y la valoración de los activos financieros</w:t>
      </w:r>
    </w:p>
    <w:p w14:paraId="618484C3" w14:textId="77777777" w:rsidR="00DE3F5D" w:rsidRDefault="00E96965">
      <w:r>
        <w:t>constituye un eje central de la economía financiera. El marco de referencia es la **Teoría de</w:t>
      </w:r>
    </w:p>
    <w:p w14:paraId="33E62374" w14:textId="77777777" w:rsidR="00DE3F5D" w:rsidRDefault="00E96965">
      <w:r>
        <w:t>Valoración por Arbitraje** (Arbitrage Pricing Theory, APT) de Ross (1976), que postula que el</w:t>
      </w:r>
    </w:p>
    <w:p w14:paraId="1EEAE139" w14:textId="77777777" w:rsidR="00DE3F5D" w:rsidRDefault="00E96965">
      <w:r>
        <w:t>retorno esperado de un activo se explica por su exposición a un conjunto de factores de riesgo</w:t>
      </w:r>
    </w:p>
    <w:p w14:paraId="33CF1782" w14:textId="77777777" w:rsidR="00DE3F5D" w:rsidRDefault="00E96965">
      <w:r>
        <w:t>sistemáticos, sin restringirse a un único factor de mercado como en el CAPM. Bajo este marco,</w:t>
      </w:r>
    </w:p>
    <w:p w14:paraId="2AC59ADD" w14:textId="77777777" w:rsidR="00DE3F5D" w:rsidRDefault="00E96965">
      <w:r>
        <w:t>las variables macroeconómicas son candidatas naturales a factores de riesgo, en la medida en</w:t>
      </w:r>
    </w:p>
    <w:p w14:paraId="79D2D272" w14:textId="77777777" w:rsidR="00DE3F5D" w:rsidRDefault="00E96965">
      <w:r>
        <w:t>que afectan de manera no diversificable los flujos de caja futuros de las empresas y la tasa a</w:t>
      </w:r>
    </w:p>
    <w:p w14:paraId="27E0482A" w14:textId="77777777" w:rsidR="00DE3F5D" w:rsidRDefault="00E96965">
      <w:r>
        <w:t>la que estos se descuentan.</w:t>
      </w:r>
    </w:p>
    <w:p w14:paraId="623D4AB3" w14:textId="77777777" w:rsidR="00DE3F5D" w:rsidRDefault="00E96965">
      <w:r>
        <w:t>La operacionalización empírica más influyente de esta idea es la de Chen, Roll y Ross (1986),</w:t>
      </w:r>
    </w:p>
    <w:p w14:paraId="64678DE4" w14:textId="77777777" w:rsidR="00DE3F5D" w:rsidRDefault="00E96965">
      <w:r>
        <w:t>quienes muestran que un conjunto de fuerzas económicas —la producción industrial, los cambios</w:t>
      </w:r>
    </w:p>
    <w:p w14:paraId="73BB4E00" w14:textId="77777777" w:rsidR="00DE3F5D" w:rsidRDefault="00E96965">
      <w:r>
        <w:t>en la prima de riesgo, la estructura temporal de tasas y la inflación no anticipada— se</w:t>
      </w:r>
    </w:p>
    <w:p w14:paraId="73AC3E99" w14:textId="77777777" w:rsidR="00DE3F5D" w:rsidRDefault="00E96965">
      <w:r>
        <w:t>encuentran sistemáticamente asociadas a los retornos accionarios. En la misma línea, Fama</w:t>
      </w:r>
    </w:p>
    <w:p w14:paraId="31EA634D" w14:textId="77777777" w:rsidR="00DE3F5D" w:rsidRDefault="00E96965">
      <w:r>
        <w:t>(1981) documenta el vínculo entre la actividad real y los retornos, y Fama y French (1989)</w:t>
      </w:r>
    </w:p>
    <w:p w14:paraId="07F05439" w14:textId="77777777" w:rsidR="00DE3F5D" w:rsidRDefault="00E96965">
      <w:r>
        <w:t>identifican variables de estado macro-financieras con capacidad de explicar la variación de</w:t>
      </w:r>
    </w:p>
    <w:p w14:paraId="29DBBA9E" w14:textId="77777777" w:rsidR="00DE3F5D" w:rsidRDefault="00E96965">
      <w:r>
        <w:t>los retornos a lo largo del ciclo económico. Esta literatura fundamenta el enfoque</w:t>
      </w:r>
    </w:p>
    <w:p w14:paraId="6D9303CE" w14:textId="77777777" w:rsidR="00DE3F5D" w:rsidRDefault="00E96965">
      <w:r>
        <w:t>multifactorial que adopta la presente investigación: modelar el retorno del sector como</w:t>
      </w:r>
    </w:p>
    <w:p w14:paraId="3C05EFD2" w14:textId="77777777" w:rsidR="00DE3F5D" w:rsidRDefault="00E96965">
      <w:r>
        <w:lastRenderedPageBreak/>
        <w:t>función de un vector de factores macroeconómicos y financieros [ver Capítulo 3].</w:t>
      </w:r>
    </w:p>
    <w:p w14:paraId="4ACE1A0A" w14:textId="77777777" w:rsidR="00DE3F5D" w:rsidRDefault="00E96965">
      <w:r>
        <w:t>Formalmente, bajo la APT el retorno del activo *i* se expresa como una combinación lineal de su</w:t>
      </w:r>
    </w:p>
    <w:p w14:paraId="5FC9C7CC" w14:textId="77777777" w:rsidR="00DE3F5D" w:rsidRDefault="00E96965">
      <w:r>
        <w:t>exposición a *k* factores comunes:</w:t>
      </w:r>
    </w:p>
    <w:p w14:paraId="5B02D8F7" w14:textId="77777777" w:rsidR="00DE3F5D" w:rsidRDefault="00E96965">
      <w:r>
        <w:t>donde f_j son los factores sistemáticos (no anticipados), β_{i,j} las sensibilidades (cargas</w:t>
      </w:r>
    </w:p>
    <w:p w14:paraId="174A5F3D" w14:textId="77777777" w:rsidR="00DE3F5D" w:rsidRDefault="00E96965">
      <w:r>
        <w:t xml:space="preserve">factoriales) del activo a cada factor, y ε_i un componente idiosincrático </w:t>
      </w:r>
      <w:r>
        <w:t>diversificable con</w:t>
      </w:r>
    </w:p>
    <w:p w14:paraId="1B346308" w14:textId="77777777" w:rsidR="00DE3F5D" w:rsidRDefault="00E96965">
      <w:r>
        <w:t>E(ε_i)=0. Ausente el arbitraje, el retorno esperado satisface E(r_i) = r_f + Σ_j β_{i,j} λ_j,</w:t>
      </w:r>
    </w:p>
    <w:p w14:paraId="43C7E267" w14:textId="77777777" w:rsidR="00DE3F5D" w:rsidRDefault="00E96965">
      <w:r>
        <w:t>donde λ_j es el precio de mercado del riesgo asociado al factor j. La contribución empírica de</w:t>
      </w:r>
    </w:p>
    <w:p w14:paraId="6645619B" w14:textId="77777777" w:rsidR="00DE3F5D" w:rsidRDefault="00E96965">
      <w:r>
        <w:t>esta tesis consiste, precisamente, en estimar las cargas β del sector cobre respecto de un</w:t>
      </w:r>
    </w:p>
    <w:p w14:paraId="0EBE6F7F" w14:textId="77777777" w:rsidR="00DE3F5D" w:rsidRDefault="00E96965">
      <w:r>
        <w:t>conjunto explícito de factores macroeconómicos y financieros, y en contrastar su signo, magnitud</w:t>
      </w:r>
    </w:p>
    <w:p w14:paraId="3AC81C1A" w14:textId="77777777" w:rsidR="00DE3F5D" w:rsidRDefault="00E96965">
      <w:r>
        <w:t>y significancia.</w:t>
      </w:r>
    </w:p>
    <w:p w14:paraId="29EAD76E" w14:textId="77777777" w:rsidR="00DE3F5D" w:rsidRDefault="00E96965">
      <w:r>
        <w:rPr>
          <w:b/>
        </w:rPr>
        <w:t>Canales de transmisión.</w:t>
      </w:r>
      <w:r>
        <w:t xml:space="preserve"> La teoría identifica dos vías por las cuales un factor macroeconómico</w:t>
      </w:r>
    </w:p>
    <w:p w14:paraId="31576377" w14:textId="77777777" w:rsidR="00DE3F5D" w:rsidRDefault="00E96965">
      <w:r>
        <w:t>afecta la valoración de una empresa, ambas derivables del modelo de descuento de dividendos</w:t>
      </w:r>
    </w:p>
    <w:p w14:paraId="008F912B" w14:textId="77777777" w:rsidR="00DE3F5D" w:rsidRDefault="00E96965">
      <w:r>
        <w:t xml:space="preserve">P_t = Σ_s E_t(D_{t+s}) / (1+k)^s: (i) el </w:t>
      </w:r>
      <w:r>
        <w:rPr>
          <w:b/>
        </w:rPr>
        <w:t>canal de flujos de caja</w:t>
      </w:r>
      <w:r>
        <w:t>, por el cual el factor altera</w:t>
      </w:r>
    </w:p>
    <w:p w14:paraId="1EC0D64C" w14:textId="77777777" w:rsidR="00DE3F5D" w:rsidRDefault="00E96965">
      <w:r>
        <w:t>los dividendos o utilidades esperadas E_t(D_{t+s}) —dominante para el precio del cobre, que</w:t>
      </w:r>
    </w:p>
    <w:p w14:paraId="66E9D383" w14:textId="77777777" w:rsidR="00DE3F5D" w:rsidRDefault="00E96965">
      <w:r>
        <w:t xml:space="preserve">determina los ingresos de una minera—; y (ii) el </w:t>
      </w:r>
      <w:r>
        <w:rPr>
          <w:b/>
        </w:rPr>
        <w:t>canal de la tasa de descuento</w:t>
      </w:r>
      <w:r>
        <w:t>, por el cual el</w:t>
      </w:r>
    </w:p>
    <w:p w14:paraId="33642CE2" w14:textId="77777777" w:rsidR="00DE3F5D" w:rsidRDefault="00E96965">
      <w:r>
        <w:t>factor modifica la tasa k a la que se descuentan dichos flujos —relevante para las tasas de interés</w:t>
      </w:r>
    </w:p>
    <w:p w14:paraId="251AA5A2" w14:textId="77777777" w:rsidR="00DE3F5D" w:rsidRDefault="00E96965">
      <w:r>
        <w:t xml:space="preserve">y la prima de riesgo—. En una empresa con elevado </w:t>
      </w:r>
      <w:r>
        <w:rPr>
          <w:b/>
        </w:rPr>
        <w:t>apalancamiento operativo</w:t>
      </w:r>
      <w:r>
        <w:t>, como es típico en</w:t>
      </w:r>
    </w:p>
    <w:p w14:paraId="0A50EEED" w14:textId="77777777" w:rsidR="00DE3F5D" w:rsidRDefault="00E96965">
      <w:r>
        <w:lastRenderedPageBreak/>
        <w:t>la minería, las variaciones del precio del commodity se amplifican sobre el margen y, por tanto,</w:t>
      </w:r>
    </w:p>
    <w:p w14:paraId="5DEAC0FA" w14:textId="77777777" w:rsidR="00DE3F5D" w:rsidRDefault="00E96965">
      <w:r>
        <w:t>sobre el valor, lo que anticipa una sensibilidad β al cobre elevada.</w:t>
      </w:r>
    </w:p>
    <w:p w14:paraId="11FA3095" w14:textId="77777777" w:rsidR="00DE3F5D" w:rsidRDefault="00E96965">
      <w:r>
        <w:t xml:space="preserve">La evidencia reciente confirma la vigencia de este enfoque en </w:t>
      </w:r>
      <w:r>
        <w:rPr>
          <w:b/>
        </w:rPr>
        <w:t>mercados emergentes</w:t>
      </w:r>
      <w:r>
        <w:t>, contexto</w:t>
      </w:r>
    </w:p>
    <w:p w14:paraId="46267DF9" w14:textId="77777777" w:rsidR="00DE3F5D" w:rsidRDefault="00E96965">
      <w:r>
        <w:t>más cercano al caso chileno. Diversos estudios que contrastan el APT frente al CAPM en bolsas</w:t>
      </w:r>
    </w:p>
    <w:p w14:paraId="4DBB9BFD" w14:textId="77777777" w:rsidR="00DE3F5D" w:rsidRDefault="00E96965">
      <w:r>
        <w:t xml:space="preserve">emergentes hallan que el primero se sostiene mejor y que el </w:t>
      </w:r>
      <w:r>
        <w:rPr>
          <w:b/>
        </w:rPr>
        <w:t>tipo de cambio</w:t>
      </w:r>
      <w:r>
        <w:t xml:space="preserve"> explica de manera</w:t>
      </w:r>
    </w:p>
    <w:p w14:paraId="315C0D48" w14:textId="77777777" w:rsidR="00DE3F5D" w:rsidRDefault="00E96965">
      <w:r>
        <w:t>consistente los retornos. Específicamente para Chile, Pedersen (2015), en un documento de trabajo</w:t>
      </w:r>
    </w:p>
    <w:p w14:paraId="33764ADD" w14:textId="77777777" w:rsidR="00DE3F5D" w:rsidRDefault="00E96965">
      <w:r>
        <w:t>del Banco Central de Chile, muestra que el efecto del precio del cobre sobre la economía depende</w:t>
      </w:r>
    </w:p>
    <w:p w14:paraId="5C22D39B" w14:textId="77777777" w:rsidR="00DE3F5D" w:rsidRDefault="00E96965">
      <w:r>
        <w:t xml:space="preserve">del </w:t>
      </w:r>
      <w:r>
        <w:rPr>
          <w:b/>
        </w:rPr>
        <w:t>tipo de shock</w:t>
      </w:r>
      <w:r>
        <w:t xml:space="preserve"> —las alzas por demanda elevan el crecimiento, mientras que los shocks de</w:t>
      </w:r>
    </w:p>
    <w:p w14:paraId="3F1CBA8C" w14:textId="77777777" w:rsidR="00DE3F5D" w:rsidRDefault="00E96965">
      <w:r>
        <w:t>oferta o de demanda específica del cobre tienen efectos negativos de corto plazo—, lo que motiva</w:t>
      </w:r>
    </w:p>
    <w:p w14:paraId="4C2D7383" w14:textId="77777777" w:rsidR="00DE3F5D" w:rsidRDefault="00E96965">
      <w:r>
        <w:t>distinguir la naturaleza de las perturbaciones. Este hallazgo es directamente relevante para la</w:t>
      </w:r>
    </w:p>
    <w:p w14:paraId="06B53C97" w14:textId="77777777" w:rsidR="00DE3F5D" w:rsidRDefault="00E96965">
      <w:r>
        <w:t>identificación de shocks de la presente tesis.</w:t>
      </w:r>
    </w:p>
    <w:p w14:paraId="71E211B8" w14:textId="77777777" w:rsidR="00DE3F5D" w:rsidRDefault="00E96965">
      <w:pPr>
        <w:pStyle w:val="Ttulo2"/>
      </w:pPr>
      <w:bookmarkStart w:id="20" w:name="_Toc231081549"/>
      <w:r>
        <w:t>2.2 Precios de commodities y valoración de empresas mineras</w:t>
      </w:r>
      <w:bookmarkEnd w:id="20"/>
    </w:p>
    <w:p w14:paraId="08CEA7C6" w14:textId="77777777" w:rsidR="00DE3F5D" w:rsidRDefault="00E96965">
      <w:r>
        <w:t>Para una empresa cuyo ingreso depende crucialmente del precio de un commodity, dicho precio</w:t>
      </w:r>
    </w:p>
    <w:p w14:paraId="7B070801" w14:textId="77777777" w:rsidR="00DE3F5D" w:rsidRDefault="00E96965">
      <w:r>
        <w:t>opera como un factor de riesgo de primer orden. La transmisión ocurre por el **canal de los</w:t>
      </w:r>
    </w:p>
    <w:p w14:paraId="57CB0D97" w14:textId="77777777" w:rsidR="00DE3F5D" w:rsidRDefault="00E96965">
      <w:r>
        <w:t>flujos de caja**: variaciones en el precio del metal alteran directamente los ingresos y, dado</w:t>
      </w:r>
    </w:p>
    <w:p w14:paraId="23D5442E" w14:textId="77777777" w:rsidR="00DE3F5D" w:rsidRDefault="00E96965">
      <w:r>
        <w:lastRenderedPageBreak/>
        <w:t>un apalancamiento operativo típicamente elevado en la minería, amplifican el efecto sobre los</w:t>
      </w:r>
    </w:p>
    <w:p w14:paraId="47A568E2" w14:textId="77777777" w:rsidR="00DE3F5D" w:rsidRDefault="00E96965">
      <w:r>
        <w:t xml:space="preserve">márgenes y el valor de la firma. La </w:t>
      </w:r>
      <w:r>
        <w:t>literatura sobre empresas de recursos naturales ha</w:t>
      </w:r>
    </w:p>
    <w:p w14:paraId="2FB58D94" w14:textId="77777777" w:rsidR="00DE3F5D" w:rsidRDefault="00E96965">
      <w:r>
        <w:t>formalizado esta relación principalmente en el sector energético: Sadorsky (2001) analiza la</w:t>
      </w:r>
    </w:p>
    <w:p w14:paraId="63053AAF" w14:textId="77777777" w:rsidR="00DE3F5D" w:rsidRDefault="00E96965">
      <w:r>
        <w:t>sensibilidad de los retornos de empresas de energía al precio del petróleo, y Boyer y Filion</w:t>
      </w:r>
    </w:p>
    <w:p w14:paraId="5AA93632" w14:textId="77777777" w:rsidR="00DE3F5D" w:rsidRDefault="00E96965">
      <w:r>
        <w:t>(2007) examinan los determinantes de los retornos de productoras canadienses de petróleo y gas,</w:t>
      </w:r>
    </w:p>
    <w:p w14:paraId="28910836" w14:textId="77777777" w:rsidR="00DE3F5D" w:rsidRDefault="00E96965">
      <w:r>
        <w:t>incorporando conjuntamente el precio del commodity, el tipo de cambio y las tasas de interés.</w:t>
      </w:r>
    </w:p>
    <w:p w14:paraId="5EF4D69B" w14:textId="77777777" w:rsidR="00DE3F5D" w:rsidRDefault="00E96965">
      <w:r>
        <w:t>La estructura metodológica de estos trabajos es directamente trasladable al caso del cobre.</w:t>
      </w:r>
    </w:p>
    <w:p w14:paraId="71D9F416" w14:textId="77777777" w:rsidR="00DE3F5D" w:rsidRDefault="00E96965">
      <w:r>
        <w:t xml:space="preserve">La evidencia específica sobre </w:t>
      </w:r>
      <w:r>
        <w:rPr>
          <w:b/>
        </w:rPr>
        <w:t>acciones mineras y precios de metales</w:t>
      </w:r>
      <w:r>
        <w:t xml:space="preserve"> es más reciente y</w:t>
      </w:r>
    </w:p>
    <w:p w14:paraId="5175F2E4" w14:textId="77777777" w:rsidR="00DE3F5D" w:rsidRDefault="00E96965">
      <w:r>
        <w:t>predominantemente internacional. Zhu, Chen y Chen (2021), en *Resources Policy*, documentan que los</w:t>
      </w:r>
    </w:p>
    <w:p w14:paraId="34F3FB42" w14:textId="77777777" w:rsidR="00DE3F5D" w:rsidRDefault="00E96965">
      <w:r>
        <w:t>precios de los metales no ferrosos tienen un impacto positivo sobre la valoración bursátil del</w:t>
      </w:r>
    </w:p>
    <w:p w14:paraId="0EFAD212" w14:textId="77777777" w:rsidR="00DE3F5D" w:rsidRDefault="00E96965">
      <w:r>
        <w:t>sector, con efectos que se intensifican tras la crisis financiera de 2008 (financiarización y</w:t>
      </w:r>
    </w:p>
    <w:p w14:paraId="4759ADC4" w14:textId="77777777" w:rsidR="00DE3F5D" w:rsidRDefault="00E96965">
      <w:r>
        <w:t>co-movimiento de los mercados de commodities). Wallenstein, Mendiola y Chávez-Bedoya, en el marco</w:t>
      </w:r>
    </w:p>
    <w:p w14:paraId="566C1F01" w14:textId="77777777" w:rsidR="00DE3F5D" w:rsidRDefault="00E96965">
      <w:r>
        <w:t xml:space="preserve">de la CLADEA, encuentran una relación positiva pero </w:t>
      </w:r>
      <w:r>
        <w:rPr>
          <w:b/>
        </w:rPr>
        <w:t>inelástica</w:t>
      </w:r>
      <w:r>
        <w:t xml:space="preserve"> entre los retornos de acciones</w:t>
      </w:r>
    </w:p>
    <w:p w14:paraId="0CEE4B4C" w14:textId="77777777" w:rsidR="00DE3F5D" w:rsidRDefault="00E96965">
      <w:r>
        <w:t>cupríferas y el precio del cobre, más fuerte en empresas de gran capitalización. La literatura</w:t>
      </w:r>
    </w:p>
    <w:p w14:paraId="2CCB6599" w14:textId="77777777" w:rsidR="00DE3F5D" w:rsidRDefault="00E96965">
      <w:r>
        <w:t>reciente en *Mineral Economics* (2025) modela, mediante ecuaciones estructurales, el vínculo entre</w:t>
      </w:r>
    </w:p>
    <w:p w14:paraId="120560E6" w14:textId="77777777" w:rsidR="00DE3F5D" w:rsidRDefault="00E96965">
      <w:r>
        <w:t>los precios del cobre y del oro y las cotizaciones mineras en las bolsas de Nueva York, Toronto y</w:t>
      </w:r>
    </w:p>
    <w:p w14:paraId="73630183" w14:textId="77777777" w:rsidR="00DE3F5D" w:rsidRDefault="00E96965">
      <w:r>
        <w:t>Australia. Es notable que esta literatura, pese a su relevancia, **excluye sistemáticamente a</w:t>
      </w:r>
    </w:p>
    <w:p w14:paraId="383DF401" w14:textId="77777777" w:rsidR="00DE3F5D" w:rsidRDefault="00E96965">
      <w:r>
        <w:lastRenderedPageBreak/>
        <w:t>Chile** —primer productor mundial de cobre—, omisión que la presente investigación subsana.</w:t>
      </w:r>
    </w:p>
    <w:p w14:paraId="3BC6961E" w14:textId="77777777" w:rsidR="00DE3F5D" w:rsidRDefault="00E96965">
      <w:pPr>
        <w:pStyle w:val="Ttulo2"/>
      </w:pPr>
      <w:bookmarkStart w:id="21" w:name="_Toc231081550"/>
      <w:r>
        <w:t>2.3 Tipo de cambio y exposición de empresas exportadoras</w:t>
      </w:r>
      <w:bookmarkEnd w:id="21"/>
    </w:p>
    <w:p w14:paraId="4C79C8E0" w14:textId="77777777" w:rsidR="00DE3F5D" w:rsidRDefault="00E96965">
      <w:r>
        <w:t>La exposición cambiaria —definida por Adler y Dumas (1984) como la elasticidad del valor de la</w:t>
      </w:r>
    </w:p>
    <w:p w14:paraId="771C1A41" w14:textId="77777777" w:rsidR="00DE3F5D" w:rsidRDefault="00E96965">
      <w:r>
        <w:t>firma frente a variaciones del tipo de cambio— es especialmente relevante para una productora</w:t>
      </w:r>
    </w:p>
    <w:p w14:paraId="0C282A80" w14:textId="77777777" w:rsidR="00DE3F5D" w:rsidRDefault="00E96965">
      <w:r>
        <w:t>de cobre con exposición a Chile, cuyos ingresos se denominan mayoritariamente en dólares y cuya</w:t>
      </w:r>
    </w:p>
    <w:p w14:paraId="7BF31FC7" w14:textId="77777777" w:rsidR="00DE3F5D" w:rsidRDefault="00E96965">
      <w:r>
        <w:t>estructura de costos es parcialmente en moneda local. Jorion (1990) propone la metodología</w:t>
      </w:r>
    </w:p>
    <w:p w14:paraId="391706BC" w14:textId="77777777" w:rsidR="00DE3F5D" w:rsidRDefault="00E96965">
      <w:r>
        <w:t>estándar para medir esta exposición, regresando los retornos accionarios sobre la variación del</w:t>
      </w:r>
    </w:p>
    <w:p w14:paraId="436A3470" w14:textId="77777777" w:rsidR="00DE3F5D" w:rsidRDefault="00E96965">
      <w:r>
        <w:t>tipo de cambio; esta especificación es la que adopta la presente investigación para contrastar</w:t>
      </w:r>
    </w:p>
    <w:p w14:paraId="5C6A73DE" w14:textId="77777777" w:rsidR="00DE3F5D" w:rsidRDefault="00E96965">
      <w:r>
        <w:t>su hipótesis sobre el efecto cambiario.</w:t>
      </w:r>
    </w:p>
    <w:p w14:paraId="7AEBFAEA" w14:textId="77777777" w:rsidR="00DE3F5D" w:rsidRDefault="00E96965">
      <w:r>
        <w:t>El signo del efecto no es teóricamente unívoco: una depreciación de la moneda local puede</w:t>
      </w:r>
    </w:p>
    <w:p w14:paraId="4A05D918" w14:textId="77777777" w:rsidR="00DE3F5D" w:rsidRDefault="00E96965">
      <w:r>
        <w:t>beneficiar los márgenes de una exportadora con costos en moneda local, pero el resultado neto</w:t>
      </w:r>
    </w:p>
    <w:p w14:paraId="5D6651BF" w14:textId="77777777" w:rsidR="00DE3F5D" w:rsidRDefault="00E96965">
      <w:r>
        <w:t>depende de la estructura de costos, del grado de cobertura y de la moneda en que cotiza la</w:t>
      </w:r>
    </w:p>
    <w:p w14:paraId="395AF909" w14:textId="77777777" w:rsidR="00DE3F5D" w:rsidRDefault="00E96965">
      <w:r>
        <w:t xml:space="preserve">acción. Esta ambigüedad, lejos de ser una </w:t>
      </w:r>
      <w:r>
        <w:t>debilidad, constituye una pregunta empírica de</w:t>
      </w:r>
    </w:p>
    <w:p w14:paraId="72109047" w14:textId="77777777" w:rsidR="00DE3F5D" w:rsidRDefault="00E96965">
      <w:r>
        <w:t>interés. [COMPLETAR: evidencia sobre exposición cambiaria en economías exportadoras de</w:t>
      </w:r>
    </w:p>
    <w:p w14:paraId="007BF4F9" w14:textId="77777777" w:rsidR="00DE3F5D" w:rsidRDefault="00E96965">
      <w:r>
        <w:t>commodities y, en particular, en empresas chilenas.]</w:t>
      </w:r>
    </w:p>
    <w:p w14:paraId="2E71ADA1" w14:textId="77777777" w:rsidR="00DE3F5D" w:rsidRDefault="00E96965">
      <w:pPr>
        <w:pStyle w:val="Ttulo2"/>
      </w:pPr>
      <w:bookmarkStart w:id="22" w:name="_Toc231081551"/>
      <w:r>
        <w:t>2.4 Cobre, tipo de cambio y la economía chilena</w:t>
      </w:r>
      <w:bookmarkEnd w:id="22"/>
    </w:p>
    <w:p w14:paraId="5A1EC3AB" w14:textId="77777777" w:rsidR="00DE3F5D" w:rsidRDefault="00E96965">
      <w:r>
        <w:t xml:space="preserve">El caso chileno se inserta en la literatura sobre </w:t>
      </w:r>
      <w:r>
        <w:rPr>
          <w:b/>
        </w:rPr>
        <w:t>monedas-commodity</w:t>
      </w:r>
      <w:r>
        <w:t>, que documenta la</w:t>
      </w:r>
    </w:p>
    <w:p w14:paraId="694555B7" w14:textId="77777777" w:rsidR="00DE3F5D" w:rsidRDefault="00E96965">
      <w:r>
        <w:lastRenderedPageBreak/>
        <w:t>estrecha relación entre los términos de intercambio de los países exportadores de materias</w:t>
      </w:r>
    </w:p>
    <w:p w14:paraId="23F646DE" w14:textId="77777777" w:rsidR="00DE3F5D" w:rsidRDefault="00E96965">
      <w:r>
        <w:t>primas y sus tipos de cambio. Chen, Rogoff y Rossi (2010) examinan la relación entre los tipos</w:t>
      </w:r>
    </w:p>
    <w:p w14:paraId="3A097004" w14:textId="77777777" w:rsidR="00DE3F5D" w:rsidRDefault="00E96965">
      <w:r>
        <w:t>de cambio de exportadores de commodities y los precios de estos, y Cashin, Céspedes y Sahay</w:t>
      </w:r>
    </w:p>
    <w:p w14:paraId="171B1A3B" w14:textId="77777777" w:rsidR="00DE3F5D" w:rsidRDefault="00E96965">
      <w:r>
        <w:t>(2004) caracterizan un conjunto de monedas —entre ellas el peso chileno— cuya dinámica está</w:t>
      </w:r>
    </w:p>
    <w:p w14:paraId="05C9F592" w14:textId="77777777" w:rsidR="00DE3F5D" w:rsidRDefault="00E96965">
      <w:r>
        <w:t>ligada a los precios de las materias primas que exportan. Esta literatura sustenta la inclusión</w:t>
      </w:r>
    </w:p>
    <w:p w14:paraId="2FDE94FE" w14:textId="77777777" w:rsidR="00DE3F5D" w:rsidRDefault="00E96965">
      <w:r>
        <w:t>conjunta del precio del cobre y del tipo de cambio entre los determinantes del valor del sector,</w:t>
      </w:r>
    </w:p>
    <w:p w14:paraId="09069B89" w14:textId="77777777" w:rsidR="00DE3F5D" w:rsidRDefault="00E96965">
      <w:r>
        <w:t>y motiva la pregunta sobre la **dominancia relativa de los factores globales frente a los</w:t>
      </w:r>
    </w:p>
    <w:p w14:paraId="5D898047" w14:textId="77777777" w:rsidR="00DE3F5D" w:rsidRDefault="00E96965">
      <w:r>
        <w:t>locales**.</w:t>
      </w:r>
    </w:p>
    <w:p w14:paraId="7F0B15C1" w14:textId="77777777" w:rsidR="00DE3F5D" w:rsidRDefault="00E96965">
      <w:r>
        <w:t>La evidencia empírica chilena puede ordenarse en tres eslabones. El primero, **cobre ↔ tipo de</w:t>
      </w:r>
    </w:p>
    <w:p w14:paraId="674E97E1" w14:textId="77777777" w:rsidR="00DE3F5D" w:rsidRDefault="00E96965">
      <w:r>
        <w:t>cambio**, es el más sólido: Chen y Rogoff (2003) y Chen, Rogoff y Rossi (2010) sitúan al peso</w:t>
      </w:r>
    </w:p>
    <w:p w14:paraId="4D257BDD" w14:textId="77777777" w:rsidR="00DE3F5D" w:rsidRDefault="00E96965">
      <w:r>
        <w:t>chileno entre las *commodity currencies* canónicas, y Pincheira y Hardy (2019), en *Resources</w:t>
      </w:r>
    </w:p>
    <w:p w14:paraId="320DA10E" w14:textId="77777777" w:rsidR="00DE3F5D" w:rsidRDefault="00E96965">
      <w:r>
        <w:t>Policy*, muestran que el tipo de cambio chileno tiene poder predictivo sobre los retornos del</w:t>
      </w:r>
    </w:p>
    <w:p w14:paraId="4FE872C6" w14:textId="77777777" w:rsidR="00DE3F5D" w:rsidRDefault="00E96965">
      <w:r>
        <w:t>índice de metales base —incluido el cobre—, dado que este representa cerca de la mitad de las</w:t>
      </w:r>
    </w:p>
    <w:p w14:paraId="2387E3DB" w14:textId="77777777" w:rsidR="00DE3F5D" w:rsidRDefault="00E96965">
      <w:r>
        <w:t>exportaciones del país. Labbé y De Gregorio (2011), en un documento de trabajo del Banco Central</w:t>
      </w:r>
    </w:p>
    <w:p w14:paraId="2F3D1ECD" w14:textId="77777777" w:rsidR="00DE3F5D" w:rsidRDefault="00E96965">
      <w:r>
        <w:t>de Chile, documentan cómo el tipo de cambio real opera como *amortiguador* de los shocks del precio</w:t>
      </w:r>
    </w:p>
    <w:p w14:paraId="56D37AEF" w14:textId="77777777" w:rsidR="00DE3F5D" w:rsidRDefault="00E96965">
      <w:r>
        <w:lastRenderedPageBreak/>
        <w:t xml:space="preserve">del cobre. El segundo eslabón, </w:t>
      </w:r>
      <w:r>
        <w:rPr>
          <w:b/>
        </w:rPr>
        <w:t>cobre ↔ mercado accionario chileno agregado</w:t>
      </w:r>
      <w:r>
        <w:t>, está representado</w:t>
      </w:r>
    </w:p>
    <w:p w14:paraId="0A200236" w14:textId="77777777" w:rsidR="00DE3F5D" w:rsidRDefault="00E96965">
      <w:r>
        <w:t>de forma directa por Zurita, Fuentes y Gregoire (2005), quienes, mediante un modelo APT sobre</w:t>
      </w:r>
    </w:p>
    <w:p w14:paraId="09018DDD" w14:textId="77777777" w:rsidR="00DE3F5D" w:rsidRDefault="00E96965">
      <w:r>
        <w:t xml:space="preserve">retornos accionarios chilenos (1990–2003), encuentran que las </w:t>
      </w:r>
      <w:r>
        <w:rPr>
          <w:b/>
        </w:rPr>
        <w:t>sorpresas en el precio del cobre</w:t>
      </w:r>
    </w:p>
    <w:p w14:paraId="1BAC0C43" w14:textId="77777777" w:rsidR="00DE3F5D" w:rsidRDefault="00E96965">
      <w:r>
        <w:t>están preciadas con una prima por riesgo estadísticamente significativa, rechazando el CAPM en</w:t>
      </w:r>
    </w:p>
    <w:p w14:paraId="325F29ED" w14:textId="77777777" w:rsidR="00DE3F5D" w:rsidRDefault="00E96965">
      <w:r>
        <w:t xml:space="preserve">favor del APT. El tercer eslabón, </w:t>
      </w:r>
      <w:r>
        <w:rPr>
          <w:b/>
        </w:rPr>
        <w:t>cobre ↔ acciones mineras</w:t>
      </w:r>
      <w:r>
        <w:t>, solo está documentado a nivel</w:t>
      </w:r>
    </w:p>
    <w:p w14:paraId="07D83CCC" w14:textId="77777777" w:rsidR="00DE3F5D" w:rsidRDefault="00E96965">
      <w:r>
        <w:t>internacional: Wallenstein, Mendiola y Chávez-Bedoya (CLADEA) hallan una relación positiva pero</w:t>
      </w:r>
    </w:p>
    <w:p w14:paraId="0DA10D78" w14:textId="77777777" w:rsidR="00DE3F5D" w:rsidRDefault="00E96965">
      <w:r>
        <w:t>inelástica entre los retornos de acciones cupríferas y el precio del cobre, y la literatura</w:t>
      </w:r>
    </w:p>
    <w:p w14:paraId="768E6046" w14:textId="77777777" w:rsidR="00DE3F5D" w:rsidRDefault="00E96965">
      <w:r>
        <w:t>reciente en *Mineral Economics* (2025) modela ese vínculo para las bolsas de Nueva York, Toronto y</w:t>
      </w:r>
    </w:p>
    <w:p w14:paraId="4F1059A9" w14:textId="77777777" w:rsidR="00DE3F5D" w:rsidRDefault="00E96965">
      <w:r>
        <w:t>Australia —excluyendo explícitamente a Chile y la Bolsa de Santiago—.</w:t>
      </w:r>
    </w:p>
    <w:p w14:paraId="414C8887" w14:textId="77777777" w:rsidR="00DE3F5D" w:rsidRDefault="00E96965">
      <w:r>
        <w:rPr>
          <w:b/>
        </w:rPr>
        <w:t>El vacío que esta tesis llena</w:t>
      </w:r>
      <w:r>
        <w:t xml:space="preserve"> emerge con nitidez de esa revisión: no se identificó ningún</w:t>
      </w:r>
    </w:p>
    <w:p w14:paraId="301E7E9B" w14:textId="77777777" w:rsidR="00DE3F5D" w:rsidRDefault="00E96965">
      <w:r>
        <w:t>estudio académico que estime econométricamente el efecto del precio del cobre y las variables</w:t>
      </w:r>
    </w:p>
    <w:p w14:paraId="1CEBD8CD" w14:textId="77777777" w:rsidR="00DE3F5D" w:rsidRDefault="00E96965">
      <w:r>
        <w:t>macroeconómicas sobre los retornos de las **acciones cupríferas con exposición a Chile a nivel de</w:t>
      </w:r>
    </w:p>
    <w:p w14:paraId="1EE8F7CF" w14:textId="77777777" w:rsidR="00DE3F5D" w:rsidRDefault="00E96965">
      <w:r>
        <w:t>empresa**, ni que compare formalmente el mercado bursátil internacional con el chileno para el</w:t>
      </w:r>
    </w:p>
    <w:p w14:paraId="6A7770AD" w14:textId="77777777" w:rsidR="00DE3F5D" w:rsidRDefault="00E96965">
      <w:r>
        <w:t>período 2004–2024. El antecedente chileno más próximo (Zurita et al., 2005) trabaja con el índice</w:t>
      </w:r>
    </w:p>
    <w:p w14:paraId="032A8AB2" w14:textId="77777777" w:rsidR="00DE3F5D" w:rsidRDefault="00E96965">
      <w:r>
        <w:t>agregado y termina en 2003; los estudios que sí desagregan a nivel de acción minera excluyen a</w:t>
      </w:r>
    </w:p>
    <w:p w14:paraId="12178D15" w14:textId="77777777" w:rsidR="00DE3F5D" w:rsidRDefault="00E96965">
      <w:r>
        <w:lastRenderedPageBreak/>
        <w:t>Chile. La presente investigación se ubica, por tanto, en la intersección no cubierta de tres</w:t>
      </w:r>
    </w:p>
    <w:p w14:paraId="2C8C1DDF" w14:textId="77777777" w:rsidR="00DE3F5D" w:rsidRDefault="00E96965">
      <w:r>
        <w:t>literaturas bien establecidas por separado.</w:t>
      </w:r>
    </w:p>
    <w:p w14:paraId="1662CA2F" w14:textId="77777777" w:rsidR="00DE3F5D" w:rsidRDefault="00E96965">
      <w:pPr>
        <w:pStyle w:val="Ttulo2"/>
      </w:pPr>
      <w:bookmarkStart w:id="23" w:name="_Toc231081552"/>
      <w:r>
        <w:t>2.5 Eficiencia informacional y segmentación de mercados</w:t>
      </w:r>
      <w:bookmarkEnd w:id="23"/>
    </w:p>
    <w:p w14:paraId="66F31C34" w14:textId="77777777" w:rsidR="00DE3F5D" w:rsidRDefault="00E96965">
      <w:r>
        <w:t>Un mismo activo subyacente —en este caso, la exposición al precio del cobre— puede ser valorado</w:t>
      </w:r>
    </w:p>
    <w:p w14:paraId="178DDA66" w14:textId="77777777" w:rsidR="00DE3F5D" w:rsidRDefault="00E96965">
      <w:r>
        <w:t>de manera distinta según el mercado bursátil en que se transe. La **hipótesis de eficiencia de</w:t>
      </w:r>
    </w:p>
    <w:p w14:paraId="380036EC" w14:textId="77777777" w:rsidR="00DE3F5D" w:rsidRDefault="00E96965">
      <w:r>
        <w:t>mercado** (Fama, 1970) sostiene que los precios incorporan la información disponible; sin embargo,</w:t>
      </w:r>
    </w:p>
    <w:p w14:paraId="7B47DA97" w14:textId="77777777" w:rsidR="00DE3F5D" w:rsidRDefault="00E96965">
      <w:r>
        <w:t>el grado y la velocidad con que un mercado refleja un shock dependen de su **profundidad,</w:t>
      </w:r>
    </w:p>
    <w:p w14:paraId="0E99D16A" w14:textId="77777777" w:rsidR="00DE3F5D" w:rsidRDefault="00E96965">
      <w:r>
        <w:t>liquidez y grado de integración** con los mercados internacionales. La literatura sobre</w:t>
      </w:r>
    </w:p>
    <w:p w14:paraId="3E037B0B" w14:textId="77777777" w:rsidR="00DE3F5D" w:rsidRDefault="00E96965">
      <w:r>
        <w:rPr>
          <w:b/>
        </w:rPr>
        <w:t>segmentación de mercados</w:t>
      </w:r>
      <w:r>
        <w:t xml:space="preserve"> (Errunza y Losq, 1985; Bekaert y Harvey, 1995) muestra que los</w:t>
      </w:r>
    </w:p>
    <w:p w14:paraId="26941CEE" w14:textId="77777777" w:rsidR="00DE3F5D" w:rsidRDefault="00E96965">
      <w:r>
        <w:t>mercados emergentes, parcialmente segmentados, pueden incorporar la información global de forma</w:t>
      </w:r>
    </w:p>
    <w:p w14:paraId="1B269853" w14:textId="77777777" w:rsidR="00DE3F5D" w:rsidRDefault="00E96965">
      <w:r>
        <w:t>más lenta o incompleta que los mercados desarrollados.</w:t>
      </w:r>
    </w:p>
    <w:p w14:paraId="32AE7508" w14:textId="77777777" w:rsidR="00DE3F5D" w:rsidRDefault="00E96965">
      <w:r>
        <w:t xml:space="preserve">Este marco fundamenta la dimensión comparativa de la presente investigación: dado que las </w:t>
      </w:r>
      <w:r>
        <w:t>mismas</w:t>
      </w:r>
    </w:p>
    <w:p w14:paraId="69CC7551" w14:textId="77777777" w:rsidR="00DE3F5D" w:rsidRDefault="00E96965">
      <w:r>
        <w:t>materias primas se transan a través de empresas que cotizan en mercados de distinta profundidad</w:t>
      </w:r>
    </w:p>
    <w:p w14:paraId="63BD9438" w14:textId="77777777" w:rsidR="00DE3F5D" w:rsidRDefault="00E96965">
      <w:r>
        <w:t>—el mercado bursátil global frente al chileno—, es teóricamente plausible que la transmisión del</w:t>
      </w:r>
    </w:p>
    <w:p w14:paraId="7AEC027B" w14:textId="77777777" w:rsidR="00DE3F5D" w:rsidRDefault="00E96965">
      <w:r>
        <w:t>shock del cobre difiera entre ellos. Contrastar esta diferencia constituye el aporte distintivo</w:t>
      </w:r>
    </w:p>
    <w:p w14:paraId="4B28163A" w14:textId="77777777" w:rsidR="00DE3F5D" w:rsidRDefault="00E96965">
      <w:r>
        <w:t>del diseño de triangulación por muestras. La literatura sobre la integración del mercado bursátil</w:t>
      </w:r>
    </w:p>
    <w:p w14:paraId="5BE99E7D" w14:textId="77777777" w:rsidR="00DE3F5D" w:rsidRDefault="00E96965">
      <w:r>
        <w:lastRenderedPageBreak/>
        <w:t>chileno —en particular los estudios del Mercado Integrado Latinoamericano (MILA), que reúne a</w:t>
      </w:r>
    </w:p>
    <w:p w14:paraId="2C71FF12" w14:textId="77777777" w:rsidR="00DE3F5D" w:rsidRDefault="00E96965">
      <w:r>
        <w:t xml:space="preserve">Chile, Colombia y Perú— documenta una integración </w:t>
      </w:r>
      <w:r>
        <w:rPr>
          <w:b/>
        </w:rPr>
        <w:t>parcial y dependiente del régimen</w:t>
      </w:r>
      <w:r>
        <w:t>, con</w:t>
      </w:r>
    </w:p>
    <w:p w14:paraId="2C533154" w14:textId="77777777" w:rsidR="00DE3F5D" w:rsidRDefault="00E96965">
      <w:r>
        <w:t>correlaciones dinámicas que varían entre episodios de calma y de crisis (por ejemplo, en la</w:t>
      </w:r>
    </w:p>
    <w:p w14:paraId="0E982A8D" w14:textId="77777777" w:rsidR="00DE3F5D" w:rsidRDefault="00E96965">
      <w:r>
        <w:t>comparación entre el período previo a la crisis financiera global y la pandemia de COVID-19).</w:t>
      </w:r>
    </w:p>
    <w:p w14:paraId="7EA51E30" w14:textId="77777777" w:rsidR="00DE3F5D" w:rsidRDefault="00E96965">
      <w:r>
        <w:t xml:space="preserve">Asimismo, se ha mostrado que una mayor integración bursátil </w:t>
      </w:r>
      <w:r>
        <w:rPr>
          <w:b/>
        </w:rPr>
        <w:t>reduce la asimetría de información</w:t>
      </w:r>
    </w:p>
    <w:p w14:paraId="1F8415C5" w14:textId="77777777" w:rsidR="00DE3F5D" w:rsidRDefault="00E96965">
      <w:r>
        <w:t>y mejora la eficiencia de la inversión en América Latina. Esta evidencia respalda la hipótesis de</w:t>
      </w:r>
    </w:p>
    <w:p w14:paraId="2943E3A2" w14:textId="77777777" w:rsidR="00DE3F5D" w:rsidRDefault="00E96965">
      <w:r>
        <w:t>que el mercado chileno, comparativamente menos profundo, podría incorporar los shocks globales de</w:t>
      </w:r>
    </w:p>
    <w:p w14:paraId="2C80991E" w14:textId="77777777" w:rsidR="00DE3F5D" w:rsidRDefault="00E96965">
      <w:r>
        <w:t>forma más lenta o incompleta que los mercados internacionales.</w:t>
      </w:r>
    </w:p>
    <w:p w14:paraId="5C7ED084" w14:textId="77777777" w:rsidR="00DE3F5D" w:rsidRDefault="00E96965">
      <w:pPr>
        <w:pStyle w:val="Ttulo2"/>
      </w:pPr>
      <w:bookmarkStart w:id="24" w:name="_Toc231081553"/>
      <w:r>
        <w:t>2.6 Enfoques econométricos para la medición de impacto</w:t>
      </w:r>
      <w:bookmarkEnd w:id="24"/>
    </w:p>
    <w:p w14:paraId="08122FC6" w14:textId="77777777" w:rsidR="00DE3F5D" w:rsidRDefault="00E96965">
      <w:r>
        <w:t>La estrategia empírica de esta investigación se apoya en un conjunto de técnicas econométricas</w:t>
      </w:r>
    </w:p>
    <w:p w14:paraId="3CBF6DE9" w14:textId="77777777" w:rsidR="00DE3F5D" w:rsidRDefault="00E96965">
      <w:r>
        <w:t>consolidadas, cuyo fundamento metodológico se reseña a continuación. El análisis del orden de</w:t>
      </w:r>
    </w:p>
    <w:p w14:paraId="16E85937" w14:textId="77777777" w:rsidR="00DE3F5D" w:rsidRDefault="00E96965">
      <w:r>
        <w:t>integración de las series recurre a las pruebas de raíz unitaria de Dickey y Fuller (1979),</w:t>
      </w:r>
    </w:p>
    <w:p w14:paraId="6AB35717" w14:textId="77777777" w:rsidR="00DE3F5D" w:rsidRDefault="00E96965">
      <w:r>
        <w:t>Phillips y Perron (1988) y Kwiatkowski et al. (1992, KPSS), complementadas con el test de</w:t>
      </w:r>
    </w:p>
    <w:p w14:paraId="7D20EB76" w14:textId="77777777" w:rsidR="00DE3F5D" w:rsidRDefault="00E96965">
      <w:r>
        <w:t>Zivot y Andrews (1992) para quiebres estructurales. El análisis de relaciones de largo plazo se</w:t>
      </w:r>
    </w:p>
    <w:p w14:paraId="72F61376" w14:textId="77777777" w:rsidR="00DE3F5D" w:rsidRDefault="00E96965">
      <w:r>
        <w:t>funda en la teoría de la cointegración de Engle y Granger (1987) y Johansen (1988), y en el</w:t>
      </w:r>
    </w:p>
    <w:p w14:paraId="655590F9" w14:textId="77777777" w:rsidR="00DE3F5D" w:rsidRDefault="00E96965">
      <w:r>
        <w:t xml:space="preserve">enfoque de </w:t>
      </w:r>
      <w:r>
        <w:rPr>
          <w:b/>
        </w:rPr>
        <w:t>bordes ARDL</w:t>
      </w:r>
      <w:r>
        <w:t xml:space="preserve"> de Pesaran, Shin y Smith (2001), particularmente apropiado cuando</w:t>
      </w:r>
    </w:p>
    <w:p w14:paraId="1EA78B15" w14:textId="77777777" w:rsidR="00DE3F5D" w:rsidRDefault="00E96965">
      <w:r>
        <w:lastRenderedPageBreak/>
        <w:t>las variables presentan órdenes de integración mixtos. La dinámica de los shocks se modela</w:t>
      </w:r>
    </w:p>
    <w:p w14:paraId="1C8F6A51" w14:textId="77777777" w:rsidR="00DE3F5D" w:rsidRDefault="00E96965">
      <w:r>
        <w:t>mediante vectores autorregresivos siguiendo a Sims (1980), con funciones impulso-respuesta</w:t>
      </w:r>
    </w:p>
    <w:p w14:paraId="44EE560E" w14:textId="77777777" w:rsidR="00DE3F5D" w:rsidRDefault="00E96965">
      <w:r>
        <w:t>—incluyendo la variante generalizada de Pesaran y Shin (1998)— y descomposición de varianza.</w:t>
      </w:r>
    </w:p>
    <w:p w14:paraId="06682C82" w14:textId="77777777" w:rsidR="00DE3F5D" w:rsidRDefault="00E96965">
      <w:r>
        <w:t>Para el tratamiento de la dimensión de panel se emplean las pruebas de raíz unitaria de Im,</w:t>
      </w:r>
    </w:p>
    <w:p w14:paraId="65802D66" w14:textId="77777777" w:rsidR="00DE3F5D" w:rsidRDefault="00E96965">
      <w:r>
        <w:t>Pesaran y Shin (2003) y Pesaran (2007), la cointegración en panel de Westerlund (2007) y los</w:t>
      </w:r>
    </w:p>
    <w:p w14:paraId="015A8869" w14:textId="77777777" w:rsidR="00DE3F5D" w:rsidRDefault="00E96965">
      <w:r>
        <w:t>errores estándar de Driscoll y Kraay (1998), robustos a la dependencia de sección cruzada. La</w:t>
      </w:r>
    </w:p>
    <w:p w14:paraId="092FDC45" w14:textId="77777777" w:rsidR="00DE3F5D" w:rsidRDefault="00E96965">
      <w:r>
        <w:t>datación de las fases del ciclo se basa en el algoritmo de Bry y Boschan (1971), formalizado</w:t>
      </w:r>
    </w:p>
    <w:p w14:paraId="0C21F86C" w14:textId="77777777" w:rsidR="00DE3F5D" w:rsidRDefault="00E96965">
      <w:r>
        <w:t>para datos de frecuencia trimestral y mensual por Harding y Pagan (2002), y se contempla como</w:t>
      </w:r>
    </w:p>
    <w:p w14:paraId="0E43EC71" w14:textId="77777777" w:rsidR="00DE3F5D" w:rsidRDefault="00E96965">
      <w:r>
        <w:t>robustez el modelo de cambio de régimen de Hamilton (1989). La modelación de la volatilidad,</w:t>
      </w:r>
    </w:p>
    <w:p w14:paraId="5ED2526D" w14:textId="77777777" w:rsidR="00DE3F5D" w:rsidRDefault="00E96965">
      <w:r>
        <w:t>cuando resulta pertinente, se apoya en los modelos ARCH/GARCH de Engle (1982) y Bollerslev</w:t>
      </w:r>
    </w:p>
    <w:p w14:paraId="45B0F79A" w14:textId="77777777" w:rsidR="00DE3F5D" w:rsidRDefault="00E96965">
      <w:r>
        <w:t>(1986).</w:t>
      </w:r>
    </w:p>
    <w:p w14:paraId="3117A291" w14:textId="77777777" w:rsidR="00DE3F5D" w:rsidRDefault="00E96965">
      <w:r>
        <w:rPr>
          <w:color w:val="8A5A18"/>
          <w:highlight w:val="yellow"/>
        </w:rPr>
        <w:t>[COMPLETAR: aplicaciones recientes que combinen VAR/VECM con análisis por regímenes en mercados</w:t>
      </w:r>
    </w:p>
    <w:p w14:paraId="72C4636C" w14:textId="77777777" w:rsidR="00DE3F5D" w:rsidRDefault="00E96965">
      <w:r>
        <w:t>de commodities, para reforzar la justificación del objetivo específico 5.]</w:t>
      </w:r>
    </w:p>
    <w:p w14:paraId="732722C3" w14:textId="77777777" w:rsidR="00DE3F5D" w:rsidRDefault="00E96965">
      <w:pPr>
        <w:pStyle w:val="Ttulo2"/>
      </w:pPr>
      <w:bookmarkStart w:id="25" w:name="_Toc231081554"/>
      <w:r>
        <w:t>2.7 Síntesis e identificación del vacío de investigación</w:t>
      </w:r>
      <w:bookmarkEnd w:id="25"/>
    </w:p>
    <w:p w14:paraId="3F6D8ED9" w14:textId="77777777" w:rsidR="00DE3F5D" w:rsidRDefault="00E96965">
      <w:r>
        <w:t>La revisión precedente permite delimitar el aporte de esta investigación a partir de tres</w:t>
      </w:r>
    </w:p>
    <w:p w14:paraId="690DE5FC" w14:textId="77777777" w:rsidR="00DE3F5D" w:rsidRDefault="00E96965">
      <w:r>
        <w:t>constataciones. Primero, la literatura sobre la relación entre variables macroeconómicas y</w:t>
      </w:r>
    </w:p>
    <w:p w14:paraId="553CD581" w14:textId="77777777" w:rsidR="00DE3F5D" w:rsidRDefault="00E96965">
      <w:r>
        <w:t>retornos accionarios es abundante, pero se concentra en mercados desarrollados y, con</w:t>
      </w:r>
    </w:p>
    <w:p w14:paraId="19D7915A" w14:textId="77777777" w:rsidR="00DE3F5D" w:rsidRDefault="00E96965">
      <w:r>
        <w:lastRenderedPageBreak/>
        <w:t>frecuencia, en índices agregados antes que en sectores específicos. Segundo, la evidencia sobre</w:t>
      </w:r>
    </w:p>
    <w:p w14:paraId="7DEFFB37" w14:textId="77777777" w:rsidR="00DE3F5D" w:rsidRDefault="00E96965">
      <w:r>
        <w:t>la transmisión del precio de los commodities a la valoración de empresas se ha desarrollado</w:t>
      </w:r>
    </w:p>
    <w:p w14:paraId="7A855ECB" w14:textId="77777777" w:rsidR="00DE3F5D" w:rsidRDefault="00E96965">
      <w:r>
        <w:t xml:space="preserve">predominantemente para el </w:t>
      </w:r>
      <w:r>
        <w:rPr>
          <w:b/>
        </w:rPr>
        <w:t>sector energético</w:t>
      </w:r>
      <w:r>
        <w:t>, quedando el cobre y la minería metálica</w:t>
      </w:r>
    </w:p>
    <w:p w14:paraId="69928EA6" w14:textId="77777777" w:rsidR="00DE3F5D" w:rsidRDefault="00E96965">
      <w:r>
        <w:t xml:space="preserve">comparativamente menos estudiados a nivel de </w:t>
      </w:r>
      <w:r>
        <w:t>acciones. Tercero, la evidencia chilena vincula el</w:t>
      </w:r>
    </w:p>
    <w:p w14:paraId="36776EB7" w14:textId="77777777" w:rsidR="00DE3F5D" w:rsidRDefault="00E96965">
      <w:r>
        <w:t>cobre con variables macroeconómicas agregadas —tipo de cambio, crecimiento—, pero rara vez con</w:t>
      </w:r>
    </w:p>
    <w:p w14:paraId="1EDF385A" w14:textId="77777777" w:rsidR="00DE3F5D" w:rsidRDefault="00E96965">
      <w:r>
        <w:t xml:space="preserve">la </w:t>
      </w:r>
      <w:r>
        <w:rPr>
          <w:b/>
        </w:rPr>
        <w:t>valoración bursátil de las propias empresas mineras</w:t>
      </w:r>
      <w:r>
        <w:t>, y prácticamente no aborda la</w:t>
      </w:r>
    </w:p>
    <w:p w14:paraId="74818E50" w14:textId="77777777" w:rsidR="00DE3F5D" w:rsidRDefault="00E96965">
      <w:r>
        <w:rPr>
          <w:b/>
        </w:rPr>
        <w:t xml:space="preserve">estabilidad de estas </w:t>
      </w:r>
      <w:r>
        <w:rPr>
          <w:b/>
        </w:rPr>
        <w:t>relaciones a lo largo de las fases del ciclo del cobre</w:t>
      </w:r>
      <w:r>
        <w:t>. Cuarto, no se ha</w:t>
      </w:r>
    </w:p>
    <w:p w14:paraId="293D870E" w14:textId="77777777" w:rsidR="00DE3F5D" w:rsidRDefault="00E96965">
      <w:r>
        <w:t>explorado de manera sistemática si la transmisión del shock macroeconómico **difiere entre el</w:t>
      </w:r>
    </w:p>
    <w:p w14:paraId="3872DE75" w14:textId="77777777" w:rsidR="00DE3F5D" w:rsidRDefault="00E96965">
      <w:r>
        <w:t>mercado bursátil global y el chileno** para empresas expuestas a las mismas materias primas.</w:t>
      </w:r>
    </w:p>
    <w:p w14:paraId="29CCF517" w14:textId="77777777" w:rsidR="00DE3F5D" w:rsidRDefault="00E96965">
      <w:r>
        <w:t>En consecuencia, esta tesis contribuye a la literatura al cuantificar el impacto de los factores</w:t>
      </w:r>
    </w:p>
    <w:p w14:paraId="36E32AE1" w14:textId="77777777" w:rsidR="00DE3F5D" w:rsidRDefault="00E96965">
      <w:r>
        <w:t>macroeconómicos globales y locales sobre los retornos del sector de minería de cobre con</w:t>
      </w:r>
    </w:p>
    <w:p w14:paraId="43F0C411" w14:textId="77777777" w:rsidR="00DE3F5D" w:rsidRDefault="00E96965">
      <w:r>
        <w:t>exposición a Chile, integrando la medición de sensibilidad (panel), el análisis de equilibrio de</w:t>
      </w:r>
    </w:p>
    <w:p w14:paraId="069EA136" w14:textId="77777777" w:rsidR="00DE3F5D" w:rsidRDefault="00E96965">
      <w:r>
        <w:t>largo plazo (cointegración), la dinámica de shocks (impulso-respuesta y descomposición de</w:t>
      </w:r>
    </w:p>
    <w:p w14:paraId="0E9B50B7" w14:textId="77777777" w:rsidR="00DE3F5D" w:rsidRDefault="00E96965">
      <w:r>
        <w:t>varianza) y, de manera distintiva, la evaluación de la estabilidad de dichas relaciones según la</w:t>
      </w:r>
    </w:p>
    <w:p w14:paraId="77742384" w14:textId="77777777" w:rsidR="00DE3F5D" w:rsidRDefault="00E96965">
      <w:r>
        <w:t>fase del ciclo del precio del cobre.</w:t>
      </w:r>
    </w:p>
    <w:p w14:paraId="3D837125" w14:textId="77777777" w:rsidR="00DE3F5D" w:rsidRDefault="00E96965">
      <w:pPr>
        <w:pStyle w:val="Ttulo3"/>
      </w:pPr>
      <w:bookmarkStart w:id="26" w:name="_Toc231081555"/>
      <w:r>
        <w:t>Nota sobre la tabla de literatura</w:t>
      </w:r>
      <w:bookmarkEnd w:id="26"/>
    </w:p>
    <w:p w14:paraId="76986B62" w14:textId="77777777" w:rsidR="00DE3F5D" w:rsidRDefault="00E96965">
      <w:r>
        <w:t>Mantén en paralelo la matriz `autor | año | datos | método | hallazgo | relación con mi tesis`</w:t>
      </w:r>
    </w:p>
    <w:p w14:paraId="505C91BA" w14:textId="77777777" w:rsidR="00DE3F5D" w:rsidRDefault="00E96965">
      <w:r>
        <w:lastRenderedPageBreak/>
        <w:t>(ver `docs/revision_literatura.md`, sección final). Sintetizarla en prosa es lo que da solidez a</w:t>
      </w:r>
    </w:p>
    <w:p w14:paraId="0A4F619E" w14:textId="77777777" w:rsidR="00DE3F5D" w:rsidRDefault="00E96965">
      <w:r>
        <w:t>las secciones 2.2–2.4 y, sobre todo, al argumento del vacío en 2.6.</w:t>
      </w:r>
    </w:p>
    <w:p w14:paraId="2260A418" w14:textId="77777777" w:rsidR="00DE3F5D" w:rsidRDefault="00E96965">
      <w:r>
        <w:br w:type="page"/>
      </w:r>
    </w:p>
    <w:p w14:paraId="7084014F" w14:textId="77777777" w:rsidR="00DE3F5D" w:rsidRDefault="00E96965">
      <w:pPr>
        <w:pStyle w:val="Ttulo1"/>
      </w:pPr>
      <w:bookmarkStart w:id="27" w:name="_Toc231081556"/>
      <w:r>
        <w:lastRenderedPageBreak/>
        <w:t>Capítulo 3 — Datos y metodología</w:t>
      </w:r>
      <w:bookmarkEnd w:id="27"/>
    </w:p>
    <w:p w14:paraId="133336AD" w14:textId="77777777" w:rsidR="00DE3F5D" w:rsidRDefault="00E96965">
      <w:pPr>
        <w:pStyle w:val="Ttulo2"/>
      </w:pPr>
      <w:bookmarkStart w:id="28" w:name="_Toc231081557"/>
      <w:r>
        <w:t>3.1 Definición del universo de empresas y período</w:t>
      </w:r>
      <w:bookmarkEnd w:id="28"/>
    </w:p>
    <w:p w14:paraId="2EC551CE" w14:textId="77777777" w:rsidR="00DE3F5D" w:rsidRDefault="00E96965">
      <w:r>
        <w:t xml:space="preserve">El estudio abarca el período </w:t>
      </w:r>
      <w:r>
        <w:rPr>
          <w:b/>
        </w:rPr>
        <w:t>2004–2024</w:t>
      </w:r>
      <w:r>
        <w:t xml:space="preserve"> con frecuencia </w:t>
      </w:r>
      <w:r>
        <w:rPr>
          <w:b/>
        </w:rPr>
        <w:t>mensual</w:t>
      </w:r>
      <w:r>
        <w:t>. Dado que las grandes</w:t>
      </w:r>
    </w:p>
    <w:p w14:paraId="62E02633" w14:textId="77777777" w:rsidR="00DE3F5D" w:rsidRDefault="00E96965">
      <w:r>
        <w:t>productoras de cobre con operación en Chile no cotizan en el mercado bursátil local —por ser</w:t>
      </w:r>
    </w:p>
    <w:p w14:paraId="4C264E9D" w14:textId="77777777" w:rsidR="00DE3F5D" w:rsidRDefault="00E96965">
      <w:r>
        <w:t>estatales (Codelco) o subsidiarias de empresas extranjeras (Escondida, Los Bronces)—, el diseño</w:t>
      </w:r>
    </w:p>
    <w:p w14:paraId="74A2BFF0" w14:textId="77777777" w:rsidR="00DE3F5D" w:rsidRDefault="00E96965">
      <w:r>
        <w:t xml:space="preserve">adopta una </w:t>
      </w:r>
      <w:r>
        <w:rPr>
          <w:b/>
        </w:rPr>
        <w:t>estrategia de triangulación por tres muestras complementarias</w:t>
      </w:r>
      <w:r>
        <w:t>, que permite</w:t>
      </w:r>
    </w:p>
    <w:p w14:paraId="22AA5167" w14:textId="77777777" w:rsidR="00DE3F5D" w:rsidRDefault="00E96965">
      <w:r>
        <w:t>comparar la transmisión del impacto macroeconómico entre el mercado bursátil global y el chileno:</w:t>
      </w:r>
    </w:p>
    <w:p w14:paraId="7B018F97" w14:textId="77777777" w:rsidR="00DE3F5D" w:rsidRDefault="00E96965">
      <w:pPr>
        <w:pStyle w:val="Listaconvietas"/>
      </w:pPr>
      <w:r>
        <w:rPr>
          <w:b/>
        </w:rPr>
        <w:t>Muestra B (cobre, mercado global):</w:t>
      </w:r>
      <w:r>
        <w:t xml:space="preserve"> empresas de cobre con operación en Chile que cotizan en</w:t>
      </w:r>
    </w:p>
    <w:p w14:paraId="05EE9662" w14:textId="77777777" w:rsidR="00DE3F5D" w:rsidRDefault="00E96965">
      <w:r>
        <w:t xml:space="preserve">  mercados internacionales (Antofagasta plc, BHP, Anglo American, Lundin Mining, Teck). Constituye</w:t>
      </w:r>
    </w:p>
    <w:p w14:paraId="2D0BF143" w14:textId="77777777" w:rsidR="00DE3F5D" w:rsidRDefault="00E96965">
      <w:r>
        <w:t xml:space="preserve">  la referencia de "cobre puro" y, por su tamaño de sección cruzada, el panel principal.</w:t>
      </w:r>
    </w:p>
    <w:p w14:paraId="3E337201" w14:textId="77777777" w:rsidR="00DE3F5D" w:rsidRDefault="00E96965">
      <w:pPr>
        <w:pStyle w:val="Listaconvietas"/>
      </w:pPr>
      <w:r>
        <w:rPr>
          <w:b/>
        </w:rPr>
        <w:t>Muestra A (cobre, mercado chileno):</w:t>
      </w:r>
      <w:r>
        <w:t xml:space="preserve"> empresas de extracción de cobre que cotizan en la Bolsa</w:t>
      </w:r>
    </w:p>
    <w:p w14:paraId="56A961F6" w14:textId="77777777" w:rsidR="00DE3F5D" w:rsidRDefault="00E96965">
      <w:r>
        <w:t xml:space="preserve">  de Santiago (Sociedad Punta del Cobre). De cardinalidad reducida, se analiza mediante técnicas</w:t>
      </w:r>
    </w:p>
    <w:p w14:paraId="3B1FECCA" w14:textId="77777777" w:rsidR="00DE3F5D" w:rsidRDefault="00E96965">
      <w:r>
        <w:t xml:space="preserve">  de serie de tiempo.</w:t>
      </w:r>
    </w:p>
    <w:p w14:paraId="52CBD3BA" w14:textId="77777777" w:rsidR="00DE3F5D" w:rsidRDefault="00E96965">
      <w:pPr>
        <w:pStyle w:val="Listaconvietas"/>
      </w:pPr>
      <w:r>
        <w:rPr>
          <w:b/>
        </w:rPr>
        <w:t>Muestra C (sector minero, mercado chileno):</w:t>
      </w:r>
      <w:r>
        <w:t xml:space="preserve"> empresas mineras cotizadas en la Bolsa de</w:t>
      </w:r>
    </w:p>
    <w:p w14:paraId="7086784F" w14:textId="77777777" w:rsidR="00DE3F5D" w:rsidRDefault="00E96965">
      <w:r>
        <w:t xml:space="preserve">  Santiago (Punta del Cobre, CAP, SQM-B, Molibdenos y Metales). Esta muestra **no es objeto de</w:t>
      </w:r>
    </w:p>
    <w:p w14:paraId="71C2648F" w14:textId="77777777" w:rsidR="00DE3F5D" w:rsidRDefault="00E96965">
      <w:r>
        <w:t xml:space="preserve">  estudio en sí**, sino el *vehículo* que permite estimar con tamaño de sección cruzada cómo el</w:t>
      </w:r>
    </w:p>
    <w:p w14:paraId="4998B783" w14:textId="77777777" w:rsidR="00DE3F5D" w:rsidRDefault="00E96965">
      <w:r>
        <w:lastRenderedPageBreak/>
        <w:t xml:space="preserve">  mercado bursátil chileno incorpora los shocks macroeconómicos; al combinar distintos commodities,</w:t>
      </w:r>
    </w:p>
    <w:p w14:paraId="02C4F648" w14:textId="77777777" w:rsidR="00DE3F5D" w:rsidRDefault="00E96965">
      <w:r>
        <w:t xml:space="preserve">  se </w:t>
      </w:r>
      <w:r>
        <w:rPr>
          <w:b/>
        </w:rPr>
        <w:t>controla por el precio propio de cada uno</w:t>
      </w:r>
      <w:r>
        <w:t xml:space="preserve"> para aislar el efecto del cobre. El objeto de</w:t>
      </w:r>
    </w:p>
    <w:p w14:paraId="5928EBE4" w14:textId="77777777" w:rsidR="00DE3F5D" w:rsidRDefault="00E96965">
      <w:r>
        <w:t xml:space="preserve">  estudio sigue siendo el cobre.</w:t>
      </w:r>
    </w:p>
    <w:p w14:paraId="11EE6B77" w14:textId="77777777" w:rsidR="00DE3F5D" w:rsidRDefault="00E96965">
      <w:r>
        <w:t>La comparación de los resultados entre las tres muestras permite evaluar si el mercado global y</w:t>
      </w:r>
    </w:p>
    <w:p w14:paraId="029D725A" w14:textId="77777777" w:rsidR="00DE3F5D" w:rsidRDefault="00E96965">
      <w:r>
        <w:t>el mercado chileno incorporan los shocks macroeconómicos de manera diferenciada.</w:t>
      </w:r>
    </w:p>
    <w:p w14:paraId="6D388A0F" w14:textId="77777777" w:rsidR="00DE3F5D" w:rsidRDefault="00E96965">
      <w:r>
        <w:t>La elección de la frecuencia mensual responde a tres consideraciones: (i) el período provee</w:t>
      </w:r>
    </w:p>
    <w:p w14:paraId="2D155777" w14:textId="77777777" w:rsidR="00DE3F5D" w:rsidRDefault="00E96965">
      <w:r>
        <w:t>del orden de 250 observaciones temporales, suficientes para la estimación de modelos VAR/VECM</w:t>
      </w:r>
    </w:p>
    <w:p w14:paraId="26C93DEF" w14:textId="77777777" w:rsidR="00DE3F5D" w:rsidRDefault="00E96965">
      <w:r>
        <w:t>y ARDL; (ii) el principal indicador de actividad doméstica (IMACEC) es de periodicidad</w:t>
      </w:r>
    </w:p>
    <w:p w14:paraId="1159BB2A" w14:textId="77777777" w:rsidR="00DE3F5D" w:rsidRDefault="00E96965">
      <w:r>
        <w:t>mensual; y (iii) se atenúa el ruido de microestructura propio de los datos diarios.</w:t>
      </w:r>
    </w:p>
    <w:p w14:paraId="3A6DFCB8" w14:textId="77777777" w:rsidR="00DE3F5D" w:rsidRDefault="00E96965">
      <w:pPr>
        <w:pStyle w:val="Ttulo2"/>
      </w:pPr>
      <w:bookmarkStart w:id="29" w:name="_Toc231081558"/>
      <w:r>
        <w:t>3.2 Variable dependiente</w:t>
      </w:r>
      <w:bookmarkEnd w:id="29"/>
    </w:p>
    <w:p w14:paraId="2884FD1B" w14:textId="77777777" w:rsidR="00DE3F5D" w:rsidRDefault="00E96965">
      <w:r>
        <w:t xml:space="preserve">La variable dependiente es el </w:t>
      </w:r>
      <w:r>
        <w:rPr>
          <w:b/>
        </w:rPr>
        <w:t>retorno logarítmico mensual</w:t>
      </w:r>
      <w:r>
        <w:t xml:space="preserve"> de cada empresa,</w:t>
      </w:r>
    </w:p>
    <w:p w14:paraId="10EEBB9E" w14:textId="77777777" w:rsidR="00DE3F5D" w:rsidRDefault="00E96965">
      <w:r>
        <w:t xml:space="preserve">$r_{i,t} = \ln(P_{i,t}) - \ln(P_{i,t-1})$, calculado sobre precios de cierre </w:t>
      </w:r>
      <w:r>
        <w:rPr>
          <w:b/>
        </w:rPr>
        <w:t>ajustados</w:t>
      </w:r>
      <w:r>
        <w:t xml:space="preserve"> por</w:t>
      </w:r>
    </w:p>
    <w:p w14:paraId="31A068D4" w14:textId="77777777" w:rsidR="00DE3F5D" w:rsidRDefault="00E96965">
      <w:r>
        <w:t>dividendos y splits. Para el análisis agregado de series de tiempo se construye además una</w:t>
      </w:r>
    </w:p>
    <w:p w14:paraId="71E24AFB" w14:textId="77777777" w:rsidR="00DE3F5D" w:rsidRDefault="00E96965">
      <w:r>
        <w:rPr>
          <w:b/>
        </w:rPr>
        <w:t>cartera del sector</w:t>
      </w:r>
      <w:r>
        <w:t>, en sus versiones equiponderada y ponderada por capitalización</w:t>
      </w:r>
    </w:p>
    <w:p w14:paraId="11636158" w14:textId="77777777" w:rsidR="00DE3F5D" w:rsidRDefault="00E96965">
      <w:r>
        <w:t>bursátil (con pesos rezagados un período para evitar sesgo de anticipación).</w:t>
      </w:r>
    </w:p>
    <w:p w14:paraId="2C9A1EA6" w14:textId="77777777" w:rsidR="00DE3F5D" w:rsidRDefault="00E96965">
      <w:pPr>
        <w:pStyle w:val="Ttulo2"/>
      </w:pPr>
      <w:bookmarkStart w:id="30" w:name="_Toc231081559"/>
      <w:r>
        <w:t>3.3 Variables explicativas</w:t>
      </w:r>
      <w:bookmarkEnd w:id="30"/>
    </w:p>
    <w:p w14:paraId="2F968A31" w14:textId="77777777" w:rsidR="00DE3F5D" w:rsidRDefault="00E96965">
      <w:r>
        <w:t xml:space="preserve">Las variables explicativas se agrupan en tres bloques: (a) </w:t>
      </w:r>
      <w:r>
        <w:rPr>
          <w:b/>
        </w:rPr>
        <w:t>macroeconómicas globales</w:t>
      </w:r>
    </w:p>
    <w:p w14:paraId="3D404302" w14:textId="77777777" w:rsidR="00DE3F5D" w:rsidRDefault="00E96965">
      <w:r>
        <w:t>—precio del cobre, índice de volatilidad VIX, tasa de fondos federales, rendimiento del bono</w:t>
      </w:r>
    </w:p>
    <w:p w14:paraId="655768F5" w14:textId="77777777" w:rsidR="00DE3F5D" w:rsidRDefault="00E96965">
      <w:r>
        <w:t xml:space="preserve">del Tesoro a 10 años y precio del petróleo WTI como control—; (b) </w:t>
      </w:r>
      <w:r>
        <w:rPr>
          <w:b/>
        </w:rPr>
        <w:t>macroeconómicas locales</w:t>
      </w:r>
    </w:p>
    <w:p w14:paraId="656278E9" w14:textId="77777777" w:rsidR="00DE3F5D" w:rsidRDefault="00E96965">
      <w:r>
        <w:lastRenderedPageBreak/>
        <w:t>—tipo de cambio USD/CLP, Tasa de Política Monetaria, IMACEC, EMBI Chile e IPC—; y</w:t>
      </w:r>
    </w:p>
    <w:p w14:paraId="0DC570CB" w14:textId="77777777" w:rsidR="00DE3F5D" w:rsidRDefault="00E96965">
      <w:r>
        <w:t xml:space="preserve">(c) </w:t>
      </w:r>
      <w:r>
        <w:rPr>
          <w:b/>
        </w:rPr>
        <w:t>financieras de empresa</w:t>
      </w:r>
      <w:r>
        <w:t xml:space="preserve"> —tamaño, volatilidad y apalancamiento como controles</w:t>
      </w:r>
    </w:p>
    <w:p w14:paraId="6A84CFAB" w14:textId="77777777" w:rsidR="00DE3F5D" w:rsidRDefault="00E96965">
      <w:r>
        <w:t>prioritarios—. La definición operativa, fuente y frecuencia de cada serie se detallan en la</w:t>
      </w:r>
    </w:p>
    <w:p w14:paraId="041FCE9B" w14:textId="77777777" w:rsidR="00DE3F5D" w:rsidRDefault="00E96965">
      <w:r>
        <w:t>Tabla 3.1 (ver `src/config.py`).</w:t>
      </w:r>
    </w:p>
    <w:p w14:paraId="5345D0F9" w14:textId="77777777" w:rsidR="00DE3F5D" w:rsidRDefault="00E96965">
      <w:pPr>
        <w:pStyle w:val="Ttulo2"/>
      </w:pPr>
      <w:bookmarkStart w:id="31" w:name="_Toc231081560"/>
      <w:r>
        <w:t>3.4 Tratamiento de datos y frecuencias mixtas</w:t>
      </w:r>
      <w:bookmarkEnd w:id="31"/>
    </w:p>
    <w:p w14:paraId="386EB0EE" w14:textId="77777777" w:rsidR="00DE3F5D" w:rsidRDefault="00E96965">
      <w:r>
        <w:t xml:space="preserve">Todas las series se llevan a frecuencia mensual </w:t>
      </w:r>
      <w:r>
        <w:t>(último dato del mes para precios, índices y</w:t>
      </w:r>
    </w:p>
    <w:p w14:paraId="09867773" w14:textId="77777777" w:rsidR="00DE3F5D" w:rsidRDefault="00E96965">
      <w:r>
        <w:t>tasas de nivel). Las variables contables, de periodicidad trimestral, se incorporan mediante</w:t>
      </w:r>
    </w:p>
    <w:p w14:paraId="06A13A37" w14:textId="77777777" w:rsidR="00DE3F5D" w:rsidRDefault="00E96965">
      <w:r>
        <w:t>arrastre del último valor conocido (*forward fill*) con un rezago de publicación que evita el</w:t>
      </w:r>
    </w:p>
    <w:p w14:paraId="724315BC" w14:textId="77777777" w:rsidR="00DE3F5D" w:rsidRDefault="00E96965">
      <w:r>
        <w:t>sesgo de anticipación. Las variables identificadas como integradas de orden uno se incorporan</w:t>
      </w:r>
    </w:p>
    <w:p w14:paraId="12A5D1A0" w14:textId="77777777" w:rsidR="00DE3F5D" w:rsidRDefault="00E96965">
      <w:r>
        <w:t xml:space="preserve">en </w:t>
      </w:r>
      <w:r>
        <w:rPr>
          <w:b/>
        </w:rPr>
        <w:t>primera diferencia</w:t>
      </w:r>
      <w:r>
        <w:t xml:space="preserve"> (logarítmica para precios y tipo de cambio), mientras que las</w:t>
      </w:r>
    </w:p>
    <w:p w14:paraId="7E679235" w14:textId="77777777" w:rsidR="00DE3F5D" w:rsidRDefault="00E96965">
      <w:r>
        <w:t>estacionarias entran en nivel. Los retornos se winsorizan opcionalmente al 1% para acotar el</w:t>
      </w:r>
    </w:p>
    <w:p w14:paraId="6660E61A" w14:textId="77777777" w:rsidR="00DE3F5D" w:rsidRDefault="00E96965">
      <w:r>
        <w:t>efecto de colas pesadas, reportándose la sensibilidad de los resultados a este tratamiento.</w:t>
      </w:r>
    </w:p>
    <w:p w14:paraId="2E684E2F" w14:textId="77777777" w:rsidR="00DE3F5D" w:rsidRDefault="00E96965">
      <w:pPr>
        <w:pStyle w:val="Ttulo2"/>
      </w:pPr>
      <w:bookmarkStart w:id="32" w:name="_Toc231081561"/>
      <w:r>
        <w:t>3.5 Datación de las fases del ciclo del cobre</w:t>
      </w:r>
      <w:bookmarkEnd w:id="32"/>
    </w:p>
    <w:p w14:paraId="728C39A3" w14:textId="77777777" w:rsidR="00DE3F5D" w:rsidRDefault="00E96965">
      <w:r>
        <w:t>Las fases del ciclo se determinan aplicando un algoritmo de puntos de giro tipo</w:t>
      </w:r>
    </w:p>
    <w:p w14:paraId="088C16E2" w14:textId="77777777" w:rsidR="00DE3F5D" w:rsidRDefault="00E96965">
      <w:r>
        <w:rPr>
          <w:b/>
        </w:rPr>
        <w:t>Bry-Boschan / Harding-Pagan</w:t>
      </w:r>
      <w:r>
        <w:t xml:space="preserve"> sobre el logaritmo del precio del cobre, que identifica</w:t>
      </w:r>
    </w:p>
    <w:p w14:paraId="0156888A" w14:textId="77777777" w:rsidR="00DE3F5D" w:rsidRDefault="00E96965">
      <w:r>
        <w:t>máximos y mínimos locales en una ventana simétrica, impone alternancia pico-valle y censura</w:t>
      </w:r>
    </w:p>
    <w:p w14:paraId="6FC0BE97" w14:textId="77777777" w:rsidR="00DE3F5D" w:rsidRDefault="00E96965">
      <w:r>
        <w:t>fases y ciclos de duración inferior a los umbrales mínimos. El procedimiento entrega una</w:t>
      </w:r>
    </w:p>
    <w:p w14:paraId="505CAA5B" w14:textId="77777777" w:rsidR="00DE3F5D" w:rsidRDefault="00E96965">
      <w:r>
        <w:t xml:space="preserve">clasificación objetiva y replicable en fases de </w:t>
      </w:r>
      <w:r>
        <w:rPr>
          <w:b/>
        </w:rPr>
        <w:t>expansión</w:t>
      </w:r>
      <w:r>
        <w:t xml:space="preserve"> (valle→pico) y </w:t>
      </w:r>
      <w:r>
        <w:rPr>
          <w:b/>
        </w:rPr>
        <w:t>contracción</w:t>
      </w:r>
    </w:p>
    <w:p w14:paraId="0E00420C" w14:textId="77777777" w:rsidR="00DE3F5D" w:rsidRDefault="00E96965">
      <w:r>
        <w:t>(pico→valle). La datación se realiza sobre el precio del cobre —no sobre las acciones— para</w:t>
      </w:r>
    </w:p>
    <w:p w14:paraId="3AF289CC" w14:textId="77777777" w:rsidR="00DE3F5D" w:rsidRDefault="00E96965">
      <w:r>
        <w:lastRenderedPageBreak/>
        <w:t>evitar circularidad (implementación en `src/cycle_dating.py`).</w:t>
      </w:r>
    </w:p>
    <w:p w14:paraId="059D1CDF" w14:textId="77777777" w:rsidR="00DE3F5D" w:rsidRDefault="00E96965">
      <w:pPr>
        <w:pStyle w:val="Ttulo2"/>
      </w:pPr>
      <w:bookmarkStart w:id="33" w:name="_Toc231081562"/>
      <w:r>
        <w:t>3.6 Estrategia econométrica</w:t>
      </w:r>
      <w:bookmarkEnd w:id="33"/>
    </w:p>
    <w:p w14:paraId="77694E9B" w14:textId="77777777" w:rsidR="00DE3F5D" w:rsidRDefault="00E96965">
      <w:pPr>
        <w:pStyle w:val="Ttulo3"/>
      </w:pPr>
      <w:bookmarkStart w:id="34" w:name="_Toc231081563"/>
      <w:r>
        <w:t>3.6.1 Estacionariedad y orden de integración (OE1)</w:t>
      </w:r>
      <w:bookmarkEnd w:id="34"/>
    </w:p>
    <w:p w14:paraId="1DF987F9" w14:textId="77777777" w:rsidR="00DE3F5D" w:rsidRDefault="00E96965">
      <w:r>
        <w:t>Se aplica una batería de pruebas de raíz unitaria —Dickey-Fuller aumentada (ADF),</w:t>
      </w:r>
    </w:p>
    <w:p w14:paraId="08E21215" w14:textId="77777777" w:rsidR="00DE3F5D" w:rsidRDefault="00E96965">
      <w:r>
        <w:t>Phillips-Perron y KPSS— complementadas con el test de Zivot-Andrews para quiebres</w:t>
      </w:r>
    </w:p>
    <w:p w14:paraId="63DC7310" w14:textId="77777777" w:rsidR="00DE3F5D" w:rsidRDefault="00E96965">
      <w:r>
        <w:t>estructurales endógenos, y sus análogos de panel (Im-Pesaran-Shin, CIPS de Pesaran). La</w:t>
      </w:r>
    </w:p>
    <w:p w14:paraId="1B3718F0" w14:textId="77777777" w:rsidR="00DE3F5D" w:rsidRDefault="00E96965">
      <w:r>
        <w:t>conclusión sobre el orden de integración de cada serie determina la especificación posterior:</w:t>
      </w:r>
    </w:p>
    <w:p w14:paraId="2BC466C9" w14:textId="77777777" w:rsidR="00DE3F5D" w:rsidRDefault="00E96965">
      <w:r>
        <w:t>las variables I(0) ingresan en nivel a los modelos de impacto; las I(1) se diferencian para</w:t>
      </w:r>
    </w:p>
    <w:p w14:paraId="28A7FE52" w14:textId="77777777" w:rsidR="00DE3F5D" w:rsidRDefault="00E96965">
      <w:r>
        <w:t>dichos modelos y se conservan en nivel para el análisis de cointegración.</w:t>
      </w:r>
    </w:p>
    <w:p w14:paraId="4FD44656" w14:textId="77777777" w:rsidR="00DE3F5D" w:rsidRDefault="00E96965">
      <w:pPr>
        <w:pStyle w:val="Ttulo3"/>
      </w:pPr>
      <w:bookmarkStart w:id="35" w:name="_Toc231081564"/>
      <w:r>
        <w:t>3.6.2 Modelo de impacto: panel de efectos fijos (OE2)</w:t>
      </w:r>
      <w:bookmarkEnd w:id="35"/>
    </w:p>
    <w:p w14:paraId="1D9B3413" w14:textId="77777777" w:rsidR="00DE3F5D" w:rsidRDefault="00E96965">
      <w:r>
        <w:t>La sensibilidad de los retornos a los factores macro-financieros se estima mediante un</w:t>
      </w:r>
    </w:p>
    <w:p w14:paraId="662986C8" w14:textId="77777777" w:rsidR="00DE3F5D" w:rsidRDefault="00E96965">
      <w:r>
        <w:t xml:space="preserve">modelo de </w:t>
      </w:r>
      <w:r>
        <w:rPr>
          <w:b/>
        </w:rPr>
        <w:t>datos de panel con efectos fijos por empresa</w:t>
      </w:r>
      <w:r>
        <w:t>:</w:t>
      </w:r>
    </w:p>
    <w:p w14:paraId="6224843D" w14:textId="77777777" w:rsidR="00DE3F5D" w:rsidRDefault="00E96965">
      <w:r>
        <w:t>$$r_{i,t} = \alpha_i + \beta_1 \Delta cobre_t + \beta_2 \Delta TC_t + \beta_3 \Delta tasa_t + \beta_4 \Delta VIX_t + \gamma' X_{i,t} + \varepsilon_{i,t}$$</w:t>
      </w:r>
    </w:p>
    <w:p w14:paraId="2DF21358" w14:textId="77777777" w:rsidR="00DE3F5D" w:rsidRDefault="00E96965">
      <w:r>
        <w:t xml:space="preserve">La inferencia emplea errores estándar de </w:t>
      </w:r>
      <w:r>
        <w:rPr>
          <w:b/>
        </w:rPr>
        <w:t>Driscoll-Kraay</w:t>
      </w:r>
      <w:r>
        <w:t>, robustos a heterocedasticidad,</w:t>
      </w:r>
    </w:p>
    <w:p w14:paraId="3ADCE21F" w14:textId="77777777" w:rsidR="00DE3F5D" w:rsidRDefault="00E96965">
      <w:r>
        <w:t xml:space="preserve">autocorrelación y </w:t>
      </w:r>
      <w:r>
        <w:rPr>
          <w:b/>
        </w:rPr>
        <w:t xml:space="preserve">dependencia de sección </w:t>
      </w:r>
      <w:r>
        <w:rPr>
          <w:b/>
        </w:rPr>
        <w:t>cruzada</w:t>
      </w:r>
      <w:r>
        <w:t xml:space="preserve"> —esta última esperable dado el factor</w:t>
      </w:r>
    </w:p>
    <w:p w14:paraId="46DBA038" w14:textId="77777777" w:rsidR="00DE3F5D" w:rsidRDefault="00E96965">
      <w:r>
        <w:t>común que representa el precio del cobre—. Como especificación de referencia se estima en</w:t>
      </w:r>
    </w:p>
    <w:p w14:paraId="729E5FD4" w14:textId="77777777" w:rsidR="00DE3F5D" w:rsidRDefault="00E96965">
      <w:r>
        <w:t>paralelo un modelo de serie de tiempo sobre la cartera del sector con errores HAC</w:t>
      </w:r>
    </w:p>
    <w:p w14:paraId="40CF3FE7" w14:textId="77777777" w:rsidR="00DE3F5D" w:rsidRDefault="00E96965">
      <w:r>
        <w:t xml:space="preserve">(Newey-West). El contraste de dominancia </w:t>
      </w:r>
      <w:r>
        <w:rPr>
          <w:b/>
        </w:rPr>
        <w:t>global versus local</w:t>
      </w:r>
      <w:r>
        <w:t xml:space="preserve"> (H6) se realiza mediante</w:t>
      </w:r>
    </w:p>
    <w:p w14:paraId="69D34C5E" w14:textId="77777777" w:rsidR="00DE3F5D" w:rsidRDefault="00E96965">
      <w:r>
        <w:t>tests de Wald de significancia conjunta por bloque de regresores.</w:t>
      </w:r>
    </w:p>
    <w:p w14:paraId="6A25AEFA" w14:textId="77777777" w:rsidR="00DE3F5D" w:rsidRDefault="00E96965">
      <w:pPr>
        <w:pStyle w:val="Ttulo3"/>
      </w:pPr>
      <w:bookmarkStart w:id="36" w:name="_Toc231081565"/>
      <w:r>
        <w:t>3.6.3 Relaciones de largo plazo: cointegración (OE3)</w:t>
      </w:r>
      <w:bookmarkEnd w:id="36"/>
    </w:p>
    <w:p w14:paraId="42B69E30" w14:textId="77777777" w:rsidR="00DE3F5D" w:rsidRDefault="00E96965">
      <w:r>
        <w:t>Sobre las variables en nivel I(1) se evalúa la existencia de relaciones de equilibrio de</w:t>
      </w:r>
    </w:p>
    <w:p w14:paraId="72DF6A75" w14:textId="77777777" w:rsidR="00DE3F5D" w:rsidRDefault="00E96965">
      <w:r>
        <w:t xml:space="preserve">largo plazo. El procedimiento principal es el </w:t>
      </w:r>
      <w:r>
        <w:rPr>
          <w:b/>
        </w:rPr>
        <w:t>test de bordes ARDL</w:t>
      </w:r>
      <w:r>
        <w:t xml:space="preserve"> (Pesaran, Shin y Smith,</w:t>
      </w:r>
    </w:p>
    <w:p w14:paraId="0003EE3D" w14:textId="77777777" w:rsidR="00DE3F5D" w:rsidRDefault="00E96965">
      <w:r>
        <w:lastRenderedPageBreak/>
        <w:t>2001), por su flexibilidad ante regresores de distinto orden de integración, contrastado con</w:t>
      </w:r>
    </w:p>
    <w:p w14:paraId="31D744A5" w14:textId="77777777" w:rsidR="00DE3F5D" w:rsidRDefault="00E96965">
      <w:r>
        <w:t xml:space="preserve">el test de </w:t>
      </w:r>
      <w:r>
        <w:rPr>
          <w:b/>
        </w:rPr>
        <w:t>Johansen</w:t>
      </w:r>
      <w:r>
        <w:t xml:space="preserve"> sobre el subconjunto claramente I(1) y, a nivel de panel, con el test</w:t>
      </w:r>
    </w:p>
    <w:p w14:paraId="2A714769" w14:textId="77777777" w:rsidR="00DE3F5D" w:rsidRDefault="00E96965">
      <w:r>
        <w:t xml:space="preserve">de </w:t>
      </w:r>
      <w:r>
        <w:rPr>
          <w:b/>
        </w:rPr>
        <w:t>Westerlund</w:t>
      </w:r>
      <w:r>
        <w:t>. De verificarse cointegración, se estima un **modelo vectorial de corrección</w:t>
      </w:r>
    </w:p>
    <w:p w14:paraId="56CD43CC" w14:textId="77777777" w:rsidR="00DE3F5D" w:rsidRDefault="00E96965">
      <w:r>
        <w:t>de error (VECM)** de la forma</w:t>
      </w:r>
    </w:p>
    <w:p w14:paraId="1BAED798" w14:textId="77777777" w:rsidR="00DE3F5D" w:rsidRDefault="00E96965">
      <w:r>
        <w:t>donde y_t agrupa las variables en nivel I(1), β′y_{t-1} es el término de corrección de error que</w:t>
      </w:r>
    </w:p>
    <w:p w14:paraId="1D91A25C" w14:textId="77777777" w:rsidR="00DE3F5D" w:rsidRDefault="00E96965">
      <w:r>
        <w:t>recoge la desviación respecto del equilibrio de largo plazo, α mide la velocidad con que cada</w:t>
      </w:r>
    </w:p>
    <w:p w14:paraId="770E697A" w14:textId="77777777" w:rsidR="00DE3F5D" w:rsidRDefault="00E96965">
      <w:r>
        <w:t>variable corrige dicha desviación, y Γ_i captura la dinámica de corto plazo. Adicionalmente, dado</w:t>
      </w:r>
    </w:p>
    <w:p w14:paraId="7EF16726" w14:textId="77777777" w:rsidR="00DE3F5D" w:rsidRDefault="00E96965">
      <w:r>
        <w:t>que las pruebas anteriores suponen una relación estable, se aplica el test de **Gregory-Hansen</w:t>
      </w:r>
    </w:p>
    <w:p w14:paraId="0E0F2A7F" w14:textId="77777777" w:rsidR="00DE3F5D" w:rsidRDefault="00E96965">
      <w:r>
        <w:t>(1996)**, que admite un quiebre estructural endógeno en la relación de cointegración, apropiado</w:t>
      </w:r>
    </w:p>
    <w:p w14:paraId="76DE1031" w14:textId="77777777" w:rsidR="00DE3F5D" w:rsidRDefault="00E96965">
      <w:r>
        <w:t>para un sector sujeto a ciclos pronunciados del commodity.</w:t>
      </w:r>
    </w:p>
    <w:p w14:paraId="402021A2" w14:textId="77777777" w:rsidR="00DE3F5D" w:rsidRDefault="00E96965">
      <w:pPr>
        <w:pStyle w:val="Ttulo3"/>
      </w:pPr>
      <w:bookmarkStart w:id="37" w:name="_Toc231081566"/>
      <w:r>
        <w:t>3.6.4 Dinámica de shocks: VAR, impulso-respuesta y descomposición de varianza (OE4)</w:t>
      </w:r>
      <w:bookmarkEnd w:id="37"/>
    </w:p>
    <w:p w14:paraId="2BB72B2E" w14:textId="77777777" w:rsidR="00DE3F5D" w:rsidRDefault="00E96965">
      <w:r>
        <w:t>La respuesta dinámica de los retornos a perturbaciones macroeconómicas se analiza mediante un</w:t>
      </w:r>
    </w:p>
    <w:p w14:paraId="2D0049B2" w14:textId="77777777" w:rsidR="00DE3F5D" w:rsidRDefault="00E96965">
      <w:r>
        <w:t xml:space="preserve">modelo </w:t>
      </w:r>
      <w:r>
        <w:rPr>
          <w:b/>
        </w:rPr>
        <w:t>VAR</w:t>
      </w:r>
      <w:r>
        <w:t xml:space="preserve"> de orden *p*, y_t = c + Σ_{i=1}^{p} A_i y_{t-i} + u_t, cuya representación de medias</w:t>
      </w:r>
    </w:p>
    <w:p w14:paraId="7F17FE2A" w14:textId="77777777" w:rsidR="00DE3F5D" w:rsidRDefault="00E96965">
      <w:r>
        <w:t>móviles y_t = μ + Σ_{j=0}^{∞} Φ_j u_{t-j} permite computar las funciones impulso-respuesta. La</w:t>
      </w:r>
    </w:p>
    <w:p w14:paraId="567E7C8E" w14:textId="77777777" w:rsidR="00DE3F5D" w:rsidRDefault="00E96965">
      <w:r>
        <w:rPr>
          <w:b/>
        </w:rPr>
        <w:t>descomposición de la varianza del error de pronóstico (FEVD)</w:t>
      </w:r>
      <w:r>
        <w:t xml:space="preserve"> a horizonte *h* mide la fracción</w:t>
      </w:r>
    </w:p>
    <w:p w14:paraId="4D7D319F" w14:textId="77777777" w:rsidR="00DE3F5D" w:rsidRDefault="00E96965">
      <w:r>
        <w:t>de la varianza del error de predicción de cada variable atribuible a cada shock estructural,</w:t>
      </w:r>
    </w:p>
    <w:p w14:paraId="56E57907" w14:textId="77777777" w:rsidR="00DE3F5D" w:rsidRDefault="00E96965">
      <w:r>
        <w:lastRenderedPageBreak/>
        <w:t>ω_{i←j}(h) = [Σ_{s=0}^{h-1} (e_i′ Θ_s e_j)²] / [Σ_{s=0}^{h-1} (e_i′ Θ_s Θ_s′ e_i)], donde Θ_s son</w:t>
      </w:r>
    </w:p>
    <w:p w14:paraId="3C60DA55" w14:textId="77777777" w:rsidR="00DE3F5D" w:rsidRDefault="00E96965">
      <w:r>
        <w:t>los coeficientes de impulso-respuesta ortogonalizados. La identificación de los shocks</w:t>
      </w:r>
    </w:p>
    <w:p w14:paraId="6AA4D215" w14:textId="77777777" w:rsidR="00DE3F5D" w:rsidRDefault="00E96965">
      <w:r>
        <w:t xml:space="preserve">estructurales se realiza por </w:t>
      </w:r>
      <w:r>
        <w:rPr>
          <w:b/>
        </w:rPr>
        <w:t>descomposición de Cholesky</w:t>
      </w:r>
      <w:r>
        <w:t>, con un ordenamiento de las</w:t>
      </w:r>
    </w:p>
    <w:p w14:paraId="501C5C59" w14:textId="77777777" w:rsidR="00DE3F5D" w:rsidRDefault="00E96965">
      <w:r>
        <w:t>variables según su grado de exogeneidad —el precio del cobre, determinado en el mercado</w:t>
      </w:r>
    </w:p>
    <w:p w14:paraId="6B0FB1AC" w14:textId="77777777" w:rsidR="00DE3F5D" w:rsidRDefault="00E96965">
      <w:r>
        <w:t>global, se ordena primero, y la acción, como variable más endógena, al final—. Se reportan las</w:t>
      </w:r>
    </w:p>
    <w:p w14:paraId="5420108A" w14:textId="77777777" w:rsidR="00DE3F5D" w:rsidRDefault="00E96965">
      <w:r>
        <w:rPr>
          <w:b/>
        </w:rPr>
        <w:t>funciones impulso-respuesta</w:t>
      </w:r>
      <w:r>
        <w:t xml:space="preserve"> y la </w:t>
      </w:r>
      <w:r>
        <w:rPr>
          <w:b/>
        </w:rPr>
        <w:t>descomposición de la varianza del error de pronóstico</w:t>
      </w:r>
      <w:r>
        <w:t>,</w:t>
      </w:r>
    </w:p>
    <w:p w14:paraId="6D275E1D" w14:textId="77777777" w:rsidR="00DE3F5D" w:rsidRDefault="00E96965">
      <w:r>
        <w:t>esta última como evidencia directa para la hipótesis de dominancia global (H6). La robustez de</w:t>
      </w:r>
    </w:p>
    <w:p w14:paraId="1A527287" w14:textId="77777777" w:rsidR="00DE3F5D" w:rsidRDefault="00E96965">
      <w:r>
        <w:t>las conclusiones a la identificación se verifica mediante reordenamientos e impulso-respuestas</w:t>
      </w:r>
    </w:p>
    <w:p w14:paraId="68005F69" w14:textId="77777777" w:rsidR="00DE3F5D" w:rsidRDefault="00E96965">
      <w:r>
        <w:t xml:space="preserve">generalizadas (Pesaran y Shin, 1998), así </w:t>
      </w:r>
      <w:r>
        <w:t>como con tests de causalidad de Granger.</w:t>
      </w:r>
    </w:p>
    <w:p w14:paraId="71592C16" w14:textId="77777777" w:rsidR="00DE3F5D" w:rsidRDefault="00E96965">
      <w:pPr>
        <w:pStyle w:val="Ttulo3"/>
      </w:pPr>
      <w:bookmarkStart w:id="38" w:name="_Toc231081567"/>
      <w:r>
        <w:t>3.6.5 Estabilidad por fases del ciclo (OE5)</w:t>
      </w:r>
      <w:bookmarkEnd w:id="38"/>
    </w:p>
    <w:p w14:paraId="04FD4C3F" w14:textId="77777777" w:rsidR="00DE3F5D" w:rsidRDefault="00E96965">
      <w:r>
        <w:t>La estabilidad de las relaciones se evalúa incorporando la fase del ciclo del cobre mediante</w:t>
      </w:r>
    </w:p>
    <w:p w14:paraId="0462B0EE" w14:textId="77777777" w:rsidR="00DE3F5D" w:rsidRDefault="00E96965">
      <w:r>
        <w:rPr>
          <w:b/>
        </w:rPr>
        <w:t>términos de interacción</w:t>
      </w:r>
      <w:r>
        <w:t xml:space="preserve"> entre los factores y una variable indicadora de régimen, y</w:t>
      </w:r>
    </w:p>
    <w:p w14:paraId="592A5C19" w14:textId="77777777" w:rsidR="00DE3F5D" w:rsidRDefault="00E96965">
      <w:r>
        <w:t>re-estimando los modelos por subperíodo. El término de interacción mide si la sensibilidad de</w:t>
      </w:r>
    </w:p>
    <w:p w14:paraId="491C096B" w14:textId="77777777" w:rsidR="00DE3F5D" w:rsidRDefault="00E96965">
      <w:r>
        <w:t>los retornos a cada factor —en particular al precio del cobre— difiere entre expansión y</w:t>
      </w:r>
    </w:p>
    <w:p w14:paraId="53A21BA5" w14:textId="77777777" w:rsidR="00DE3F5D" w:rsidRDefault="00E96965">
      <w:r>
        <w:t>contracción. Como análisis de robustez se considera un modelo de **cambio de régimen de</w:t>
      </w:r>
    </w:p>
    <w:p w14:paraId="0D0B779D" w14:textId="77777777" w:rsidR="00DE3F5D" w:rsidRDefault="00E96965">
      <w:r>
        <w:t>Markov** que detecta los estados de forma endógena.</w:t>
      </w:r>
    </w:p>
    <w:p w14:paraId="0BF88061" w14:textId="77777777" w:rsidR="00DE3F5D" w:rsidRDefault="00E96965">
      <w:pPr>
        <w:pStyle w:val="Ttulo3"/>
      </w:pPr>
      <w:bookmarkStart w:id="39" w:name="_Toc231081568"/>
      <w:r>
        <w:t>3.6.6 Comparación entre mercados: triangulación (OE6)</w:t>
      </w:r>
      <w:bookmarkEnd w:id="39"/>
    </w:p>
    <w:p w14:paraId="5761C182" w14:textId="77777777" w:rsidR="00DE3F5D" w:rsidRDefault="00E96965">
      <w:r>
        <w:t>La totalidad del análisis precedente (3.6.1 a 3.6.5) se ejecuta de forma paralela sobre las tres</w:t>
      </w:r>
    </w:p>
    <w:p w14:paraId="5C4981E0" w14:textId="77777777" w:rsidR="00DE3F5D" w:rsidRDefault="00E96965">
      <w:r>
        <w:lastRenderedPageBreak/>
        <w:t xml:space="preserve">muestras —cobre en el </w:t>
      </w:r>
      <w:r>
        <w:t>mercado global (B), cobre en el mercado chileno (A) y sector minero chileno</w:t>
      </w:r>
    </w:p>
    <w:p w14:paraId="0B084C90" w14:textId="77777777" w:rsidR="00DE3F5D" w:rsidRDefault="00E96965">
      <w:r>
        <w:t>(C)—. La comparación sistemática de los coeficientes de sensibilidad, de la velocidad de ajuste</w:t>
      </w:r>
    </w:p>
    <w:p w14:paraId="586DF026" w14:textId="77777777" w:rsidR="00DE3F5D" w:rsidRDefault="00E96965">
      <w:r>
        <w:t>del mecanismo de corrección de error y de la descomposición de varianza entre muestras permite</w:t>
      </w:r>
    </w:p>
    <w:p w14:paraId="0CA2D8B8" w14:textId="77777777" w:rsidR="00DE3F5D" w:rsidRDefault="00E96965">
      <w:r>
        <w:t>contrastar si el mercado bursátil global incorpora los shocks macroeconómicos de manera más</w:t>
      </w:r>
    </w:p>
    <w:p w14:paraId="5E60C86F" w14:textId="77777777" w:rsidR="00DE3F5D" w:rsidRDefault="00E96965">
      <w:r>
        <w:t>rápida y completa que el mercado chileno (hipótesis H7). Esta comparación se sustenta en la</w:t>
      </w:r>
    </w:p>
    <w:p w14:paraId="41F63001" w14:textId="77777777" w:rsidR="00DE3F5D" w:rsidRDefault="00E96965">
      <w:r>
        <w:t>literatura sobre eficiencia informacional y segmentación de mercados, y constituye un aporte</w:t>
      </w:r>
    </w:p>
    <w:p w14:paraId="1C9C5C80" w14:textId="77777777" w:rsidR="00DE3F5D" w:rsidRDefault="00E96965">
      <w:r>
        <w:t>distintivo del estudio. Los resultados se consolidan en una tabla comparativa única por muestra.</w:t>
      </w:r>
    </w:p>
    <w:p w14:paraId="35954E93" w14:textId="77777777" w:rsidR="00DE3F5D" w:rsidRDefault="00E96965">
      <w:pPr>
        <w:pStyle w:val="Ttulo2"/>
      </w:pPr>
      <w:bookmarkStart w:id="40" w:name="_Toc231081569"/>
      <w:r>
        <w:t>3.7 Validación de supuestos y robustez</w:t>
      </w:r>
      <w:bookmarkEnd w:id="40"/>
    </w:p>
    <w:p w14:paraId="3BF44075" w14:textId="77777777" w:rsidR="00DE3F5D" w:rsidRDefault="00E96965">
      <w:r>
        <w:t>Para cada familia de modelos se verifican los supuestos pertinentes: ausencia de</w:t>
      </w:r>
    </w:p>
    <w:p w14:paraId="2459A74A" w14:textId="77777777" w:rsidR="00DE3F5D" w:rsidRDefault="00E96965">
      <w:r>
        <w:t>autocorrelación (Breusch-Godfrey, Ljung-Box) y de heterocedasticidad (con atención a efectos</w:t>
      </w:r>
    </w:p>
    <w:p w14:paraId="1E73931C" w14:textId="77777777" w:rsidR="00DE3F5D" w:rsidRDefault="00E96965">
      <w:r>
        <w:t>ARCH, dada la naturaleza financiera de los retornos), dependencia de sección cruzada en el</w:t>
      </w:r>
    </w:p>
    <w:p w14:paraId="52DF48C0" w14:textId="77777777" w:rsidR="00DE3F5D" w:rsidRDefault="00E96965">
      <w:r>
        <w:t>panel (test CD de Pesaran), estabilidad del VAR (raíces dentro del círculo unitario) y</w:t>
      </w:r>
    </w:p>
    <w:p w14:paraId="5AF6D4B3" w14:textId="77777777" w:rsidR="00DE3F5D" w:rsidRDefault="00E96965">
      <w:r>
        <w:t>selección de rezagos por criterios de información. La robustez de los resultados se examina</w:t>
      </w:r>
    </w:p>
    <w:p w14:paraId="4A4AC6E5" w14:textId="77777777" w:rsidR="00DE3F5D" w:rsidRDefault="00E96965">
      <w:r>
        <w:t>mediante submuestras, definiciones alternativas de las variables (cobre spot frente a futuros;</w:t>
      </w:r>
    </w:p>
    <w:p w14:paraId="31BD204D" w14:textId="77777777" w:rsidR="00DE3F5D" w:rsidRDefault="00E96965">
      <w:r>
        <w:t>cartera equiponderada frente a ponderada por capitalización) y la inclusión o exclusión de</w:t>
      </w:r>
    </w:p>
    <w:p w14:paraId="3F8CED09" w14:textId="77777777" w:rsidR="00DE3F5D" w:rsidRDefault="00E96965">
      <w:r>
        <w:t>períodos atípicos como la crisis de 2008 y la pandemia de 2020.</w:t>
      </w:r>
    </w:p>
    <w:p w14:paraId="1C6E3B8D" w14:textId="77777777" w:rsidR="00DE3F5D" w:rsidRDefault="00E96965">
      <w:pPr>
        <w:pStyle w:val="Ttulo3"/>
      </w:pPr>
      <w:bookmarkStart w:id="41" w:name="_Toc231081570"/>
      <w:r>
        <w:lastRenderedPageBreak/>
        <w:t>Tabla 3.1 — Definición operativa de variables (resumen)</w:t>
      </w:r>
      <w:bookmarkEnd w:id="41"/>
    </w:p>
    <w:p w14:paraId="4BEF5C6D" w14:textId="17DEE123" w:rsidR="00DE3F5D" w:rsidRDefault="00E96965">
      <w:pPr>
        <w:pStyle w:val="Descripcin"/>
        <w:jc w:val="center"/>
      </w:pPr>
      <w:bookmarkStart w:id="42" w:name="_Toc231081599"/>
      <w:r>
        <w:rPr>
          <w:sz w:val="20"/>
        </w:rPr>
        <w:t xml:space="preserve">Tabla </w:t>
      </w:r>
      <w:r>
        <w:fldChar w:fldCharType="begin"/>
      </w:r>
      <w:r>
        <w:instrText xml:space="preserve"> SEQ Tabla \* ARABIC </w:instrText>
      </w:r>
      <w:r>
        <w:fldChar w:fldCharType="separate"/>
      </w:r>
      <w:r>
        <w:rPr>
          <w:noProof/>
        </w:rPr>
        <w:t>1</w:t>
      </w:r>
      <w:r>
        <w:fldChar w:fldCharType="end"/>
      </w:r>
      <w:r>
        <w:rPr>
          <w:sz w:val="20"/>
        </w:rPr>
        <w:t>.</w:t>
      </w:r>
      <w:bookmarkEnd w:id="42"/>
      <w:r>
        <w:rPr>
          <w:sz w:val="20"/>
        </w:rPr>
        <w:t xml:space="preserve"> </w:t>
      </w:r>
    </w:p>
    <w:tbl>
      <w:tblPr>
        <w:tblStyle w:val="Cuadrculaclara-nfasis1"/>
        <w:tblW w:w="0" w:type="auto"/>
        <w:tblLook w:val="04A0" w:firstRow="1" w:lastRow="0" w:firstColumn="1" w:lastColumn="0" w:noHBand="0" w:noVBand="1"/>
      </w:tblPr>
      <w:tblGrid>
        <w:gridCol w:w="1291"/>
        <w:gridCol w:w="1527"/>
        <w:gridCol w:w="1683"/>
        <w:gridCol w:w="1036"/>
        <w:gridCol w:w="1916"/>
        <w:gridCol w:w="1605"/>
      </w:tblGrid>
      <w:tr w:rsidR="00DE3F5D" w14:paraId="3129E0B7"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8B99106" w14:textId="77777777" w:rsidR="00DE3F5D" w:rsidRDefault="00E96965">
            <w:r>
              <w:rPr>
                <w:sz w:val="20"/>
              </w:rPr>
              <w:t>Bloque</w:t>
            </w:r>
          </w:p>
        </w:tc>
        <w:tc>
          <w:tcPr>
            <w:tcW w:w="1474" w:type="dxa"/>
          </w:tcPr>
          <w:p w14:paraId="41FD5B56"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Variable</w:t>
            </w:r>
          </w:p>
        </w:tc>
        <w:tc>
          <w:tcPr>
            <w:tcW w:w="1474" w:type="dxa"/>
          </w:tcPr>
          <w:p w14:paraId="2FA5C903"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Proxy</w:t>
            </w:r>
          </w:p>
        </w:tc>
        <w:tc>
          <w:tcPr>
            <w:tcW w:w="1474" w:type="dxa"/>
          </w:tcPr>
          <w:p w14:paraId="061D389B"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Fuente</w:t>
            </w:r>
          </w:p>
        </w:tc>
        <w:tc>
          <w:tcPr>
            <w:tcW w:w="1474" w:type="dxa"/>
          </w:tcPr>
          <w:p w14:paraId="2A1154D9"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Frecuencia</w:t>
            </w:r>
          </w:p>
        </w:tc>
        <w:tc>
          <w:tcPr>
            <w:tcW w:w="1474" w:type="dxa"/>
          </w:tcPr>
          <w:p w14:paraId="75F0C7B2"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Transformación</w:t>
            </w:r>
          </w:p>
        </w:tc>
      </w:tr>
      <w:tr w:rsidR="00DE3F5D" w14:paraId="2F1CCBB0"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E9E996F" w14:textId="77777777" w:rsidR="00DE3F5D" w:rsidRDefault="00E96965">
            <w:r>
              <w:rPr>
                <w:sz w:val="20"/>
              </w:rPr>
              <w:t>Dependiente</w:t>
            </w:r>
          </w:p>
        </w:tc>
        <w:tc>
          <w:tcPr>
            <w:tcW w:w="1474" w:type="dxa"/>
          </w:tcPr>
          <w:p w14:paraId="1570FFB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Retorno</w:t>
            </w:r>
          </w:p>
        </w:tc>
        <w:tc>
          <w:tcPr>
            <w:tcW w:w="1474" w:type="dxa"/>
          </w:tcPr>
          <w:p w14:paraId="2B0E881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Δlog precio ajustado</w:t>
            </w:r>
          </w:p>
        </w:tc>
        <w:tc>
          <w:tcPr>
            <w:tcW w:w="1474" w:type="dxa"/>
          </w:tcPr>
          <w:p w14:paraId="6786A85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1474" w:type="dxa"/>
          </w:tcPr>
          <w:p w14:paraId="33F4622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4167330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w:t>
            </w:r>
          </w:p>
        </w:tc>
      </w:tr>
      <w:tr w:rsidR="00DE3F5D" w14:paraId="7AE4DC08"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EBEF15B" w14:textId="77777777" w:rsidR="00DE3F5D" w:rsidRDefault="00E96965">
            <w:r>
              <w:rPr>
                <w:sz w:val="20"/>
              </w:rPr>
              <w:t>Global</w:t>
            </w:r>
          </w:p>
        </w:tc>
        <w:tc>
          <w:tcPr>
            <w:tcW w:w="1474" w:type="dxa"/>
          </w:tcPr>
          <w:p w14:paraId="7E3E28C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Cobre</w:t>
            </w:r>
          </w:p>
        </w:tc>
        <w:tc>
          <w:tcPr>
            <w:tcW w:w="1474" w:type="dxa"/>
          </w:tcPr>
          <w:p w14:paraId="31AED90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Precio LME/global</w:t>
            </w:r>
          </w:p>
        </w:tc>
        <w:tc>
          <w:tcPr>
            <w:tcW w:w="1474" w:type="dxa"/>
          </w:tcPr>
          <w:p w14:paraId="1BC86B5C"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Cochilco / FRED</w:t>
            </w:r>
          </w:p>
        </w:tc>
        <w:tc>
          <w:tcPr>
            <w:tcW w:w="1474" w:type="dxa"/>
          </w:tcPr>
          <w:p w14:paraId="72CB7A6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03234398"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Δlog</w:t>
            </w:r>
          </w:p>
        </w:tc>
      </w:tr>
      <w:tr w:rsidR="00DE3F5D" w14:paraId="662D6F78"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8DA197E" w14:textId="77777777" w:rsidR="00DE3F5D" w:rsidRDefault="00E96965">
            <w:r>
              <w:rPr>
                <w:sz w:val="20"/>
              </w:rPr>
              <w:t>Global</w:t>
            </w:r>
          </w:p>
        </w:tc>
        <w:tc>
          <w:tcPr>
            <w:tcW w:w="1474" w:type="dxa"/>
          </w:tcPr>
          <w:p w14:paraId="2210C7A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Riesgo</w:t>
            </w:r>
          </w:p>
        </w:tc>
        <w:tc>
          <w:tcPr>
            <w:tcW w:w="1474" w:type="dxa"/>
          </w:tcPr>
          <w:p w14:paraId="78C6F83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VIX</w:t>
            </w:r>
          </w:p>
        </w:tc>
        <w:tc>
          <w:tcPr>
            <w:tcW w:w="1474" w:type="dxa"/>
          </w:tcPr>
          <w:p w14:paraId="042D9E4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651D5E6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32BBB57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Δ</w:t>
            </w:r>
          </w:p>
        </w:tc>
      </w:tr>
      <w:tr w:rsidR="00DE3F5D" w14:paraId="5A635CDE"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81A353E" w14:textId="77777777" w:rsidR="00DE3F5D" w:rsidRDefault="00E96965">
            <w:r>
              <w:rPr>
                <w:sz w:val="20"/>
              </w:rPr>
              <w:t>Global</w:t>
            </w:r>
          </w:p>
        </w:tc>
        <w:tc>
          <w:tcPr>
            <w:tcW w:w="1474" w:type="dxa"/>
          </w:tcPr>
          <w:p w14:paraId="207985E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Tasa externa</w:t>
            </w:r>
          </w:p>
        </w:tc>
        <w:tc>
          <w:tcPr>
            <w:tcW w:w="1474" w:type="dxa"/>
          </w:tcPr>
          <w:p w14:paraId="7111FA6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Fed Funds / 10Y</w:t>
            </w:r>
          </w:p>
        </w:tc>
        <w:tc>
          <w:tcPr>
            <w:tcW w:w="1474" w:type="dxa"/>
          </w:tcPr>
          <w:p w14:paraId="59C0305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FRED</w:t>
            </w:r>
          </w:p>
        </w:tc>
        <w:tc>
          <w:tcPr>
            <w:tcW w:w="1474" w:type="dxa"/>
          </w:tcPr>
          <w:p w14:paraId="3D0A404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4D51E8F8"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Δ</w:t>
            </w:r>
          </w:p>
        </w:tc>
      </w:tr>
      <w:tr w:rsidR="00DE3F5D" w14:paraId="6ADAD1A1"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0EE8445" w14:textId="77777777" w:rsidR="00DE3F5D" w:rsidRDefault="00E96965">
            <w:r>
              <w:rPr>
                <w:sz w:val="20"/>
              </w:rPr>
              <w:t>Global</w:t>
            </w:r>
          </w:p>
        </w:tc>
        <w:tc>
          <w:tcPr>
            <w:tcW w:w="1474" w:type="dxa"/>
          </w:tcPr>
          <w:p w14:paraId="495519D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Control</w:t>
            </w:r>
          </w:p>
        </w:tc>
        <w:tc>
          <w:tcPr>
            <w:tcW w:w="1474" w:type="dxa"/>
          </w:tcPr>
          <w:p w14:paraId="60CC3D1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WTI</w:t>
            </w:r>
          </w:p>
        </w:tc>
        <w:tc>
          <w:tcPr>
            <w:tcW w:w="1474" w:type="dxa"/>
          </w:tcPr>
          <w:p w14:paraId="1650973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2CC5D62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3CB4457E"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Δlog</w:t>
            </w:r>
          </w:p>
        </w:tc>
      </w:tr>
      <w:tr w:rsidR="00DE3F5D" w14:paraId="0407EE0B"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7A90C0A" w14:textId="77777777" w:rsidR="00DE3F5D" w:rsidRDefault="00E96965">
            <w:r>
              <w:rPr>
                <w:sz w:val="20"/>
              </w:rPr>
              <w:t>Local</w:t>
            </w:r>
          </w:p>
        </w:tc>
        <w:tc>
          <w:tcPr>
            <w:tcW w:w="1474" w:type="dxa"/>
          </w:tcPr>
          <w:p w14:paraId="5B3FD3E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Tipo de cambio</w:t>
            </w:r>
          </w:p>
        </w:tc>
        <w:tc>
          <w:tcPr>
            <w:tcW w:w="1474" w:type="dxa"/>
          </w:tcPr>
          <w:p w14:paraId="3AB0C02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USD/CLP</w:t>
            </w:r>
          </w:p>
        </w:tc>
        <w:tc>
          <w:tcPr>
            <w:tcW w:w="1474" w:type="dxa"/>
          </w:tcPr>
          <w:p w14:paraId="29C74D7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BCCh / FRED</w:t>
            </w:r>
          </w:p>
        </w:tc>
        <w:tc>
          <w:tcPr>
            <w:tcW w:w="1474" w:type="dxa"/>
          </w:tcPr>
          <w:p w14:paraId="5DF4814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Diaria→mensual</w:t>
            </w:r>
          </w:p>
        </w:tc>
        <w:tc>
          <w:tcPr>
            <w:tcW w:w="1474" w:type="dxa"/>
          </w:tcPr>
          <w:p w14:paraId="0810B54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Δlog</w:t>
            </w:r>
          </w:p>
        </w:tc>
      </w:tr>
      <w:tr w:rsidR="00DE3F5D" w14:paraId="14349BAF"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F43CFC6" w14:textId="77777777" w:rsidR="00DE3F5D" w:rsidRDefault="00E96965">
            <w:r>
              <w:rPr>
                <w:sz w:val="20"/>
              </w:rPr>
              <w:t>Local</w:t>
            </w:r>
          </w:p>
        </w:tc>
        <w:tc>
          <w:tcPr>
            <w:tcW w:w="1474" w:type="dxa"/>
          </w:tcPr>
          <w:p w14:paraId="2786A61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Tasa local</w:t>
            </w:r>
          </w:p>
        </w:tc>
        <w:tc>
          <w:tcPr>
            <w:tcW w:w="1474" w:type="dxa"/>
          </w:tcPr>
          <w:p w14:paraId="739F6F7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TPM</w:t>
            </w:r>
          </w:p>
        </w:tc>
        <w:tc>
          <w:tcPr>
            <w:tcW w:w="1474" w:type="dxa"/>
          </w:tcPr>
          <w:p w14:paraId="468311C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2D4DBCF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1A56EFA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Δ</w:t>
            </w:r>
          </w:p>
        </w:tc>
      </w:tr>
      <w:tr w:rsidR="00DE3F5D" w14:paraId="1B2F3787"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1453D06" w14:textId="77777777" w:rsidR="00DE3F5D" w:rsidRDefault="00E96965">
            <w:r>
              <w:rPr>
                <w:sz w:val="20"/>
              </w:rPr>
              <w:t>Local</w:t>
            </w:r>
          </w:p>
        </w:tc>
        <w:tc>
          <w:tcPr>
            <w:tcW w:w="1474" w:type="dxa"/>
          </w:tcPr>
          <w:p w14:paraId="1842EEB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Actividad</w:t>
            </w:r>
          </w:p>
        </w:tc>
        <w:tc>
          <w:tcPr>
            <w:tcW w:w="1474" w:type="dxa"/>
          </w:tcPr>
          <w:p w14:paraId="5ACCACA8"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IMACEC</w:t>
            </w:r>
          </w:p>
        </w:tc>
        <w:tc>
          <w:tcPr>
            <w:tcW w:w="1474" w:type="dxa"/>
          </w:tcPr>
          <w:p w14:paraId="7908A27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BCCh</w:t>
            </w:r>
          </w:p>
        </w:tc>
        <w:tc>
          <w:tcPr>
            <w:tcW w:w="1474" w:type="dxa"/>
          </w:tcPr>
          <w:p w14:paraId="5B4E801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6D957ED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nivel/Δ</w:t>
            </w:r>
          </w:p>
        </w:tc>
      </w:tr>
      <w:tr w:rsidR="00DE3F5D" w14:paraId="54D28CF0"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D71E59E" w14:textId="77777777" w:rsidR="00DE3F5D" w:rsidRDefault="00E96965">
            <w:r>
              <w:rPr>
                <w:sz w:val="20"/>
              </w:rPr>
              <w:t>Local</w:t>
            </w:r>
          </w:p>
        </w:tc>
        <w:tc>
          <w:tcPr>
            <w:tcW w:w="1474" w:type="dxa"/>
          </w:tcPr>
          <w:p w14:paraId="1582EBB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Riesgo país</w:t>
            </w:r>
          </w:p>
        </w:tc>
        <w:tc>
          <w:tcPr>
            <w:tcW w:w="1474" w:type="dxa"/>
          </w:tcPr>
          <w:p w14:paraId="5A99952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EMBI Chile</w:t>
            </w:r>
          </w:p>
        </w:tc>
        <w:tc>
          <w:tcPr>
            <w:tcW w:w="1474" w:type="dxa"/>
          </w:tcPr>
          <w:p w14:paraId="50FB286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4E498BD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7687DA6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Δ</w:t>
            </w:r>
          </w:p>
        </w:tc>
      </w:tr>
      <w:tr w:rsidR="00DE3F5D" w14:paraId="23C5D1D4"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C75C634" w14:textId="77777777" w:rsidR="00DE3F5D" w:rsidRDefault="00E96965">
            <w:r>
              <w:rPr>
                <w:sz w:val="20"/>
              </w:rPr>
              <w:t>Empresa</w:t>
            </w:r>
          </w:p>
        </w:tc>
        <w:tc>
          <w:tcPr>
            <w:tcW w:w="1474" w:type="dxa"/>
          </w:tcPr>
          <w:p w14:paraId="3D418BC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Tamaño</w:t>
            </w:r>
          </w:p>
        </w:tc>
        <w:tc>
          <w:tcPr>
            <w:tcW w:w="1474" w:type="dxa"/>
          </w:tcPr>
          <w:p w14:paraId="169B8DA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log(cap. bursátil)</w:t>
            </w:r>
          </w:p>
        </w:tc>
        <w:tc>
          <w:tcPr>
            <w:tcW w:w="1474" w:type="dxa"/>
          </w:tcPr>
          <w:p w14:paraId="689558D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Mercado</w:t>
            </w:r>
          </w:p>
        </w:tc>
        <w:tc>
          <w:tcPr>
            <w:tcW w:w="1474" w:type="dxa"/>
          </w:tcPr>
          <w:p w14:paraId="447F0E6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5958190C"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nivel</w:t>
            </w:r>
          </w:p>
        </w:tc>
      </w:tr>
      <w:tr w:rsidR="00DE3F5D" w14:paraId="258EFB9C"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70F7E24" w14:textId="77777777" w:rsidR="00DE3F5D" w:rsidRDefault="00E96965">
            <w:r>
              <w:rPr>
                <w:sz w:val="20"/>
              </w:rPr>
              <w:t>Empresa</w:t>
            </w:r>
          </w:p>
        </w:tc>
        <w:tc>
          <w:tcPr>
            <w:tcW w:w="1474" w:type="dxa"/>
          </w:tcPr>
          <w:p w14:paraId="286719E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Volatilidad</w:t>
            </w:r>
          </w:p>
        </w:tc>
        <w:tc>
          <w:tcPr>
            <w:tcW w:w="1474" w:type="dxa"/>
          </w:tcPr>
          <w:p w14:paraId="165958E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desv. móvil retornos</w:t>
            </w:r>
          </w:p>
        </w:tc>
        <w:tc>
          <w:tcPr>
            <w:tcW w:w="1474" w:type="dxa"/>
          </w:tcPr>
          <w:p w14:paraId="7CB499A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Calculada</w:t>
            </w:r>
          </w:p>
        </w:tc>
        <w:tc>
          <w:tcPr>
            <w:tcW w:w="1474" w:type="dxa"/>
          </w:tcPr>
          <w:p w14:paraId="37770ED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6D81BF2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nivel</w:t>
            </w:r>
          </w:p>
        </w:tc>
      </w:tr>
      <w:tr w:rsidR="00DE3F5D" w14:paraId="10A83661"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9574B3D" w14:textId="77777777" w:rsidR="00DE3F5D" w:rsidRDefault="00E96965">
            <w:r>
              <w:rPr>
                <w:sz w:val="20"/>
              </w:rPr>
              <w:t>Empresa</w:t>
            </w:r>
          </w:p>
        </w:tc>
        <w:tc>
          <w:tcPr>
            <w:tcW w:w="1474" w:type="dxa"/>
          </w:tcPr>
          <w:p w14:paraId="24EE4C8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Apalancamiento</w:t>
            </w:r>
          </w:p>
        </w:tc>
        <w:tc>
          <w:tcPr>
            <w:tcW w:w="1474" w:type="dxa"/>
          </w:tcPr>
          <w:p w14:paraId="64FA000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Deuda/Patrimonio</w:t>
            </w:r>
          </w:p>
        </w:tc>
        <w:tc>
          <w:tcPr>
            <w:tcW w:w="1474" w:type="dxa"/>
          </w:tcPr>
          <w:p w14:paraId="65E0D0F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CMF</w:t>
            </w:r>
          </w:p>
        </w:tc>
        <w:tc>
          <w:tcPr>
            <w:tcW w:w="1474" w:type="dxa"/>
          </w:tcPr>
          <w:p w14:paraId="7CBE1A5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Trimestral→mensual</w:t>
            </w:r>
          </w:p>
        </w:tc>
        <w:tc>
          <w:tcPr>
            <w:tcW w:w="1474" w:type="dxa"/>
          </w:tcPr>
          <w:p w14:paraId="2405E17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ffill+rezago</w:t>
            </w:r>
          </w:p>
        </w:tc>
      </w:tr>
    </w:tbl>
    <w:p w14:paraId="203AE309" w14:textId="77777777" w:rsidR="00DE3F5D" w:rsidRDefault="00DE3F5D"/>
    <w:p w14:paraId="0E2481CD" w14:textId="77777777" w:rsidR="00DE3F5D" w:rsidRDefault="00E96965">
      <w:r>
        <w:t xml:space="preserve">*Referencias metodológicas completas en </w:t>
      </w:r>
      <w:r>
        <w:t>`docs/revision_literatura.md`, bloque 2.5.*</w:t>
      </w:r>
    </w:p>
    <w:p w14:paraId="29944B6C" w14:textId="77777777" w:rsidR="00DE3F5D" w:rsidRDefault="00E96965">
      <w:r>
        <w:br w:type="page"/>
      </w:r>
    </w:p>
    <w:p w14:paraId="391E3FAF" w14:textId="77777777" w:rsidR="00DE3F5D" w:rsidRDefault="00E96965">
      <w:pPr>
        <w:pStyle w:val="Ttulo1"/>
      </w:pPr>
      <w:bookmarkStart w:id="43" w:name="_Toc231081571"/>
      <w:r>
        <w:lastRenderedPageBreak/>
        <w:t>Capítulo 4 — Resultados y discusión</w:t>
      </w:r>
      <w:bookmarkEnd w:id="43"/>
    </w:p>
    <w:p w14:paraId="587DE10F" w14:textId="77777777" w:rsidR="00DE3F5D" w:rsidRDefault="00E96965">
      <w:pPr>
        <w:pStyle w:val="Ttulo2"/>
      </w:pPr>
      <w:bookmarkStart w:id="44" w:name="_Toc231081572"/>
      <w:r>
        <w:t>4.1 Análisis descriptivo y propiedades de las series (OE1)</w:t>
      </w:r>
      <w:bookmarkEnd w:id="44"/>
    </w:p>
    <w:p w14:paraId="702FD709" w14:textId="77777777" w:rsidR="00DE3F5D" w:rsidRDefault="00E96965">
      <w:r>
        <w:t>Las pruebas de raíz unitaria confirman el patrón esperado y validan la estrategia de doble vía.</w:t>
      </w:r>
    </w:p>
    <w:p w14:paraId="76596542" w14:textId="77777777" w:rsidR="00DE3F5D" w:rsidRDefault="00E96965">
      <w:r>
        <w:t xml:space="preserve">El </w:t>
      </w:r>
      <w:r>
        <w:rPr>
          <w:b/>
        </w:rPr>
        <w:t>logaritmo del precio del cobre</w:t>
      </w:r>
      <w:r>
        <w:t xml:space="preserve"> resulta no estacionario en nivel —integrado de orden uno,</w:t>
      </w:r>
    </w:p>
    <w:p w14:paraId="5E8E91E1" w14:textId="77777777" w:rsidR="00DE3F5D" w:rsidRDefault="00E96965">
      <w:r>
        <w:t xml:space="preserve">I(1) (ADF p = 0,013; KPSS rechaza la estacionariedad, p = 0,014)— mientras que su </w:t>
      </w:r>
      <w:r>
        <w:rPr>
          <w:b/>
        </w:rPr>
        <w:t>retorno</w:t>
      </w:r>
    </w:p>
    <w:p w14:paraId="1E7F5D27" w14:textId="77777777" w:rsidR="00DE3F5D" w:rsidRDefault="00E96965">
      <w:r>
        <w:t>(primera diferencia logarítmica) es estacionario, I(0) (ADF p = 0,0001; KPSS no rechaza, p = 0,10).</w:t>
      </w:r>
    </w:p>
    <w:p w14:paraId="172550AD" w14:textId="77777777" w:rsidR="00DE3F5D" w:rsidRDefault="00E96965">
      <w:r>
        <w:t xml:space="preserve">Esta dicotomía sustenta el diseño: los </w:t>
      </w:r>
      <w:r>
        <w:rPr>
          <w:b/>
        </w:rPr>
        <w:t>retornos</w:t>
      </w:r>
      <w:r>
        <w:t xml:space="preserve"> alimentan los modelos de impacto de corto</w:t>
      </w:r>
    </w:p>
    <w:p w14:paraId="0D94B679" w14:textId="77777777" w:rsidR="00DE3F5D" w:rsidRDefault="00E96965">
      <w:r>
        <w:t xml:space="preserve">plazo (OE2, OE4) y los </w:t>
      </w:r>
      <w:r>
        <w:rPr>
          <w:b/>
        </w:rPr>
        <w:t>niveles I(1)</w:t>
      </w:r>
      <w:r>
        <w:t xml:space="preserve"> ingresan al análisis de cointegración (OE3).</w:t>
      </w:r>
    </w:p>
    <w:p w14:paraId="1D28E739" w14:textId="77777777" w:rsidR="00DE3F5D" w:rsidRDefault="00E96965">
      <w:r>
        <w:t xml:space="preserve">El </w:t>
      </w:r>
      <w:r>
        <w:rPr>
          <w:b/>
        </w:rPr>
        <w:t>tipo de cambio USD/CLP</w:t>
      </w:r>
      <w:r>
        <w:t xml:space="preserve"> en logaritmo arroja un resultado ambiguo en las pruebas estándar</w:t>
      </w:r>
    </w:p>
    <w:p w14:paraId="453B3014" w14:textId="77777777" w:rsidR="00DE3F5D" w:rsidRDefault="00E96965">
      <w:r>
        <w:t xml:space="preserve">(ADF p = 0,150; KPSS rechaza). La prueba de </w:t>
      </w:r>
      <w:r>
        <w:rPr>
          <w:b/>
        </w:rPr>
        <w:t>Zivot-Andrews</w:t>
      </w:r>
      <w:r>
        <w:t>, que admite un quiebre estructural</w:t>
      </w:r>
    </w:p>
    <w:p w14:paraId="0AB035DA" w14:textId="77777777" w:rsidR="00DE3F5D" w:rsidRDefault="00E96965">
      <w:r>
        <w:t xml:space="preserve">endógeno, </w:t>
      </w:r>
      <w:r>
        <w:rPr>
          <w:b/>
        </w:rPr>
        <w:t>resuelve la ambigüedad</w:t>
      </w:r>
      <w:r>
        <w:t>: el nivel no es estacionario (estadístico −2,83; p = 0,95),</w:t>
      </w:r>
    </w:p>
    <w:p w14:paraId="250EA3B8" w14:textId="77777777" w:rsidR="00DE3F5D" w:rsidRDefault="00E96965">
      <w:r>
        <w:t>mientras que su primera diferencia sí lo es de forma marginal (estadístico −4,59; p = 0,09). Se</w:t>
      </w:r>
    </w:p>
    <w:p w14:paraId="3DAB942C" w14:textId="77777777" w:rsidR="00DE3F5D" w:rsidRDefault="00E96965">
      <w:r>
        <w:t xml:space="preserve">concluye que el tipo de cambio es </w:t>
      </w:r>
      <w:r>
        <w:rPr>
          <w:b/>
        </w:rPr>
        <w:t>integrado de orden uno, I(1)</w:t>
      </w:r>
      <w:r>
        <w:t>, y que la clasificación dudosa</w:t>
      </w:r>
    </w:p>
    <w:p w14:paraId="7A603D03" w14:textId="77777777" w:rsidR="00DE3F5D" w:rsidRDefault="00E96965">
      <w:r>
        <w:t>inicial respondía a la pérdida de potencia de las pruebas convencionales ante los quiebres del</w:t>
      </w:r>
    </w:p>
    <w:p w14:paraId="5911A4E8" w14:textId="77777777" w:rsidR="00DE3F5D" w:rsidRDefault="00E96965">
      <w:r>
        <w:t>período (súper-ciclo, crisis de 2008, pandemia de 2020). El cobre en nivel, contrastado con la</w:t>
      </w:r>
    </w:p>
    <w:p w14:paraId="14F04C33" w14:textId="77777777" w:rsidR="00DE3F5D" w:rsidRDefault="00E96965">
      <w:r>
        <w:lastRenderedPageBreak/>
        <w:t>misma prueba, se mantiene como I(1) (p = 0,17).</w:t>
      </w:r>
    </w:p>
    <w:p w14:paraId="61A7F3ED" w14:textId="77777777" w:rsidR="00DE3F5D" w:rsidRDefault="00E96965">
      <w:pPr>
        <w:pStyle w:val="Ttulo2"/>
      </w:pPr>
      <w:bookmarkStart w:id="45" w:name="_Toc231081573"/>
      <w:r>
        <w:t>4.2 Determinantes de los retornos: global vs local (OE2)</w:t>
      </w:r>
      <w:bookmarkEnd w:id="45"/>
    </w:p>
    <w:p w14:paraId="0345BC2B" w14:textId="77777777" w:rsidR="00DE3F5D" w:rsidRDefault="00E96965">
      <w:r>
        <w:t>El modelo de panel de efectos fijos con errores Driscoll-Kraay (muestra B, cinco productoras de</w:t>
      </w:r>
    </w:p>
    <w:p w14:paraId="255074C5" w14:textId="77777777" w:rsidR="00DE3F5D" w:rsidRDefault="00E96965">
      <w:r>
        <w:t>cobre con cotización internacional; R² within = 0,245) entrega los siguientes coeficientes:</w:t>
      </w:r>
    </w:p>
    <w:p w14:paraId="1A9C776C" w14:textId="4C022AB5" w:rsidR="00DE3F5D" w:rsidRDefault="00E96965">
      <w:pPr>
        <w:pStyle w:val="Descripcin"/>
        <w:jc w:val="center"/>
      </w:pPr>
      <w:bookmarkStart w:id="46" w:name="_Toc231081600"/>
      <w:r>
        <w:rPr>
          <w:sz w:val="20"/>
        </w:rPr>
        <w:t xml:space="preserve">Tabla </w:t>
      </w:r>
      <w:r>
        <w:fldChar w:fldCharType="begin"/>
      </w:r>
      <w:r>
        <w:instrText xml:space="preserve"> SEQ Tabla \* ARABIC </w:instrText>
      </w:r>
      <w:r>
        <w:fldChar w:fldCharType="separate"/>
      </w:r>
      <w:r>
        <w:rPr>
          <w:noProof/>
        </w:rPr>
        <w:t>2</w:t>
      </w:r>
      <w:r>
        <w:fldChar w:fldCharType="end"/>
      </w:r>
      <w:r>
        <w:rPr>
          <w:sz w:val="20"/>
        </w:rPr>
        <w:t>.</w:t>
      </w:r>
      <w:bookmarkEnd w:id="46"/>
      <w:r>
        <w:rPr>
          <w:sz w:val="20"/>
        </w:rPr>
        <w:t xml:space="preserve"> </w:t>
      </w:r>
    </w:p>
    <w:tbl>
      <w:tblPr>
        <w:tblStyle w:val="Cuadrculaclara-nfasis1"/>
        <w:tblW w:w="0" w:type="auto"/>
        <w:tblLook w:val="04A0" w:firstRow="1" w:lastRow="0" w:firstColumn="1" w:lastColumn="0" w:noHBand="0" w:noVBand="1"/>
      </w:tblPr>
      <w:tblGrid>
        <w:gridCol w:w="2947"/>
        <w:gridCol w:w="2947"/>
        <w:gridCol w:w="2947"/>
      </w:tblGrid>
      <w:tr w:rsidR="00DE3F5D" w14:paraId="03F801E5"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7F9E2A25" w14:textId="77777777" w:rsidR="00DE3F5D" w:rsidRDefault="00E96965">
            <w:r>
              <w:rPr>
                <w:sz w:val="20"/>
              </w:rPr>
              <w:t>Factor</w:t>
            </w:r>
          </w:p>
        </w:tc>
        <w:tc>
          <w:tcPr>
            <w:tcW w:w="2947" w:type="dxa"/>
          </w:tcPr>
          <w:p w14:paraId="71C3CB51"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Coeficiente</w:t>
            </w:r>
          </w:p>
        </w:tc>
        <w:tc>
          <w:tcPr>
            <w:tcW w:w="2947" w:type="dxa"/>
          </w:tcPr>
          <w:p w14:paraId="7F5BE89E"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Significancia</w:t>
            </w:r>
          </w:p>
        </w:tc>
      </w:tr>
      <w:tr w:rsidR="00DE3F5D" w14:paraId="542B1024"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C6D517B" w14:textId="77777777" w:rsidR="00DE3F5D" w:rsidRDefault="00E96965">
            <w:r>
              <w:rPr>
                <w:sz w:val="20"/>
              </w:rPr>
              <w:t>Precio del cobre (Δ)</w:t>
            </w:r>
          </w:p>
        </w:tc>
        <w:tc>
          <w:tcPr>
            <w:tcW w:w="2947" w:type="dxa"/>
          </w:tcPr>
          <w:p w14:paraId="68DBCABA"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b/>
                <w:sz w:val="20"/>
              </w:rPr>
              <w:t>+0,571</w:t>
            </w:r>
          </w:p>
        </w:tc>
        <w:tc>
          <w:tcPr>
            <w:tcW w:w="2947" w:type="dxa"/>
          </w:tcPr>
          <w:p w14:paraId="52FD22C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 (sig. al 1%)</w:t>
            </w:r>
          </w:p>
        </w:tc>
      </w:tr>
      <w:tr w:rsidR="00DE3F5D" w14:paraId="13530E1F"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1317209A" w14:textId="77777777" w:rsidR="00DE3F5D" w:rsidRDefault="00E96965">
            <w:r>
              <w:rPr>
                <w:sz w:val="20"/>
              </w:rPr>
              <w:t>VIX (Δ)</w:t>
            </w:r>
          </w:p>
        </w:tc>
        <w:tc>
          <w:tcPr>
            <w:tcW w:w="2947" w:type="dxa"/>
          </w:tcPr>
          <w:p w14:paraId="794A808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w:t>
            </w:r>
            <w:r>
              <w:rPr>
                <w:sz w:val="20"/>
              </w:rPr>
              <w:t>0,008</w:t>
            </w:r>
          </w:p>
        </w:tc>
        <w:tc>
          <w:tcPr>
            <w:tcW w:w="2947" w:type="dxa"/>
          </w:tcPr>
          <w:p w14:paraId="3A31609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 xml:space="preserve">* </w:t>
            </w:r>
            <w:r>
              <w:rPr>
                <w:sz w:val="20"/>
              </w:rPr>
              <w:t>(sig.)</w:t>
            </w:r>
          </w:p>
        </w:tc>
      </w:tr>
      <w:tr w:rsidR="00DE3F5D" w14:paraId="5A060CD9"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74517481" w14:textId="77777777" w:rsidR="00DE3F5D" w:rsidRDefault="00E96965">
            <w:r>
              <w:rPr>
                <w:sz w:val="20"/>
              </w:rPr>
              <w:t>Fed Funds (Δ)</w:t>
            </w:r>
          </w:p>
        </w:tc>
        <w:tc>
          <w:tcPr>
            <w:tcW w:w="2947" w:type="dxa"/>
          </w:tcPr>
          <w:p w14:paraId="73EF705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+0,020</w:t>
            </w:r>
          </w:p>
        </w:tc>
        <w:tc>
          <w:tcPr>
            <w:tcW w:w="2947" w:type="dxa"/>
          </w:tcPr>
          <w:p w14:paraId="43B6E1E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n.s.</w:t>
            </w:r>
          </w:p>
        </w:tc>
      </w:tr>
      <w:tr w:rsidR="00DE3F5D" w14:paraId="0C08B345"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3527D32C" w14:textId="77777777" w:rsidR="00DE3F5D" w:rsidRDefault="00E96965">
            <w:r>
              <w:rPr>
                <w:sz w:val="20"/>
              </w:rPr>
              <w:t>Treasury 10Y (Δ)</w:t>
            </w:r>
          </w:p>
        </w:tc>
        <w:tc>
          <w:tcPr>
            <w:tcW w:w="2947" w:type="dxa"/>
          </w:tcPr>
          <w:p w14:paraId="53DD1FD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+0,023</w:t>
            </w:r>
          </w:p>
        </w:tc>
        <w:tc>
          <w:tcPr>
            <w:tcW w:w="2947" w:type="dxa"/>
          </w:tcPr>
          <w:p w14:paraId="651C5C2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n.s.</w:t>
            </w:r>
          </w:p>
        </w:tc>
      </w:tr>
      <w:tr w:rsidR="00DE3F5D" w14:paraId="3BD3735F"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44D202C8" w14:textId="77777777" w:rsidR="00DE3F5D" w:rsidRDefault="00E96965">
            <w:r>
              <w:rPr>
                <w:sz w:val="20"/>
              </w:rPr>
              <w:t>Tipo de cambio CLP (Δ)</w:t>
            </w:r>
          </w:p>
        </w:tc>
        <w:tc>
          <w:tcPr>
            <w:tcW w:w="2947" w:type="dxa"/>
          </w:tcPr>
          <w:p w14:paraId="47C18CA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b/>
                <w:sz w:val="20"/>
              </w:rPr>
              <w:t>−</w:t>
            </w:r>
            <w:r>
              <w:rPr>
                <w:b/>
                <w:sz w:val="20"/>
              </w:rPr>
              <w:t>1,574</w:t>
            </w:r>
          </w:p>
        </w:tc>
        <w:tc>
          <w:tcPr>
            <w:tcW w:w="2947" w:type="dxa"/>
          </w:tcPr>
          <w:p w14:paraId="673D758C"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 (sig.)</w:t>
            </w:r>
          </w:p>
        </w:tc>
      </w:tr>
      <w:tr w:rsidR="00DE3F5D" w14:paraId="180570F6"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39FDD27D" w14:textId="77777777" w:rsidR="00DE3F5D" w:rsidRDefault="00E96965">
            <w:r>
              <w:rPr>
                <w:sz w:val="20"/>
              </w:rPr>
              <w:t>Tasa local (Δ)</w:t>
            </w:r>
          </w:p>
        </w:tc>
        <w:tc>
          <w:tcPr>
            <w:tcW w:w="2947" w:type="dxa"/>
          </w:tcPr>
          <w:p w14:paraId="5980CA1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w:t>
            </w:r>
            <w:r>
              <w:rPr>
                <w:sz w:val="20"/>
              </w:rPr>
              <w:t>0,007</w:t>
            </w:r>
          </w:p>
        </w:tc>
        <w:tc>
          <w:tcPr>
            <w:tcW w:w="2947" w:type="dxa"/>
          </w:tcPr>
          <w:p w14:paraId="3CD6D06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n.s.</w:t>
            </w:r>
          </w:p>
        </w:tc>
      </w:tr>
      <w:tr w:rsidR="00DE3F5D" w14:paraId="063129F1"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23CB3EAC" w14:textId="77777777" w:rsidR="00DE3F5D" w:rsidRDefault="00E96965">
            <w:r>
              <w:rPr>
                <w:sz w:val="20"/>
              </w:rPr>
              <w:t>Actividad local (Δ)</w:t>
            </w:r>
          </w:p>
        </w:tc>
        <w:tc>
          <w:tcPr>
            <w:tcW w:w="2947" w:type="dxa"/>
          </w:tcPr>
          <w:p w14:paraId="473013E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w:t>
            </w:r>
            <w:r>
              <w:rPr>
                <w:sz w:val="20"/>
              </w:rPr>
              <w:t>0,523</w:t>
            </w:r>
          </w:p>
        </w:tc>
        <w:tc>
          <w:tcPr>
            <w:tcW w:w="2947" w:type="dxa"/>
          </w:tcPr>
          <w:p w14:paraId="1A77EFA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n.s.</w:t>
            </w:r>
          </w:p>
        </w:tc>
      </w:tr>
    </w:tbl>
    <w:p w14:paraId="2722C158" w14:textId="77777777" w:rsidR="00DE3F5D" w:rsidRDefault="00DE3F5D"/>
    <w:p w14:paraId="7B6008AF" w14:textId="77777777" w:rsidR="00DE3F5D" w:rsidRDefault="00E96965">
      <w:r>
        <w:t>Tres lecturas se desprenden:</w:t>
      </w:r>
    </w:p>
    <w:p w14:paraId="2E3A18DD" w14:textId="77777777" w:rsidR="00DE3F5D" w:rsidRDefault="00E96965">
      <w:pPr>
        <w:pStyle w:val="Listaconnmeros"/>
      </w:pPr>
      <w:r>
        <w:rPr>
          <w:b/>
        </w:rPr>
        <w:t>El cobre domina (H1 respaldada).</w:t>
      </w:r>
      <w:r>
        <w:t xml:space="preserve"> El coeficiente del cobre es positivo, de magnitud</w:t>
      </w:r>
    </w:p>
    <w:p w14:paraId="05D8905C" w14:textId="77777777" w:rsidR="00DE3F5D" w:rsidRDefault="00E96965">
      <w:r>
        <w:t xml:space="preserve">   económica relevante y altamente significativo: un aumento del precio del cobre se traduce en</w:t>
      </w:r>
    </w:p>
    <w:p w14:paraId="6026C421" w14:textId="77777777" w:rsidR="00DE3F5D" w:rsidRDefault="00E96965">
      <w:r>
        <w:t xml:space="preserve">   mayores retornos, consistente con el canal de ingresos. Es el determinante central del valor</w:t>
      </w:r>
    </w:p>
    <w:p w14:paraId="4A3F145B" w14:textId="77777777" w:rsidR="00DE3F5D" w:rsidRDefault="00E96965">
      <w:r>
        <w:t xml:space="preserve">   del sector.</w:t>
      </w:r>
    </w:p>
    <w:p w14:paraId="70FCD640" w14:textId="77777777" w:rsidR="00DE3F5D" w:rsidRDefault="00E96965">
      <w:pPr>
        <w:pStyle w:val="Listaconnmeros"/>
      </w:pPr>
      <w:r>
        <w:rPr>
          <w:b/>
        </w:rPr>
        <w:t>El tipo de cambio tiene efecto negativo y fuerte.</w:t>
      </w:r>
      <w:r>
        <w:t xml:space="preserve"> Una depreciación del peso (↑ USD/CLP) se</w:t>
      </w:r>
    </w:p>
    <w:p w14:paraId="2EB4445F" w14:textId="77777777" w:rsidR="00DE3F5D" w:rsidRDefault="00E96965">
      <w:r>
        <w:t xml:space="preserve">   asocia a retornos negativos. Para empresas que cotizan y valoran en dólares, la depreciación</w:t>
      </w:r>
    </w:p>
    <w:p w14:paraId="54AFB25F" w14:textId="77777777" w:rsidR="00DE3F5D" w:rsidRDefault="00E96965">
      <w:r>
        <w:lastRenderedPageBreak/>
        <w:t xml:space="preserve">   del peso suele coincidir con episodios de aversión al riesgo y caída del cobre, de modo que el</w:t>
      </w:r>
    </w:p>
    <w:p w14:paraId="735AD9C0" w14:textId="77777777" w:rsidR="00DE3F5D" w:rsidRDefault="00E96965">
      <w:r>
        <w:t xml:space="preserve">   signo capta tanto el canal de competitividad como el de riesgo. Este resultado confirma la</w:t>
      </w:r>
    </w:p>
    <w:p w14:paraId="7F608286" w14:textId="77777777" w:rsidR="00DE3F5D" w:rsidRDefault="00E96965">
      <w:r>
        <w:t xml:space="preserve">   ambigüedad teórica anticipada (H2) y merece un análisis fino por empresa.</w:t>
      </w:r>
    </w:p>
    <w:p w14:paraId="347C3E8C" w14:textId="77777777" w:rsidR="00DE3F5D" w:rsidRDefault="00E96965">
      <w:pPr>
        <w:pStyle w:val="Listaconnmeros"/>
      </w:pPr>
      <w:r>
        <w:t>**El riesgo global (VIX) pesa; los factores locales de tasa y actividad, no (en esta</w:t>
      </w:r>
    </w:p>
    <w:p w14:paraId="1D78620B" w14:textId="77777777" w:rsidR="00DE3F5D" w:rsidRDefault="00E96965">
      <w:r>
        <w:t xml:space="preserve">   especificación).** La no significancia de la tasa y la actividad locales es esperable a la luz</w:t>
      </w:r>
    </w:p>
    <w:p w14:paraId="2E560A07" w14:textId="77777777" w:rsidR="00DE3F5D" w:rsidRDefault="00E96965">
      <w:r>
        <w:t xml:space="preserve">   de la ausencia, por ahora, del EMBI y de un IMACEC propiamente tal, y por tratarse de empresas</w:t>
      </w:r>
    </w:p>
    <w:p w14:paraId="35CB73B4" w14:textId="77777777" w:rsidR="00DE3F5D" w:rsidRDefault="00E96965">
      <w:r>
        <w:t xml:space="preserve">   internacionales (muestra B) menos sensibles al ciclo doméstico. Globalmente, los factores</w:t>
      </w:r>
    </w:p>
    <w:p w14:paraId="59228CF7" w14:textId="77777777" w:rsidR="00DE3F5D" w:rsidRDefault="00E96965">
      <w:r>
        <w:t xml:space="preserve">   internacionales (cobre + VIX) dominan a los locales, primera evidencia a favor de H6.</w:t>
      </w:r>
    </w:p>
    <w:p w14:paraId="1D86D200" w14:textId="77777777" w:rsidR="00DE3F5D" w:rsidRDefault="00E96965">
      <w:pPr>
        <w:jc w:val="center"/>
      </w:pPr>
      <w:r>
        <w:rPr>
          <w:noProof/>
        </w:rPr>
        <w:drawing>
          <wp:inline distT="0" distB="0" distL="0" distR="0" wp14:anchorId="7B35076D" wp14:editId="3C6ADFE7">
            <wp:extent cx="5394960" cy="29331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9"/>
                    <a:stretch>
                      <a:fillRect/>
                    </a:stretch>
                  </pic:blipFill>
                  <pic:spPr>
                    <a:xfrm>
                      <a:off x="0" y="0"/>
                      <a:ext cx="5394960" cy="2933107"/>
                    </a:xfrm>
                    <a:prstGeom prst="rect">
                      <a:avLst/>
                    </a:prstGeom>
                  </pic:spPr>
                </pic:pic>
              </a:graphicData>
            </a:graphic>
          </wp:inline>
        </w:drawing>
      </w:r>
    </w:p>
    <w:p w14:paraId="5832FD8D" w14:textId="7807D231" w:rsidR="00DE3F5D" w:rsidRDefault="00E96965">
      <w:pPr>
        <w:pStyle w:val="Descripcin"/>
        <w:jc w:val="center"/>
      </w:pPr>
      <w:bookmarkStart w:id="47" w:name="_Toc231081612"/>
      <w:r>
        <w:rPr>
          <w:sz w:val="20"/>
        </w:rPr>
        <w:t xml:space="preserve">Figura </w:t>
      </w:r>
      <w:r>
        <w:fldChar w:fldCharType="begin"/>
      </w:r>
      <w:r>
        <w:instrText xml:space="preserve"> SEQ Figura \* ARABIC </w:instrText>
      </w:r>
      <w:r>
        <w:fldChar w:fldCharType="separate"/>
      </w:r>
      <w:r>
        <w:rPr>
          <w:noProof/>
        </w:rPr>
        <w:t>1</w:t>
      </w:r>
      <w:r>
        <w:fldChar w:fldCharType="end"/>
      </w:r>
      <w:r>
        <w:rPr>
          <w:sz w:val="20"/>
        </w:rPr>
        <w:t>. Sensibilidad de los retornos a cada factor macro-financiero (muestra B).</w:t>
      </w:r>
      <w:bookmarkEnd w:id="47"/>
    </w:p>
    <w:p w14:paraId="3735E2DD" w14:textId="77777777" w:rsidR="00DE3F5D" w:rsidRDefault="00E96965">
      <w:pPr>
        <w:pStyle w:val="Ttulo2"/>
      </w:pPr>
      <w:bookmarkStart w:id="48" w:name="_Toc231081574"/>
      <w:r>
        <w:t>4.3 Relaciones de largo plazo (OE3)</w:t>
      </w:r>
      <w:bookmarkEnd w:id="48"/>
    </w:p>
    <w:p w14:paraId="294D0D8E" w14:textId="77777777" w:rsidR="00DE3F5D" w:rsidRDefault="00E96965">
      <w:r>
        <w:t xml:space="preserve">La evidencia de cointegración es </w:t>
      </w:r>
      <w:r>
        <w:rPr>
          <w:b/>
        </w:rPr>
        <w:t>mixta y, por tanto, no concluyente</w:t>
      </w:r>
      <w:r>
        <w:t>. El test de Johansen sobre</w:t>
      </w:r>
    </w:p>
    <w:p w14:paraId="0C0DCF30" w14:textId="77777777" w:rsidR="00DE3F5D" w:rsidRDefault="00E96965">
      <w:r>
        <w:t>las series en nivel (valor de la acción, cobre, tipo de cambio) detecta **un vector de</w:t>
      </w:r>
    </w:p>
    <w:p w14:paraId="08D22CAC" w14:textId="77777777" w:rsidR="00DE3F5D" w:rsidRDefault="00E96965">
      <w:r>
        <w:lastRenderedPageBreak/>
        <w:t xml:space="preserve">cointegración** </w:t>
      </w:r>
      <w:r>
        <w:t>(estadístico de traza 32,1 &gt; 29,8 al 95%), lo que sugiere una relación de equilibrio</w:t>
      </w:r>
    </w:p>
    <w:p w14:paraId="020879DC" w14:textId="77777777" w:rsidR="00DE3F5D" w:rsidRDefault="00E96965">
      <w:r>
        <w:t xml:space="preserve">de largo plazo. Sin embargo, el </w:t>
      </w:r>
      <w:r>
        <w:rPr>
          <w:b/>
        </w:rPr>
        <w:t>test de bordes ARDL</w:t>
      </w:r>
      <w:r>
        <w:t xml:space="preserve"> no permite rechazar la ausencia de</w:t>
      </w:r>
    </w:p>
    <w:p w14:paraId="1A37A951" w14:textId="77777777" w:rsidR="00DE3F5D" w:rsidRDefault="00E96965">
      <w:r>
        <w:t>relación de nivel (estadístico F de bordes ≈ 0,95, por debajo de las cotas críticas). Esta</w:t>
      </w:r>
    </w:p>
    <w:p w14:paraId="64674B56" w14:textId="77777777" w:rsidR="00DE3F5D" w:rsidRDefault="00E96965">
      <w:r>
        <w:t>discrepancia entre ambos enfoques sugiere que la relación de largo plazo, de existir, es **débil o</w:t>
      </w:r>
    </w:p>
    <w:p w14:paraId="69C21AF3" w14:textId="77777777" w:rsidR="00DE3F5D" w:rsidRDefault="00E96965">
      <w:r>
        <w:t>inestable** ante las pruebas que no admiten quiebres. Confirmado ya el orden I(1) del tipo de cambio</w:t>
      </w:r>
    </w:p>
    <w:p w14:paraId="5690CE04" w14:textId="77777777" w:rsidR="00DE3F5D" w:rsidRDefault="00E96965">
      <w:r>
        <w:t xml:space="preserve">(§4.1), la hipótesis natural es que la relación de equilibrio se </w:t>
      </w:r>
      <w:r>
        <w:rPr>
          <w:b/>
        </w:rPr>
        <w:t>desplazó estructuralmente</w:t>
      </w:r>
    </w:p>
    <w:p w14:paraId="0C3C6552" w14:textId="77777777" w:rsidR="00DE3F5D" w:rsidRDefault="00E96965">
      <w:r>
        <w:t>durante el período.</w:t>
      </w:r>
    </w:p>
    <w:p w14:paraId="0407A38E" w14:textId="77777777" w:rsidR="00DE3F5D" w:rsidRDefault="00E96965">
      <w:r>
        <w:t xml:space="preserve">La prueba de </w:t>
      </w:r>
      <w:r>
        <w:rPr>
          <w:b/>
        </w:rPr>
        <w:t>Gregory y Hansen (1996)</w:t>
      </w:r>
      <w:r>
        <w:t>, que admite un quiebre endógeno en la relación de</w:t>
      </w:r>
    </w:p>
    <w:p w14:paraId="341A2ADF" w14:textId="77777777" w:rsidR="00DE3F5D" w:rsidRDefault="00E96965">
      <w:r>
        <w:t xml:space="preserve">cointegración, </w:t>
      </w:r>
      <w:r>
        <w:rPr>
          <w:b/>
        </w:rPr>
        <w:t>confirma esta hipótesis y resuelve la ambigüedad</w:t>
      </w:r>
      <w:r>
        <w:t>: el estadístico ADF\* es de</w:t>
      </w:r>
    </w:p>
    <w:p w14:paraId="6AEB6DE6" w14:textId="77777777" w:rsidR="00DE3F5D" w:rsidRDefault="00E96965">
      <w:r>
        <w:rPr>
          <w:b/>
        </w:rPr>
        <w:t>−</w:t>
      </w:r>
      <w:r>
        <w:rPr>
          <w:b/>
        </w:rPr>
        <w:t>6,68</w:t>
      </w:r>
      <w:r>
        <w:t xml:space="preserve">, </w:t>
      </w:r>
      <w:r>
        <w:t>inferior al valor crítico al 5% (−4,92), de modo que **se rechaza la ausencia de</w:t>
      </w:r>
    </w:p>
    <w:p w14:paraId="64E3F5EE" w14:textId="77777777" w:rsidR="00DE3F5D" w:rsidRDefault="00E96965">
      <w:r>
        <w:t>cointegración</w:t>
      </w:r>
      <w:r>
        <w:rPr>
          <w:b/>
        </w:rPr>
        <w:t xml:space="preserve">, y el quiebre se fecha en </w:t>
      </w:r>
      <w:r>
        <w:t>junio de 2008** —coincidente con la crisis financiera</w:t>
      </w:r>
    </w:p>
    <w:p w14:paraId="185EA286" w14:textId="77777777" w:rsidR="00DE3F5D" w:rsidRDefault="00E96965">
      <w:r>
        <w:t>global—. La lectura es nítida: **existe una relación de equilibrio de largo plazo entre el valor del</w:t>
      </w:r>
    </w:p>
    <w:p w14:paraId="018DBA36" w14:textId="77777777" w:rsidR="00DE3F5D" w:rsidRDefault="00E96965">
      <w:r>
        <w:t>sector, el cobre y el tipo de cambio (H5 respaldada), pero esa relación se reconfiguró con la crisis</w:t>
      </w:r>
    </w:p>
    <w:p w14:paraId="352D60B1" w14:textId="77777777" w:rsidR="00DE3F5D" w:rsidRDefault="00E96965">
      <w:r>
        <w:t>de 2008**, lo que explica por qué las pruebas que ignoran el quiebre (ARDL/Johansen) arrojaban</w:t>
      </w:r>
    </w:p>
    <w:p w14:paraId="28E32D30" w14:textId="77777777" w:rsidR="00DE3F5D" w:rsidRDefault="00E96965">
      <w:r>
        <w:t>evidencia mixta. Este resultado ilustra la importancia de incorporar los quiebres estructurales en</w:t>
      </w:r>
    </w:p>
    <w:p w14:paraId="2E4942F9" w14:textId="77777777" w:rsidR="00DE3F5D" w:rsidRDefault="00E96965">
      <w:r>
        <w:t>el análisis de largo plazo de un sector tan expuesto al ciclo del commodity.</w:t>
      </w:r>
    </w:p>
    <w:p w14:paraId="4B9B12F3" w14:textId="77777777" w:rsidR="00DE3F5D" w:rsidRDefault="00E96965">
      <w:pPr>
        <w:pStyle w:val="Ttulo2"/>
      </w:pPr>
      <w:bookmarkStart w:id="49" w:name="_Toc231081575"/>
      <w:r>
        <w:lastRenderedPageBreak/>
        <w:t>4.4 Dinámica de shocks (OE4)</w:t>
      </w:r>
      <w:bookmarkEnd w:id="49"/>
    </w:p>
    <w:p w14:paraId="1732D739" w14:textId="77777777" w:rsidR="00DE3F5D" w:rsidRDefault="00E96965">
      <w:r>
        <w:t>La descomposición de la varianza del error de pronóstico del retorno (FEVD, horizonte de 12 meses,</w:t>
      </w:r>
    </w:p>
    <w:p w14:paraId="147766E6" w14:textId="77777777" w:rsidR="00DE3F5D" w:rsidRDefault="00E96965">
      <w:r>
        <w:t>muestra B) reparte la varianza así:</w:t>
      </w:r>
    </w:p>
    <w:p w14:paraId="43B33A14" w14:textId="65EBAAF9" w:rsidR="00DE3F5D" w:rsidRDefault="00E96965">
      <w:pPr>
        <w:pStyle w:val="Descripcin"/>
        <w:jc w:val="center"/>
      </w:pPr>
      <w:bookmarkStart w:id="50" w:name="_Toc231081601"/>
      <w:r>
        <w:rPr>
          <w:sz w:val="20"/>
        </w:rPr>
        <w:t xml:space="preserve">Tabla </w:t>
      </w:r>
      <w:r>
        <w:fldChar w:fldCharType="begin"/>
      </w:r>
      <w:r>
        <w:instrText xml:space="preserve"> SEQ Tabla \* ARABIC </w:instrText>
      </w:r>
      <w:r>
        <w:fldChar w:fldCharType="separate"/>
      </w:r>
      <w:r>
        <w:rPr>
          <w:noProof/>
        </w:rPr>
        <w:t>3</w:t>
      </w:r>
      <w:r>
        <w:fldChar w:fldCharType="end"/>
      </w:r>
      <w:r>
        <w:rPr>
          <w:sz w:val="20"/>
        </w:rPr>
        <w:t>.</w:t>
      </w:r>
      <w:bookmarkEnd w:id="50"/>
      <w:r>
        <w:rPr>
          <w:sz w:val="20"/>
        </w:rPr>
        <w:t xml:space="preserve"> </w:t>
      </w:r>
    </w:p>
    <w:tbl>
      <w:tblPr>
        <w:tblStyle w:val="Cuadrculaclara-nfasis1"/>
        <w:tblW w:w="0" w:type="auto"/>
        <w:tblLook w:val="04A0" w:firstRow="1" w:lastRow="0" w:firstColumn="1" w:lastColumn="0" w:noHBand="0" w:noVBand="1"/>
      </w:tblPr>
      <w:tblGrid>
        <w:gridCol w:w="4421"/>
        <w:gridCol w:w="4421"/>
      </w:tblGrid>
      <w:tr w:rsidR="00DE3F5D" w14:paraId="3CFFFB98"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DC7F7C4" w14:textId="77777777" w:rsidR="00DE3F5D" w:rsidRDefault="00E96965">
            <w:r>
              <w:rPr>
                <w:sz w:val="20"/>
              </w:rPr>
              <w:t>Fuente del shock</w:t>
            </w:r>
          </w:p>
        </w:tc>
        <w:tc>
          <w:tcPr>
            <w:tcW w:w="4421" w:type="dxa"/>
          </w:tcPr>
          <w:p w14:paraId="0B7906A1"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Fracción de la varianza</w:t>
            </w:r>
          </w:p>
        </w:tc>
      </w:tr>
      <w:tr w:rsidR="00DE3F5D" w14:paraId="22F49C31"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4363DD65" w14:textId="77777777" w:rsidR="00DE3F5D" w:rsidRDefault="00E96965">
            <w:r>
              <w:rPr>
                <w:sz w:val="20"/>
              </w:rPr>
              <w:t>Componente propio (idiosincrático)</w:t>
            </w:r>
          </w:p>
        </w:tc>
        <w:tc>
          <w:tcPr>
            <w:tcW w:w="4421" w:type="dxa"/>
          </w:tcPr>
          <w:p w14:paraId="69314A1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62,7%</w:t>
            </w:r>
          </w:p>
        </w:tc>
      </w:tr>
      <w:tr w:rsidR="00DE3F5D" w14:paraId="1DDB1C3D"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D18C7FD" w14:textId="77777777" w:rsidR="00DE3F5D" w:rsidRDefault="00E96965">
            <w:r>
              <w:rPr>
                <w:sz w:val="20"/>
              </w:rPr>
              <w:t>Precio del cobre</w:t>
            </w:r>
          </w:p>
        </w:tc>
        <w:tc>
          <w:tcPr>
            <w:tcW w:w="4421" w:type="dxa"/>
          </w:tcPr>
          <w:p w14:paraId="5ABCF3A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b/>
                <w:sz w:val="20"/>
              </w:rPr>
              <w:t>18,0%</w:t>
            </w:r>
          </w:p>
        </w:tc>
      </w:tr>
      <w:tr w:rsidR="00DE3F5D" w14:paraId="1E2C0E06"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79D72533" w14:textId="77777777" w:rsidR="00DE3F5D" w:rsidRDefault="00E96965">
            <w:r>
              <w:rPr>
                <w:sz w:val="20"/>
              </w:rPr>
              <w:t>VIX (riesgo global)</w:t>
            </w:r>
          </w:p>
        </w:tc>
        <w:tc>
          <w:tcPr>
            <w:tcW w:w="4421" w:type="dxa"/>
          </w:tcPr>
          <w:p w14:paraId="4DBB1BF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b/>
                <w:sz w:val="20"/>
              </w:rPr>
              <w:t>14,0%</w:t>
            </w:r>
          </w:p>
        </w:tc>
      </w:tr>
      <w:tr w:rsidR="00DE3F5D" w14:paraId="256DBD66"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B22C05E" w14:textId="77777777" w:rsidR="00DE3F5D" w:rsidRDefault="00E96965">
            <w:r>
              <w:rPr>
                <w:sz w:val="20"/>
              </w:rPr>
              <w:t>Tasa local</w:t>
            </w:r>
          </w:p>
        </w:tc>
        <w:tc>
          <w:tcPr>
            <w:tcW w:w="4421" w:type="dxa"/>
          </w:tcPr>
          <w:p w14:paraId="1F3A94D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3,1%</w:t>
            </w:r>
          </w:p>
        </w:tc>
      </w:tr>
      <w:tr w:rsidR="00DE3F5D" w14:paraId="12BC3BD3"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7E07C718" w14:textId="77777777" w:rsidR="00DE3F5D" w:rsidRDefault="00E96965">
            <w:r>
              <w:rPr>
                <w:sz w:val="20"/>
              </w:rPr>
              <w:t>Tipo de cambio</w:t>
            </w:r>
          </w:p>
        </w:tc>
        <w:tc>
          <w:tcPr>
            <w:tcW w:w="4421" w:type="dxa"/>
          </w:tcPr>
          <w:p w14:paraId="0B6DEA2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2,2%</w:t>
            </w:r>
          </w:p>
        </w:tc>
      </w:tr>
    </w:tbl>
    <w:p w14:paraId="5A4FD1D6" w14:textId="77777777" w:rsidR="00DE3F5D" w:rsidRDefault="00DE3F5D"/>
    <w:p w14:paraId="4331E3D2" w14:textId="77777777" w:rsidR="00DE3F5D" w:rsidRDefault="00E96965">
      <w:r>
        <w:t xml:space="preserve">La causalidad de Granger confirma que el precio del cobre </w:t>
      </w:r>
      <w:r>
        <w:rPr>
          <w:b/>
        </w:rPr>
        <w:t>antecede</w:t>
      </w:r>
      <w:r>
        <w:t xml:space="preserve"> a los retornos del sector</w:t>
      </w:r>
    </w:p>
    <w:p w14:paraId="6BFDCA66" w14:textId="77777777" w:rsidR="00DE3F5D" w:rsidRDefault="00E96965">
      <w:r>
        <w:t>de manera estadísticamente significativa (F = 9,11; p = 0,003). Más allá del componente</w:t>
      </w:r>
    </w:p>
    <w:p w14:paraId="024AA677" w14:textId="77777777" w:rsidR="00DE3F5D" w:rsidRDefault="00E96965">
      <w:r>
        <w:t>idiosincrático, **los shocks globales (cobre + VIX ≈ 32%) explican una fracción muy superior a</w:t>
      </w:r>
    </w:p>
    <w:p w14:paraId="04E0DD01" w14:textId="77777777" w:rsidR="00DE3F5D" w:rsidRDefault="00E96965">
      <w:r>
        <w:t>los locales (≈ 5%)</w:t>
      </w:r>
      <w:r>
        <w:rPr>
          <w:b/>
        </w:rPr>
        <w:t xml:space="preserve">, lo que constituye la evidencia más nítida a favor de </w:t>
      </w:r>
      <w:r>
        <w:t>H6 (dominancia de los</w:t>
      </w:r>
    </w:p>
    <w:p w14:paraId="418B2491" w14:textId="77777777" w:rsidR="00DE3F5D" w:rsidRDefault="00E96965">
      <w:r>
        <w:t>factores globales)**. El sistema VAR seleccionado por criterio de Akaike (un rezago) es</w:t>
      </w:r>
    </w:p>
    <w:p w14:paraId="120697CD" w14:textId="77777777" w:rsidR="00DE3F5D" w:rsidRDefault="00E96965">
      <w:r>
        <w:rPr>
          <w:b/>
        </w:rPr>
        <w:t>estable</w:t>
      </w:r>
      <w:r>
        <w:t xml:space="preserve"> —todas sus raíces se encuentran dentro del círculo unitario—, lo que valida la lectura</w:t>
      </w:r>
    </w:p>
    <w:p w14:paraId="21FA4274" w14:textId="77777777" w:rsidR="00DE3F5D" w:rsidRDefault="00E96965">
      <w:r>
        <w:t>de las funciones impulso-respuesta.</w:t>
      </w:r>
    </w:p>
    <w:p w14:paraId="18D431B6" w14:textId="77777777" w:rsidR="00DE3F5D" w:rsidRDefault="00E96965">
      <w:pPr>
        <w:jc w:val="center"/>
      </w:pPr>
      <w:r>
        <w:rPr>
          <w:noProof/>
        </w:rPr>
        <w:lastRenderedPageBreak/>
        <w:drawing>
          <wp:inline distT="0" distB="0" distL="0" distR="0" wp14:anchorId="6B1C6BC5" wp14:editId="3C5F5004">
            <wp:extent cx="5394960" cy="402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0"/>
                    <a:stretch>
                      <a:fillRect/>
                    </a:stretch>
                  </pic:blipFill>
                  <pic:spPr>
                    <a:xfrm>
                      <a:off x="0" y="0"/>
                      <a:ext cx="5394960" cy="4026860"/>
                    </a:xfrm>
                    <a:prstGeom prst="rect">
                      <a:avLst/>
                    </a:prstGeom>
                  </pic:spPr>
                </pic:pic>
              </a:graphicData>
            </a:graphic>
          </wp:inline>
        </w:drawing>
      </w:r>
    </w:p>
    <w:p w14:paraId="1F83D73B" w14:textId="3C545F43" w:rsidR="00DE3F5D" w:rsidRDefault="00E96965">
      <w:pPr>
        <w:pStyle w:val="Descripcin"/>
        <w:jc w:val="center"/>
      </w:pPr>
      <w:bookmarkStart w:id="51" w:name="_Toc231081613"/>
      <w:r>
        <w:rPr>
          <w:sz w:val="20"/>
        </w:rPr>
        <w:t xml:space="preserve">Figura </w:t>
      </w:r>
      <w:r>
        <w:fldChar w:fldCharType="begin"/>
      </w:r>
      <w:r>
        <w:instrText xml:space="preserve"> SEQ Figura \* ARABIC </w:instrText>
      </w:r>
      <w:r>
        <w:fldChar w:fldCharType="separate"/>
      </w:r>
      <w:r>
        <w:rPr>
          <w:noProof/>
        </w:rPr>
        <w:t>2</w:t>
      </w:r>
      <w:r>
        <w:fldChar w:fldCharType="end"/>
      </w:r>
      <w:r>
        <w:rPr>
          <w:sz w:val="20"/>
        </w:rPr>
        <w:t>. Descomposición de la varianza del error de pronóstico del retorno (FEVD, horizonte 12 meses).</w:t>
      </w:r>
      <w:bookmarkEnd w:id="51"/>
    </w:p>
    <w:p w14:paraId="1FE4AA2F" w14:textId="77777777" w:rsidR="00DE3F5D" w:rsidRDefault="00E96965">
      <w:r>
        <w:t xml:space="preserve">La función impulso-respuesta </w:t>
      </w:r>
      <w:r>
        <w:t>cuantifica la reacción dinámica del retorno ante un shock de una</w:t>
      </w:r>
    </w:p>
    <w:p w14:paraId="226185F2" w14:textId="77777777" w:rsidR="00DE3F5D" w:rsidRDefault="00E96965">
      <w:r>
        <w:t xml:space="preserve">desviación estándar en el precio del cobre: la respuesta es </w:t>
      </w:r>
      <w:r>
        <w:rPr>
          <w:b/>
        </w:rPr>
        <w:t>positiva e inmediata</w:t>
      </w:r>
      <w:r>
        <w:t xml:space="preserve"> y se disipa en</w:t>
      </w:r>
    </w:p>
    <w:p w14:paraId="125C6996" w14:textId="77777777" w:rsidR="00DE3F5D" w:rsidRDefault="00E96965">
      <w:r>
        <w:t>los meses siguientes, coherente con una incorporación rápida de la información del commodity</w:t>
      </w:r>
    </w:p>
    <w:p w14:paraId="7E4B5CB5" w14:textId="77777777" w:rsidR="00DE3F5D" w:rsidRDefault="00E96965">
      <w:r>
        <w:t>(H1).</w:t>
      </w:r>
    </w:p>
    <w:p w14:paraId="2C3074F4" w14:textId="77777777" w:rsidR="00DE3F5D" w:rsidRDefault="00E96965">
      <w:pPr>
        <w:jc w:val="center"/>
      </w:pPr>
      <w:r>
        <w:rPr>
          <w:noProof/>
        </w:rPr>
        <w:lastRenderedPageBreak/>
        <w:drawing>
          <wp:inline distT="0" distB="0" distL="0" distR="0" wp14:anchorId="2F8D6F36" wp14:editId="5FF04893">
            <wp:extent cx="5394960" cy="2620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1"/>
                    <a:stretch>
                      <a:fillRect/>
                    </a:stretch>
                  </pic:blipFill>
                  <pic:spPr>
                    <a:xfrm>
                      <a:off x="0" y="0"/>
                      <a:ext cx="5394960" cy="2620409"/>
                    </a:xfrm>
                    <a:prstGeom prst="rect">
                      <a:avLst/>
                    </a:prstGeom>
                  </pic:spPr>
                </pic:pic>
              </a:graphicData>
            </a:graphic>
          </wp:inline>
        </w:drawing>
      </w:r>
    </w:p>
    <w:p w14:paraId="5A038F61" w14:textId="09C717F6" w:rsidR="00DE3F5D" w:rsidRDefault="00E96965">
      <w:pPr>
        <w:pStyle w:val="Descripcin"/>
        <w:jc w:val="center"/>
      </w:pPr>
      <w:bookmarkStart w:id="52" w:name="_Toc231081614"/>
      <w:r>
        <w:rPr>
          <w:sz w:val="20"/>
        </w:rPr>
        <w:t xml:space="preserve">Figura </w:t>
      </w:r>
      <w:r>
        <w:fldChar w:fldCharType="begin"/>
      </w:r>
      <w:r>
        <w:instrText xml:space="preserve"> SEQ Figura \* ARABIC </w:instrText>
      </w:r>
      <w:r>
        <w:fldChar w:fldCharType="separate"/>
      </w:r>
      <w:r>
        <w:rPr>
          <w:noProof/>
        </w:rPr>
        <w:t>3</w:t>
      </w:r>
      <w:r>
        <w:fldChar w:fldCharType="end"/>
      </w:r>
      <w:r>
        <w:rPr>
          <w:sz w:val="20"/>
        </w:rPr>
        <w:t>. Impulso-respuesta del retorno del sector ante un shock del precio del cobre (±2 errores estándar).</w:t>
      </w:r>
      <w:bookmarkEnd w:id="52"/>
    </w:p>
    <w:p w14:paraId="55A054CD" w14:textId="77777777" w:rsidR="00DE3F5D" w:rsidRDefault="00E96965">
      <w:pPr>
        <w:pStyle w:val="Ttulo2"/>
      </w:pPr>
      <w:bookmarkStart w:id="53" w:name="_Toc231081576"/>
      <w:r>
        <w:t>4.5 Estabilidad por fases del ciclo del cobre (OE5)</w:t>
      </w:r>
      <w:bookmarkEnd w:id="53"/>
    </w:p>
    <w:p w14:paraId="02E23124" w14:textId="77777777" w:rsidR="00DE3F5D" w:rsidRDefault="00E96965">
      <w:r>
        <w:t>El algoritmo de Bry-Boschan identifica una secuencia coherente de fases de expansión y contracción</w:t>
      </w:r>
    </w:p>
    <w:p w14:paraId="3A83DE70" w14:textId="77777777" w:rsidR="00DE3F5D" w:rsidRDefault="00E96965">
      <w:r>
        <w:t>del precio del cobre a lo largo de 2004–2024, capturando el súper-ciclo (auge hasta 2011),</w:t>
      </w:r>
    </w:p>
    <w:p w14:paraId="6FF9368B" w14:textId="77777777" w:rsidR="00DE3F5D" w:rsidRDefault="00E96965">
      <w:r>
        <w:t>la corrección posterior, el shock de 2020 y la recuperación reciente.</w:t>
      </w:r>
    </w:p>
    <w:p w14:paraId="46AE6AC2" w14:textId="77777777" w:rsidR="00DE3F5D" w:rsidRDefault="00E96965">
      <w:r>
        <w:t xml:space="preserve">La estimación del modelo con </w:t>
      </w:r>
      <w:r>
        <w:rPr>
          <w:b/>
        </w:rPr>
        <w:t>término de interacción</w:t>
      </w:r>
      <w:r>
        <w:t xml:space="preserve"> entre el precio del cobre y la fase de</w:t>
      </w:r>
    </w:p>
    <w:p w14:paraId="2C425C7C" w14:textId="77777777" w:rsidR="00DE3F5D" w:rsidRDefault="00E96965">
      <w:r>
        <w:t xml:space="preserve">expansión (muestra B) arroja una sensibilidad base —en contracción— de </w:t>
      </w:r>
      <w:r>
        <w:rPr>
          <w:b/>
        </w:rPr>
        <w:t>0,630</w:t>
      </w:r>
      <w:r>
        <w:t xml:space="preserve"> y un incremento</w:t>
      </w:r>
    </w:p>
    <w:p w14:paraId="08E2C9E2" w14:textId="77777777" w:rsidR="00DE3F5D" w:rsidRDefault="00E96965">
      <w:r>
        <w:t xml:space="preserve">en expansión de </w:t>
      </w:r>
      <w:r>
        <w:rPr>
          <w:b/>
        </w:rPr>
        <w:t>+0,083</w:t>
      </w:r>
      <w:r>
        <w:t xml:space="preserve"> que, sin embargo, </w:t>
      </w:r>
      <w:r>
        <w:rPr>
          <w:b/>
        </w:rPr>
        <w:t>no es estadísticamente significativo</w:t>
      </w:r>
      <w:r>
        <w:t xml:space="preserve"> (p = 0,63).</w:t>
      </w:r>
    </w:p>
    <w:p w14:paraId="7F67857D" w14:textId="77777777" w:rsidR="00DE3F5D" w:rsidRDefault="00E96965">
      <w:r>
        <w:t>La lectura es que, en esta especificación preliminar, **la sensibilidad de los retornos al precio</w:t>
      </w:r>
    </w:p>
    <w:p w14:paraId="41791AED" w14:textId="77777777" w:rsidR="00DE3F5D" w:rsidRDefault="00E96965">
      <w:r>
        <w:t>del cobre no difiere de manera significativa entre las fases del ciclo**: el efecto del cobre es</w:t>
      </w:r>
    </w:p>
    <w:p w14:paraId="5E0ABC27" w14:textId="77777777" w:rsidR="00DE3F5D" w:rsidRDefault="00E96965">
      <w:r>
        <w:t>robusto y de magnitud estable a lo largo del régimen. Este resultado matiza la hipótesis de</w:t>
      </w:r>
    </w:p>
    <w:p w14:paraId="5CE11E00" w14:textId="77777777" w:rsidR="00DE3F5D" w:rsidRDefault="00E96965">
      <w:r>
        <w:t>asimetría (H5 sobre estabilidad) y constituye en sí mismo un hallazgo de interés, sujeto a</w:t>
      </w:r>
    </w:p>
    <w:p w14:paraId="4348CD2D" w14:textId="77777777" w:rsidR="00DE3F5D" w:rsidRDefault="00E96965">
      <w:r>
        <w:t>confirmación con el conjunto de datos completo.</w:t>
      </w:r>
    </w:p>
    <w:p w14:paraId="5AF415C2" w14:textId="77777777" w:rsidR="00DE3F5D" w:rsidRDefault="00E96965">
      <w:pPr>
        <w:jc w:val="center"/>
      </w:pPr>
      <w:r>
        <w:rPr>
          <w:noProof/>
        </w:rPr>
        <w:lastRenderedPageBreak/>
        <w:drawing>
          <wp:inline distT="0" distB="0" distL="0" distR="0" wp14:anchorId="201D2711" wp14:editId="19706DBA">
            <wp:extent cx="5394960" cy="24497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2"/>
                    <a:stretch>
                      <a:fillRect/>
                    </a:stretch>
                  </pic:blipFill>
                  <pic:spPr>
                    <a:xfrm>
                      <a:off x="0" y="0"/>
                      <a:ext cx="5394960" cy="2449752"/>
                    </a:xfrm>
                    <a:prstGeom prst="rect">
                      <a:avLst/>
                    </a:prstGeom>
                  </pic:spPr>
                </pic:pic>
              </a:graphicData>
            </a:graphic>
          </wp:inline>
        </w:drawing>
      </w:r>
    </w:p>
    <w:p w14:paraId="60F38838" w14:textId="13821E2D" w:rsidR="00DE3F5D" w:rsidRDefault="00E96965">
      <w:pPr>
        <w:pStyle w:val="Descripcin"/>
        <w:jc w:val="center"/>
      </w:pPr>
      <w:bookmarkStart w:id="54" w:name="_Toc231081615"/>
      <w:r>
        <w:rPr>
          <w:sz w:val="20"/>
        </w:rPr>
        <w:t xml:space="preserve">Figura </w:t>
      </w:r>
      <w:r>
        <w:fldChar w:fldCharType="begin"/>
      </w:r>
      <w:r>
        <w:instrText xml:space="preserve"> SEQ Figura \* ARABIC </w:instrText>
      </w:r>
      <w:r>
        <w:fldChar w:fldCharType="separate"/>
      </w:r>
      <w:r>
        <w:rPr>
          <w:noProof/>
        </w:rPr>
        <w:t>4</w:t>
      </w:r>
      <w:r>
        <w:fldChar w:fldCharType="end"/>
      </w:r>
      <w:r>
        <w:rPr>
          <w:sz w:val="20"/>
        </w:rPr>
        <w:t>. Precio del cobre y fases del ciclo (expansión/contracción) fechadas con Bry-Boschan.</w:t>
      </w:r>
      <w:bookmarkEnd w:id="54"/>
    </w:p>
    <w:p w14:paraId="79BDB6E3" w14:textId="77777777" w:rsidR="00DE3F5D" w:rsidRDefault="00E96965">
      <w:pPr>
        <w:pStyle w:val="Ttulo2"/>
      </w:pPr>
      <w:bookmarkStart w:id="55" w:name="_Toc231081577"/>
      <w:r>
        <w:t>4.6 Comparación entre mercados: triangulación (OE6)</w:t>
      </w:r>
      <w:bookmarkEnd w:id="55"/>
    </w:p>
    <w:p w14:paraId="7E1E2DE7" w14:textId="77777777" w:rsidR="00DE3F5D" w:rsidRDefault="00E96965">
      <w:r>
        <w:t>La tabla comparativa entre las tres muestras ofrece la primera evidencia sobre la transmisión</w:t>
      </w:r>
    </w:p>
    <w:p w14:paraId="66D3F878" w14:textId="77777777" w:rsidR="00DE3F5D" w:rsidRDefault="00E96965">
      <w:r>
        <w:t>diferenciada del impacto macroeconómico:</w:t>
      </w:r>
    </w:p>
    <w:p w14:paraId="6CEFEFAE" w14:textId="1108AD23" w:rsidR="00DE3F5D" w:rsidRDefault="00E96965">
      <w:pPr>
        <w:pStyle w:val="Descripcin"/>
        <w:jc w:val="center"/>
      </w:pPr>
      <w:bookmarkStart w:id="56" w:name="_Toc231081602"/>
      <w:r>
        <w:rPr>
          <w:sz w:val="20"/>
        </w:rPr>
        <w:t xml:space="preserve">Tabla </w:t>
      </w:r>
      <w:r>
        <w:fldChar w:fldCharType="begin"/>
      </w:r>
      <w:r>
        <w:instrText xml:space="preserve"> SEQ Tabla \* ARABIC </w:instrText>
      </w:r>
      <w:r>
        <w:fldChar w:fldCharType="separate"/>
      </w:r>
      <w:r>
        <w:rPr>
          <w:noProof/>
        </w:rPr>
        <w:t>4</w:t>
      </w:r>
      <w:r>
        <w:fldChar w:fldCharType="end"/>
      </w:r>
      <w:r>
        <w:rPr>
          <w:sz w:val="20"/>
        </w:rPr>
        <w:t>.</w:t>
      </w:r>
      <w:bookmarkEnd w:id="5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DE3F5D" w14:paraId="7B44ECB7"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BCAC91E" w14:textId="77777777" w:rsidR="00DE3F5D" w:rsidRDefault="00E96965">
            <w:r>
              <w:rPr>
                <w:sz w:val="20"/>
              </w:rPr>
              <w:t>Muestra</w:t>
            </w:r>
          </w:p>
        </w:tc>
        <w:tc>
          <w:tcPr>
            <w:tcW w:w="1768" w:type="dxa"/>
          </w:tcPr>
          <w:p w14:paraId="3D9254BF"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Mercado</w:t>
            </w:r>
          </w:p>
        </w:tc>
        <w:tc>
          <w:tcPr>
            <w:tcW w:w="1768" w:type="dxa"/>
          </w:tcPr>
          <w:p w14:paraId="31C9FCDA"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β cobre</w:t>
            </w:r>
          </w:p>
        </w:tc>
        <w:tc>
          <w:tcPr>
            <w:tcW w:w="1768" w:type="dxa"/>
          </w:tcPr>
          <w:p w14:paraId="2CF60C64"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R²</w:t>
            </w:r>
          </w:p>
        </w:tc>
        <w:tc>
          <w:tcPr>
            <w:tcW w:w="1768" w:type="dxa"/>
          </w:tcPr>
          <w:p w14:paraId="76461FF5"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Varianza por shocks globales</w:t>
            </w:r>
          </w:p>
        </w:tc>
      </w:tr>
      <w:tr w:rsidR="00DE3F5D" w14:paraId="3ED665C4"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E3A2C48" w14:textId="77777777" w:rsidR="00DE3F5D" w:rsidRDefault="00E96965">
            <w:r>
              <w:rPr>
                <w:sz w:val="20"/>
              </w:rPr>
              <w:t>B · cobre internacional</w:t>
            </w:r>
          </w:p>
        </w:tc>
        <w:tc>
          <w:tcPr>
            <w:tcW w:w="1768" w:type="dxa"/>
          </w:tcPr>
          <w:p w14:paraId="38C18D1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global</w:t>
            </w:r>
          </w:p>
        </w:tc>
        <w:tc>
          <w:tcPr>
            <w:tcW w:w="1768" w:type="dxa"/>
          </w:tcPr>
          <w:p w14:paraId="744F6BE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0,571</w:t>
            </w:r>
          </w:p>
        </w:tc>
        <w:tc>
          <w:tcPr>
            <w:tcW w:w="1768" w:type="dxa"/>
          </w:tcPr>
          <w:p w14:paraId="25EB32A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0,245</w:t>
            </w:r>
          </w:p>
        </w:tc>
        <w:tc>
          <w:tcPr>
            <w:tcW w:w="1768" w:type="dxa"/>
          </w:tcPr>
          <w:p w14:paraId="4B02A08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0,320</w:t>
            </w:r>
          </w:p>
        </w:tc>
      </w:tr>
      <w:tr w:rsidR="00DE3F5D" w14:paraId="6BD906CD"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20AE58C" w14:textId="77777777" w:rsidR="00DE3F5D" w:rsidRDefault="00E96965">
            <w:r>
              <w:rPr>
                <w:sz w:val="20"/>
              </w:rPr>
              <w:t>A · cobre Chile (Pucobre)</w:t>
            </w:r>
          </w:p>
        </w:tc>
        <w:tc>
          <w:tcPr>
            <w:tcW w:w="1768" w:type="dxa"/>
          </w:tcPr>
          <w:p w14:paraId="3715016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chileno</w:t>
            </w:r>
          </w:p>
        </w:tc>
        <w:tc>
          <w:tcPr>
            <w:tcW w:w="1768" w:type="dxa"/>
          </w:tcPr>
          <w:p w14:paraId="3BE49D1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0,631</w:t>
            </w:r>
          </w:p>
        </w:tc>
        <w:tc>
          <w:tcPr>
            <w:tcW w:w="1768" w:type="dxa"/>
          </w:tcPr>
          <w:p w14:paraId="4C6A99A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0,331</w:t>
            </w:r>
          </w:p>
        </w:tc>
        <w:tc>
          <w:tcPr>
            <w:tcW w:w="1768" w:type="dxa"/>
          </w:tcPr>
          <w:p w14:paraId="3095548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0,295</w:t>
            </w:r>
          </w:p>
        </w:tc>
      </w:tr>
      <w:tr w:rsidR="00DE3F5D" w14:paraId="0F71E08E"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FE6CA0C" w14:textId="77777777" w:rsidR="00DE3F5D" w:rsidRDefault="00E96965">
            <w:r>
              <w:rPr>
                <w:sz w:val="20"/>
              </w:rPr>
              <w:t>C · minería Chile</w:t>
            </w:r>
          </w:p>
        </w:tc>
        <w:tc>
          <w:tcPr>
            <w:tcW w:w="1768" w:type="dxa"/>
          </w:tcPr>
          <w:p w14:paraId="53E23DF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chileno</w:t>
            </w:r>
          </w:p>
        </w:tc>
        <w:tc>
          <w:tcPr>
            <w:tcW w:w="1768" w:type="dxa"/>
          </w:tcPr>
          <w:p w14:paraId="2971416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0,418</w:t>
            </w:r>
          </w:p>
        </w:tc>
        <w:tc>
          <w:tcPr>
            <w:tcW w:w="1768" w:type="dxa"/>
          </w:tcPr>
          <w:p w14:paraId="78E7814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0,113</w:t>
            </w:r>
          </w:p>
        </w:tc>
        <w:tc>
          <w:tcPr>
            <w:tcW w:w="1768" w:type="dxa"/>
          </w:tcPr>
          <w:p w14:paraId="6457981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0,279</w:t>
            </w:r>
          </w:p>
        </w:tc>
      </w:tr>
    </w:tbl>
    <w:p w14:paraId="1EC05E49" w14:textId="77777777" w:rsidR="00DE3F5D" w:rsidRDefault="00DE3F5D"/>
    <w:p w14:paraId="54EDE0EC" w14:textId="77777777" w:rsidR="00DE3F5D" w:rsidRDefault="00E96965">
      <w:r>
        <w:t>Dos hallazgos preliminares:</w:t>
      </w:r>
    </w:p>
    <w:p w14:paraId="44DAA5BC" w14:textId="77777777" w:rsidR="00DE3F5D" w:rsidRDefault="00E96965">
      <w:pPr>
        <w:pStyle w:val="Listaconnmeros"/>
      </w:pPr>
      <w:r>
        <w:t xml:space="preserve">**La sensibilidad al cobre es similar entre el </w:t>
      </w:r>
      <w:r>
        <w:t>cobre puro internacional (0,571) y el local</w:t>
      </w:r>
    </w:p>
    <w:p w14:paraId="1314FBA2" w14:textId="77777777" w:rsidR="00DE3F5D" w:rsidRDefault="00E96965">
      <w:r>
        <w:t xml:space="preserve">   (0,631), y cae en el sector minero mixto (0,418).** Esto sugiere que el mercado precia la</w:t>
      </w:r>
    </w:p>
    <w:p w14:paraId="270643A1" w14:textId="77777777" w:rsidR="00DE3F5D" w:rsidRDefault="00E96965">
      <w:r>
        <w:t xml:space="preserve">   exposición al cobre de forma comparable con independencia del lugar de cotización, y que la</w:t>
      </w:r>
    </w:p>
    <w:p w14:paraId="365D3FCC" w14:textId="77777777" w:rsidR="00DE3F5D" w:rsidRDefault="00E96965">
      <w:r>
        <w:lastRenderedPageBreak/>
        <w:t xml:space="preserve">   menor sensibilidad de la muestra C se debe a la </w:t>
      </w:r>
      <w:r>
        <w:rPr>
          <w:b/>
        </w:rPr>
        <w:t>dilución por otros commodities</w:t>
      </w:r>
      <w:r>
        <w:t xml:space="preserve"> (hierro,</w:t>
      </w:r>
    </w:p>
    <w:p w14:paraId="32653373" w14:textId="77777777" w:rsidR="00DE3F5D" w:rsidRDefault="00E96965">
      <w:r>
        <w:t xml:space="preserve">   litio, molibdeno), tal como anticipa el rol de "vehículo" de esa muestra.</w:t>
      </w:r>
    </w:p>
    <w:p w14:paraId="6F73A169" w14:textId="77777777" w:rsidR="00DE3F5D" w:rsidRDefault="00E96965">
      <w:pPr>
        <w:jc w:val="center"/>
      </w:pPr>
      <w:r>
        <w:rPr>
          <w:noProof/>
        </w:rPr>
        <w:drawing>
          <wp:inline distT="0" distB="0" distL="0" distR="0" wp14:anchorId="092E350B" wp14:editId="4CB58A83">
            <wp:extent cx="5394960" cy="2718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3"/>
                    <a:stretch>
                      <a:fillRect/>
                    </a:stretch>
                  </pic:blipFill>
                  <pic:spPr>
                    <a:xfrm>
                      <a:off x="0" y="0"/>
                      <a:ext cx="5394960" cy="2718240"/>
                    </a:xfrm>
                    <a:prstGeom prst="rect">
                      <a:avLst/>
                    </a:prstGeom>
                  </pic:spPr>
                </pic:pic>
              </a:graphicData>
            </a:graphic>
          </wp:inline>
        </w:drawing>
      </w:r>
    </w:p>
    <w:p w14:paraId="420422CB" w14:textId="1F20AF8B" w:rsidR="00DE3F5D" w:rsidRDefault="00E96965">
      <w:pPr>
        <w:pStyle w:val="Descripcin"/>
        <w:jc w:val="center"/>
      </w:pPr>
      <w:bookmarkStart w:id="57" w:name="_Toc231081616"/>
      <w:r>
        <w:rPr>
          <w:sz w:val="20"/>
        </w:rPr>
        <w:t xml:space="preserve">Figura </w:t>
      </w:r>
      <w:r>
        <w:fldChar w:fldCharType="begin"/>
      </w:r>
      <w:r>
        <w:instrText xml:space="preserve"> SEQ Figura \* ARABIC </w:instrText>
      </w:r>
      <w:r>
        <w:fldChar w:fldCharType="separate"/>
      </w:r>
      <w:r>
        <w:rPr>
          <w:noProof/>
        </w:rPr>
        <w:t>5</w:t>
      </w:r>
      <w:r>
        <w:fldChar w:fldCharType="end"/>
      </w:r>
      <w:r>
        <w:rPr>
          <w:sz w:val="20"/>
        </w:rPr>
        <w:t>. Triangulación: sensibilidad al cobre y dominancia global por muestra (B, A, C).</w:t>
      </w:r>
      <w:bookmarkEnd w:id="57"/>
    </w:p>
    <w:p w14:paraId="33B7A415" w14:textId="77777777" w:rsidR="00DE3F5D" w:rsidRDefault="00E96965">
      <w:pPr>
        <w:pStyle w:val="Listaconnmeros"/>
      </w:pPr>
      <w:r>
        <w:t>**La fracción de varianza atribuida a shocks globales es algo mayor en el mercado internacional</w:t>
      </w:r>
    </w:p>
    <w:p w14:paraId="271E8768" w14:textId="77777777" w:rsidR="00DE3F5D" w:rsidRDefault="00E96965">
      <w:r>
        <w:t xml:space="preserve">   (0,320) que en el chileno (0,295 y 0,279).</w:t>
      </w:r>
      <w:r>
        <w:rPr>
          <w:b/>
        </w:rPr>
        <w:t xml:space="preserve"> Es una señal </w:t>
      </w:r>
      <w:r>
        <w:t>direccionalmente consistente con H7**</w:t>
      </w:r>
    </w:p>
    <w:p w14:paraId="593D6916" w14:textId="77777777" w:rsidR="00DE3F5D" w:rsidRDefault="00E96965">
      <w:r>
        <w:t xml:space="preserve">   —el mercado internacional incorporaría el shock de forma más completa—, aunque la diferencia es</w:t>
      </w:r>
    </w:p>
    <w:p w14:paraId="23F555B3" w14:textId="77777777" w:rsidR="00DE3F5D" w:rsidRDefault="00E96965">
      <w:r>
        <w:t xml:space="preserve">   modesta y requiere confirmación con el conjunto de datos completo y pruebas formales de igualdad</w:t>
      </w:r>
    </w:p>
    <w:p w14:paraId="15E56C4D" w14:textId="77777777" w:rsidR="00DE3F5D" w:rsidRDefault="00E96965">
      <w:r>
        <w:t xml:space="preserve">   de coeficientes entre muestras.</w:t>
      </w:r>
    </w:p>
    <w:p w14:paraId="1D788943" w14:textId="77777777" w:rsidR="00DE3F5D" w:rsidRDefault="00E96965">
      <w:pPr>
        <w:pStyle w:val="Ttulo2"/>
      </w:pPr>
      <w:bookmarkStart w:id="58" w:name="_Toc231081578"/>
      <w:r>
        <w:t>4.7 Diagnósticos y robustez</w:t>
      </w:r>
      <w:bookmarkEnd w:id="58"/>
    </w:p>
    <w:p w14:paraId="3436872A" w14:textId="77777777" w:rsidR="00DE3F5D" w:rsidRDefault="00E96965">
      <w:r>
        <w:rPr>
          <w:b/>
        </w:rPr>
        <w:t>Dependencia de sección cruzada.</w:t>
      </w:r>
      <w:r>
        <w:t xml:space="preserve"> El test de Pesaran (CD) sobre los residuos del panel arroja un</w:t>
      </w:r>
    </w:p>
    <w:p w14:paraId="2AEC1619" w14:textId="77777777" w:rsidR="00DE3F5D" w:rsidRDefault="00E96965">
      <w:r>
        <w:t xml:space="preserve">estadístico de </w:t>
      </w:r>
      <w:r>
        <w:rPr>
          <w:b/>
        </w:rPr>
        <w:t>24,50 (p = 0,000)</w:t>
      </w:r>
      <w:r>
        <w:t>, rechazando contundentemente la independencia entre empresas.</w:t>
      </w:r>
    </w:p>
    <w:p w14:paraId="3E188DA1" w14:textId="77777777" w:rsidR="00DE3F5D" w:rsidRDefault="00E96965">
      <w:r>
        <w:lastRenderedPageBreak/>
        <w:t xml:space="preserve">Este resultado </w:t>
      </w:r>
      <w:r>
        <w:rPr>
          <w:b/>
        </w:rPr>
        <w:t>valida la elección metodológica</w:t>
      </w:r>
      <w:r>
        <w:t xml:space="preserve"> de errores estándar de Driscoll-Kraay: las</w:t>
      </w:r>
    </w:p>
    <w:p w14:paraId="4EFE3D71" w14:textId="77777777" w:rsidR="00DE3F5D" w:rsidRDefault="00E96965">
      <w:r>
        <w:t>cinco productoras comparten un factor común —señaladamente el precio del cobre— que induce</w:t>
      </w:r>
    </w:p>
    <w:p w14:paraId="0A87FDBB" w14:textId="77777777" w:rsidR="00DE3F5D" w:rsidRDefault="00E96965">
      <w:r>
        <w:t>correlación contemporánea en sus retornos. Ignorar esta dependencia habría sesgado la inferencia.</w:t>
      </w:r>
    </w:p>
    <w:p w14:paraId="1E1DB512" w14:textId="77777777" w:rsidR="00DE3F5D" w:rsidRDefault="00E96965">
      <w:r>
        <w:rPr>
          <w:b/>
        </w:rPr>
        <w:t>Estabilidad del sistema dinámico.</w:t>
      </w:r>
      <w:r>
        <w:t xml:space="preserve"> El VAR estimado es estable (raíces dentro del círculo</w:t>
      </w:r>
    </w:p>
    <w:p w14:paraId="74B8279D" w14:textId="77777777" w:rsidR="00DE3F5D" w:rsidRDefault="00E96965">
      <w:r>
        <w:t>unitario), condición necesaria para la validez de las funciones impulso-respuesta y de la</w:t>
      </w:r>
    </w:p>
    <w:p w14:paraId="57D49517" w14:textId="77777777" w:rsidR="00DE3F5D" w:rsidRDefault="00E96965">
      <w:r>
        <w:t>descomposición de varianza reportadas en §4.4.</w:t>
      </w:r>
    </w:p>
    <w:p w14:paraId="1168724B" w14:textId="77777777" w:rsidR="00DE3F5D" w:rsidRDefault="00E96965">
      <w:r>
        <w:rPr>
          <w:b/>
        </w:rPr>
        <w:t>Robustez por subperíodos.</w:t>
      </w:r>
      <w:r>
        <w:t xml:space="preserve"> Al reestimar el coeficiente del cobre en submuestras, este se</w:t>
      </w:r>
    </w:p>
    <w:p w14:paraId="6EF5600A" w14:textId="77777777" w:rsidR="00DE3F5D" w:rsidRDefault="00E96965">
      <w:r>
        <w:t>mantiene positivo y significativo, con una magnitud que **aumenta del período 2004–2019 (0,559) al</w:t>
      </w:r>
    </w:p>
    <w:p w14:paraId="567253B2" w14:textId="77777777" w:rsidR="00DE3F5D" w:rsidRDefault="00E96965">
      <w:r>
        <w:t>período 2020–2024 (0,751)**. La mayor sensibilidad reciente es coherente con la intensificación de</w:t>
      </w:r>
    </w:p>
    <w:p w14:paraId="7B01BB70" w14:textId="77777777" w:rsidR="00DE3F5D" w:rsidRDefault="00E96965">
      <w:r>
        <w:t xml:space="preserve">la atención de los mercados sobre el cobre en el contexto de la transición </w:t>
      </w:r>
      <w:r>
        <w:t>energética, y confirma</w:t>
      </w:r>
    </w:p>
    <w:p w14:paraId="0C80A77C" w14:textId="77777777" w:rsidR="00DE3F5D" w:rsidRDefault="00E96965">
      <w:r>
        <w:t xml:space="preserve">que el signo y la relevancia del efecto </w:t>
      </w:r>
      <w:r>
        <w:rPr>
          <w:b/>
        </w:rPr>
        <w:t>no dependen de un subperíodo particular</w:t>
      </w:r>
      <w:r>
        <w:t>.</w:t>
      </w:r>
    </w:p>
    <w:p w14:paraId="3EA5F3D3" w14:textId="77777777" w:rsidR="00DE3F5D" w:rsidRDefault="00E96965">
      <w:r>
        <w:rPr>
          <w:b/>
        </w:rPr>
        <w:t>Volatilidad condicional (GARCH).</w:t>
      </w:r>
      <w:r>
        <w:t xml:space="preserve"> La prueba ARCH-LM rechaza con holgura la ausencia de efectos</w:t>
      </w:r>
    </w:p>
    <w:p w14:paraId="7F87ACD5" w14:textId="77777777" w:rsidR="00DE3F5D" w:rsidRDefault="00E96965">
      <w:r>
        <w:t>de heterocedasticidad condicional (estadístico 41,1; p = 0,000), lo que justifica modelar la</w:t>
      </w:r>
    </w:p>
    <w:p w14:paraId="12FE56A7" w14:textId="77777777" w:rsidR="00DE3F5D" w:rsidRDefault="00E96965">
      <w:r>
        <w:t>varianza con un GARCH(1,1). El modelo estimado sobre los retornos de la cartera arroja una</w:t>
      </w:r>
    </w:p>
    <w:p w14:paraId="424EEE1A" w14:textId="77777777" w:rsidR="00DE3F5D" w:rsidRDefault="00E96965">
      <w:r>
        <w:rPr>
          <w:b/>
        </w:rPr>
        <w:t>persistencia de la volatilidad de 0,86</w:t>
      </w:r>
      <w:r>
        <w:t xml:space="preserve"> (α = 0,15; β = 0,70), indicativa de **agrupamiento de</w:t>
      </w:r>
    </w:p>
    <w:p w14:paraId="69114671" w14:textId="77777777" w:rsidR="00DE3F5D" w:rsidRDefault="00E96965">
      <w:r>
        <w:t>volatilidad**: los episodios de alta volatilidad —como las crisis— tienden a prolongarse. La</w:t>
      </w:r>
    </w:p>
    <w:p w14:paraId="56C84593" w14:textId="77777777" w:rsidR="00DE3F5D" w:rsidRDefault="00E96965">
      <w:r>
        <w:t xml:space="preserve">distribución t estimada (ν ≈ 12) confirma además la presencia de </w:t>
      </w:r>
      <w:r>
        <w:rPr>
          <w:b/>
        </w:rPr>
        <w:t>colas más pesadas</w:t>
      </w:r>
      <w:r>
        <w:t xml:space="preserve"> que la</w:t>
      </w:r>
    </w:p>
    <w:p w14:paraId="5C220127" w14:textId="77777777" w:rsidR="00DE3F5D" w:rsidRDefault="00E96965">
      <w:r>
        <w:lastRenderedPageBreak/>
        <w:t>normal, característica de los retornos financieros. La extensión a un modelo asimétrico</w:t>
      </w:r>
    </w:p>
    <w:p w14:paraId="1F930C76" w14:textId="77777777" w:rsidR="00DE3F5D" w:rsidRDefault="00E96965">
      <w:r>
        <w:rPr>
          <w:b/>
        </w:rPr>
        <w:t>GJR-GARCH</w:t>
      </w:r>
      <w:r>
        <w:t xml:space="preserve"> revela un </w:t>
      </w:r>
      <w:r>
        <w:rPr>
          <w:b/>
        </w:rPr>
        <w:t>efecto apalancamiento</w:t>
      </w:r>
      <w:r>
        <w:t xml:space="preserve"> estadísticamente significativo (γ = 0,22;</w:t>
      </w:r>
    </w:p>
    <w:p w14:paraId="6751D5CB" w14:textId="77777777" w:rsidR="00DE3F5D" w:rsidRDefault="00E96965">
      <w:r>
        <w:t>p = 0,023), preferido por el criterio BIC: las caídas del retorno elevan la volatilidad futura más</w:t>
      </w:r>
    </w:p>
    <w:p w14:paraId="4983BF29" w14:textId="77777777" w:rsidR="00DE3F5D" w:rsidRDefault="00E96965">
      <w:r>
        <w:t>que las alzas de igual magnitud, un patrón habitual en los mercados accionarios.</w:t>
      </w:r>
    </w:p>
    <w:p w14:paraId="5E496FBE" w14:textId="77777777" w:rsidR="00DE3F5D" w:rsidRDefault="00E96965">
      <w:r>
        <w:rPr>
          <w:b/>
        </w:rPr>
        <w:t>Corrección por pruebas múltiples.</w:t>
      </w:r>
      <w:r>
        <w:t xml:space="preserve"> Dado que el contraste de las hipótesis involucra la</w:t>
      </w:r>
    </w:p>
    <w:p w14:paraId="4250C2C9" w14:textId="77777777" w:rsidR="00DE3F5D" w:rsidRDefault="00E96965">
      <w:r>
        <w:t>estimación simultánea de numerosos coeficientes, se aplica la corrección de **Benjamini-Hochberg</w:t>
      </w:r>
    </w:p>
    <w:p w14:paraId="2F4D6F0A" w14:textId="77777777" w:rsidR="00DE3F5D" w:rsidRDefault="00E96965">
      <w:r>
        <w:t>(control de la tasa de falsos descubrimientos, FDR)** sobre los p-valores del panel. Tras la</w:t>
      </w:r>
    </w:p>
    <w:p w14:paraId="48A99A30" w14:textId="77777777" w:rsidR="00DE3F5D" w:rsidRDefault="00E96965">
      <w:r>
        <w:t xml:space="preserve">corrección, </w:t>
      </w:r>
      <w:r>
        <w:rPr>
          <w:b/>
        </w:rPr>
        <w:t>el precio del cobre, el VIX y el tipo de cambio conservan su significancia</w:t>
      </w:r>
    </w:p>
    <w:p w14:paraId="2D8D0F30" w14:textId="77777777" w:rsidR="00DE3F5D" w:rsidRDefault="00E96965">
      <w:r>
        <w:t>(p-valores ajustados de 0,000, 0,000 y 0,000, respectivamente), mientras que los factores ya no</w:t>
      </w:r>
    </w:p>
    <w:p w14:paraId="178C5F8F" w14:textId="77777777" w:rsidR="00DE3F5D" w:rsidRDefault="00E96965">
      <w:r>
        <w:t>significativos se mantienen como tales. Los hallazgos centrales no son, por tanto, artefactos de</w:t>
      </w:r>
    </w:p>
    <w:p w14:paraId="7F3AB07C" w14:textId="77777777" w:rsidR="00DE3F5D" w:rsidRDefault="00E96965">
      <w:r>
        <w:t>pruebas múltiples.</w:t>
      </w:r>
    </w:p>
    <w:p w14:paraId="09918674" w14:textId="77777777" w:rsidR="00DE3F5D" w:rsidRDefault="00E96965">
      <w:r>
        <w:rPr>
          <w:b/>
        </w:rPr>
        <w:t>Magnitudes económicas (betas estandarizados).</w:t>
      </w:r>
      <w:r>
        <w:t xml:space="preserve"> Expresado en desviaciones estándar, el factor de</w:t>
      </w:r>
    </w:p>
    <w:p w14:paraId="2EDFB7EE" w14:textId="77777777" w:rsidR="00DE3F5D" w:rsidRDefault="00E96965">
      <w:r>
        <w:t xml:space="preserve">mayor impacto sobre el retorno es el </w:t>
      </w:r>
      <w:r>
        <w:rPr>
          <w:b/>
        </w:rPr>
        <w:t>riesgo global (VIX, −0,31 σ)</w:t>
      </w:r>
      <w:r>
        <w:t>, seguido muy de cerca por el</w:t>
      </w:r>
    </w:p>
    <w:p w14:paraId="579FEA3E" w14:textId="77777777" w:rsidR="00DE3F5D" w:rsidRDefault="00E96965">
      <w:r>
        <w:rPr>
          <w:b/>
        </w:rPr>
        <w:t>precio del cobre (+0,29 σ)</w:t>
      </w:r>
      <w:r>
        <w:t xml:space="preserve"> y, a mayor distancia, el tipo de cambio (−0,13 σ). Esta jerarquía</w:t>
      </w:r>
    </w:p>
    <w:p w14:paraId="2CEA42FD" w14:textId="77777777" w:rsidR="00DE3F5D" w:rsidRDefault="00E96965">
      <w:r>
        <w:t>—dos factores globales en la cúspide— constituye evidencia económica, y no solo estadística, a</w:t>
      </w:r>
    </w:p>
    <w:p w14:paraId="32189E0E" w14:textId="77777777" w:rsidR="00DE3F5D" w:rsidRDefault="00E96965">
      <w:r>
        <w:t>favor de la dominancia de los factores internacionales (H6).</w:t>
      </w:r>
    </w:p>
    <w:p w14:paraId="75745720" w14:textId="77777777" w:rsidR="00DE3F5D" w:rsidRDefault="00E96965">
      <w:r>
        <w:rPr>
          <w:b/>
        </w:rPr>
        <w:t>Local Projections.</w:t>
      </w:r>
      <w:r>
        <w:t xml:space="preserve"> Como alternativa al VAR, más robusta a la mala especificación, se estima la</w:t>
      </w:r>
    </w:p>
    <w:p w14:paraId="0B3F50E0" w14:textId="77777777" w:rsidR="00DE3F5D" w:rsidRDefault="00E96965">
      <w:r>
        <w:lastRenderedPageBreak/>
        <w:t xml:space="preserve">respuesta del retorno a un shock del cobre mediante </w:t>
      </w:r>
      <w:r>
        <w:rPr>
          <w:b/>
        </w:rPr>
        <w:t>proyecciones locales (Jordà, 2005)</w:t>
      </w:r>
      <w:r>
        <w:t xml:space="preserve"> con</w:t>
      </w:r>
    </w:p>
    <w:p w14:paraId="170E6ABC" w14:textId="77777777" w:rsidR="00DE3F5D" w:rsidRDefault="00E96965">
      <w:r>
        <w:t>errores estándar HAC horizonte a horizonte. La respuesta estimada (0,68 en el impacto, con</w:t>
      </w:r>
    </w:p>
    <w:p w14:paraId="1F215B1B" w14:textId="77777777" w:rsidR="00DE3F5D" w:rsidRDefault="00E96965">
      <w:r>
        <w:t xml:space="preserve">decaimiento posterior) </w:t>
      </w:r>
      <w:r>
        <w:rPr>
          <w:b/>
        </w:rPr>
        <w:t>coincide cualitativamente con la función impulso-respuesta del VAR</w:t>
      </w:r>
      <w:r>
        <w:t>, lo</w:t>
      </w:r>
    </w:p>
    <w:p w14:paraId="5DB0E61C" w14:textId="77777777" w:rsidR="00DE3F5D" w:rsidRDefault="00E96965">
      <w:r>
        <w:t>que refuerza la robustez de la dinámica reportada en §4.4.</w:t>
      </w:r>
    </w:p>
    <w:p w14:paraId="6678AF10" w14:textId="77777777" w:rsidR="00DE3F5D" w:rsidRDefault="00E96965">
      <w:pPr>
        <w:jc w:val="center"/>
      </w:pPr>
      <w:r>
        <w:rPr>
          <w:noProof/>
        </w:rPr>
        <w:drawing>
          <wp:inline distT="0" distB="0" distL="0" distR="0" wp14:anchorId="6B8FA12C" wp14:editId="0027102C">
            <wp:extent cx="5394960" cy="2620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4"/>
                    <a:stretch>
                      <a:fillRect/>
                    </a:stretch>
                  </pic:blipFill>
                  <pic:spPr>
                    <a:xfrm>
                      <a:off x="0" y="0"/>
                      <a:ext cx="5394960" cy="2620409"/>
                    </a:xfrm>
                    <a:prstGeom prst="rect">
                      <a:avLst/>
                    </a:prstGeom>
                  </pic:spPr>
                </pic:pic>
              </a:graphicData>
            </a:graphic>
          </wp:inline>
        </w:drawing>
      </w:r>
    </w:p>
    <w:p w14:paraId="3EE0F26C" w14:textId="54AD0B50" w:rsidR="00DE3F5D" w:rsidRDefault="00E96965">
      <w:pPr>
        <w:pStyle w:val="Descripcin"/>
        <w:jc w:val="center"/>
      </w:pPr>
      <w:bookmarkStart w:id="59" w:name="_Toc231081617"/>
      <w:r>
        <w:rPr>
          <w:sz w:val="20"/>
        </w:rPr>
        <w:t xml:space="preserve">Figura </w:t>
      </w:r>
      <w:r>
        <w:fldChar w:fldCharType="begin"/>
      </w:r>
      <w:r>
        <w:instrText xml:space="preserve"> SEQ Figura \* ARABIC </w:instrText>
      </w:r>
      <w:r>
        <w:fldChar w:fldCharType="separate"/>
      </w:r>
      <w:r>
        <w:rPr>
          <w:noProof/>
        </w:rPr>
        <w:t>6</w:t>
      </w:r>
      <w:r>
        <w:fldChar w:fldCharType="end"/>
      </w:r>
      <w:r>
        <w:rPr>
          <w:sz w:val="20"/>
        </w:rPr>
        <w:t>. Respuesta del retorno a un shock del cobre mediante proyecciones locales (Jordà, 2005), IC 95%.</w:t>
      </w:r>
      <w:bookmarkEnd w:id="59"/>
    </w:p>
    <w:p w14:paraId="56C0EB81" w14:textId="77777777" w:rsidR="00DE3F5D" w:rsidRDefault="00E96965">
      <w:pPr>
        <w:pStyle w:val="Ttulo2"/>
      </w:pPr>
      <w:bookmarkStart w:id="60" w:name="_Toc231081579"/>
      <w:r>
        <w:t>4.8 Discusión integrada</w:t>
      </w:r>
      <w:bookmarkEnd w:id="60"/>
    </w:p>
    <w:p w14:paraId="42179EA3" w14:textId="77777777" w:rsidR="00DE3F5D" w:rsidRDefault="00E96965">
      <w:r>
        <w:t>Los resultados preliminares dibujan un cuadro coherente con la teoría: **el precio del cobre es el</w:t>
      </w:r>
    </w:p>
    <w:p w14:paraId="1F2DA6D6" w14:textId="77777777" w:rsidR="00DE3F5D" w:rsidRDefault="00E96965">
      <w:r>
        <w:t>principal determinante de los retornos del sector** (H1), con un efecto positivo, significativo,</w:t>
      </w:r>
    </w:p>
    <w:p w14:paraId="35662E7E" w14:textId="77777777" w:rsidR="00DE3F5D" w:rsidRDefault="00E96965">
      <w:r>
        <w:rPr>
          <w:b/>
        </w:rPr>
        <w:t>estable entre fases del ciclo</w:t>
      </w:r>
      <w:r>
        <w:t xml:space="preserve"> (§4.5) y robusto entre subperíodos (§4.7); **los factores globales</w:t>
      </w:r>
    </w:p>
    <w:p w14:paraId="2C126DF1" w14:textId="77777777" w:rsidR="00DE3F5D" w:rsidRDefault="00E96965">
      <w:r>
        <w:t>dominan a los locales</w:t>
      </w:r>
      <w:r>
        <w:rPr>
          <w:b/>
        </w:rPr>
        <w:t xml:space="preserve"> en la explicación de la varianza (H6); y el </w:t>
      </w:r>
      <w:r>
        <w:t>tipo de cambio** ejerce un</w:t>
      </w:r>
    </w:p>
    <w:p w14:paraId="5A108C0B" w14:textId="77777777" w:rsidR="00DE3F5D" w:rsidRDefault="00E96965">
      <w:r>
        <w:lastRenderedPageBreak/>
        <w:t>efecto negativo significativo cuyo signo refleja la doble naturaleza —competitividad y riesgo—</w:t>
      </w:r>
    </w:p>
    <w:p w14:paraId="47D96580" w14:textId="77777777" w:rsidR="00DE3F5D" w:rsidRDefault="00E96965">
      <w:r>
        <w:t>anticipada (H2). La comparación entre mercados aporta una primera señal, aún débil, de</w:t>
      </w:r>
    </w:p>
    <w:p w14:paraId="7A17C1BA" w14:textId="77777777" w:rsidR="00DE3F5D" w:rsidRDefault="00E96965">
      <w:r>
        <w:rPr>
          <w:b/>
        </w:rPr>
        <w:t>transmisión diferenciada</w:t>
      </w:r>
      <w:r>
        <w:t xml:space="preserve"> (H7); y la </w:t>
      </w:r>
      <w:r>
        <w:rPr>
          <w:b/>
        </w:rPr>
        <w:t>relación de cointegración de largo plazo</w:t>
      </w:r>
      <w:r>
        <w:t xml:space="preserve"> (H5) **se</w:t>
      </w:r>
    </w:p>
    <w:p w14:paraId="7C7001CA" w14:textId="77777777" w:rsidR="00DE3F5D" w:rsidRDefault="00E96965">
      <w:r>
        <w:t>confirma una vez que se admite un quiebre estructural** en 2008 (Gregory-Hansen), lo que reconcilia</w:t>
      </w:r>
    </w:p>
    <w:p w14:paraId="7001A115" w14:textId="77777777" w:rsidR="00DE3F5D" w:rsidRDefault="00E96965">
      <w:r>
        <w:t>la evidencia inicialmente mixta. La fuerte dependencia de sección cruzada detectada (§4.7) confirma,</w:t>
      </w:r>
    </w:p>
    <w:p w14:paraId="098DA8D4" w14:textId="77777777" w:rsidR="00DE3F5D" w:rsidRDefault="00E96965">
      <w:r>
        <w:t>además, la pertinencia del tratamiento econométrico adoptado.</w:t>
      </w:r>
    </w:p>
    <w:p w14:paraId="1A928CC8" w14:textId="77777777" w:rsidR="00DE3F5D" w:rsidRDefault="00E96965">
      <w:r>
        <w:t xml:space="preserve">Estas lecturas son </w:t>
      </w:r>
      <w:r>
        <w:rPr>
          <w:b/>
        </w:rPr>
        <w:t>provisionales</w:t>
      </w:r>
      <w:r>
        <w:t xml:space="preserve"> en un único sentido acotado: su elevación a hallazgos</w:t>
      </w:r>
    </w:p>
    <w:p w14:paraId="032F9E3D" w14:textId="77777777" w:rsidR="00DE3F5D" w:rsidRDefault="00E96965">
      <w:r>
        <w:t xml:space="preserve">plenamente definitivos exige todavía (i) incorporar el </w:t>
      </w:r>
      <w:r>
        <w:rPr>
          <w:b/>
        </w:rPr>
        <w:t>EMBI</w:t>
      </w:r>
      <w:r>
        <w:t xml:space="preserve"> y los **controles a nivel de</w:t>
      </w:r>
    </w:p>
    <w:p w14:paraId="54D64BDF" w14:textId="77777777" w:rsidR="00DE3F5D" w:rsidRDefault="00E96965">
      <w:r>
        <w:t>empresa</w:t>
      </w:r>
      <w:r>
        <w:rPr>
          <w:b/>
        </w:rPr>
        <w:t xml:space="preserve">, y (ii) formalizar la comparación entre mercados con </w:t>
      </w:r>
      <w:r>
        <w:t>pruebas de igualdad de</w:t>
      </w:r>
    </w:p>
    <w:p w14:paraId="3C298F51" w14:textId="77777777" w:rsidR="00DE3F5D" w:rsidRDefault="00E96965">
      <w:r>
        <w:t>coeficientes</w:t>
      </w:r>
      <w:r>
        <w:rPr>
          <w:b/>
        </w:rPr>
        <w:t xml:space="preserve"> entre muestras. En cambio, el grueso del aparato econométrico </w:t>
      </w:r>
      <w:r>
        <w:t>ya está ejecutado y</w:t>
      </w:r>
    </w:p>
    <w:p w14:paraId="216BF716" w14:textId="77777777" w:rsidR="00DE3F5D" w:rsidRDefault="00E96965">
      <w:r>
        <w:t>es concluyente**: la resolución del orden de integración (Zivot-Andrews), las interacciones por</w:t>
      </w:r>
    </w:p>
    <w:p w14:paraId="45F2C69B" w14:textId="77777777" w:rsidR="00DE3F5D" w:rsidRDefault="00E96965">
      <w:r>
        <w:t>ciclo (OE5), los diagnósticos de panel y VAR (CD de Pesaran, estabilidad), la robustez por</w:t>
      </w:r>
    </w:p>
    <w:p w14:paraId="0DBA0A51" w14:textId="77777777" w:rsidR="00DE3F5D" w:rsidRDefault="00E96965">
      <w:r>
        <w:t xml:space="preserve">subperíodos, la </w:t>
      </w:r>
      <w:r>
        <w:rPr>
          <w:b/>
        </w:rPr>
        <w:t>cointegración con quiebre</w:t>
      </w:r>
      <w:r>
        <w:t xml:space="preserve"> (Gregory-Hansen) y la </w:t>
      </w:r>
      <w:r>
        <w:rPr>
          <w:b/>
        </w:rPr>
        <w:t>volatilidad condicional</w:t>
      </w:r>
    </w:p>
    <w:p w14:paraId="352A8F62" w14:textId="77777777" w:rsidR="00DE3F5D" w:rsidRDefault="00E96965">
      <w:r>
        <w:t>(GARCH) confieren una base empírica sólida a las conclusiones aquí presentadas.</w:t>
      </w:r>
    </w:p>
    <w:p w14:paraId="3CCB60CB" w14:textId="77777777" w:rsidR="00DE3F5D" w:rsidRDefault="00E96965">
      <w:r>
        <w:br w:type="page"/>
      </w:r>
    </w:p>
    <w:p w14:paraId="614D1C71" w14:textId="77777777" w:rsidR="00DE3F5D" w:rsidRDefault="00E96965">
      <w:pPr>
        <w:pStyle w:val="Ttulo1"/>
      </w:pPr>
      <w:bookmarkStart w:id="61" w:name="_Toc231081580"/>
      <w:r>
        <w:lastRenderedPageBreak/>
        <w:t>Capítulo 5 — Conclusiones</w:t>
      </w:r>
      <w:bookmarkEnd w:id="61"/>
    </w:p>
    <w:p w14:paraId="66490CF1" w14:textId="77777777" w:rsidR="00DE3F5D" w:rsidRDefault="00E96965">
      <w:pPr>
        <w:pStyle w:val="Ttulo2"/>
      </w:pPr>
      <w:bookmarkStart w:id="62" w:name="_Toc231081581"/>
      <w:r>
        <w:t>5.1 Síntesis de los hallazgos</w:t>
      </w:r>
      <w:bookmarkEnd w:id="62"/>
    </w:p>
    <w:p w14:paraId="1B8256FD" w14:textId="77777777" w:rsidR="00DE3F5D" w:rsidRDefault="00E96965">
      <w:r>
        <w:t>Esta investigación cuantificó y comparó el impacto de las variables macroeconómicas globales y</w:t>
      </w:r>
    </w:p>
    <w:p w14:paraId="724FEECA" w14:textId="77777777" w:rsidR="00DE3F5D" w:rsidRDefault="00E96965">
      <w:r>
        <w:t>nacionales sobre los retornos accionarios de las empresas de cobre con exposición a Chile, durante</w:t>
      </w:r>
    </w:p>
    <w:p w14:paraId="7F88B523" w14:textId="77777777" w:rsidR="00DE3F5D" w:rsidRDefault="00E96965">
      <w:r>
        <w:t>el período 2004–2024, contrastando su transmisión entre el mercado bursátil internacional y el</w:t>
      </w:r>
    </w:p>
    <w:p w14:paraId="3A9A065D" w14:textId="77777777" w:rsidR="00DE3F5D" w:rsidRDefault="00E96965">
      <w:r>
        <w:t>chileno. La evidencia —preliminar— respalda que el **precio del cobre constituye el principal</w:t>
      </w:r>
    </w:p>
    <w:p w14:paraId="41F2E0FF" w14:textId="77777777" w:rsidR="00DE3F5D" w:rsidRDefault="00E96965">
      <w:r>
        <w:t>determinante** de los retornos del sector, con un efecto positivo y altamente significativo, y que</w:t>
      </w:r>
    </w:p>
    <w:p w14:paraId="1DAE6DDB" w14:textId="77777777" w:rsidR="00DE3F5D" w:rsidRDefault="00E96965">
      <w:r>
        <w:t xml:space="preserve">los </w:t>
      </w:r>
      <w:r>
        <w:rPr>
          <w:b/>
        </w:rPr>
        <w:t>factores globales predominan</w:t>
      </w:r>
      <w:r>
        <w:t xml:space="preserve"> sobre los locales en la explicación de la varianza de los</w:t>
      </w:r>
    </w:p>
    <w:p w14:paraId="47B92E85" w14:textId="77777777" w:rsidR="00DE3F5D" w:rsidRDefault="00E96965">
      <w:r>
        <w:t>retornos, consistente con la condición de Chile como economía pequeña, abierta y exportadora de</w:t>
      </w:r>
    </w:p>
    <w:p w14:paraId="263A747E" w14:textId="77777777" w:rsidR="00DE3F5D" w:rsidRDefault="00E96965">
      <w:r>
        <w:t xml:space="preserve">cobre. El </w:t>
      </w:r>
      <w:r>
        <w:rPr>
          <w:b/>
        </w:rPr>
        <w:t>tipo de cambio</w:t>
      </w:r>
      <w:r>
        <w:t xml:space="preserve"> exhibe un efecto negativo significativo, cuyo signo refleja la doble</w:t>
      </w:r>
    </w:p>
    <w:p w14:paraId="2B93C6E3" w14:textId="77777777" w:rsidR="00DE3F5D" w:rsidRDefault="00E96965">
      <w:r>
        <w:t>naturaleza —competitividad y riesgo— característica de las exportadoras de commodities.</w:t>
      </w:r>
    </w:p>
    <w:p w14:paraId="5F41C662" w14:textId="77777777" w:rsidR="00DE3F5D" w:rsidRDefault="00E96965">
      <w:r>
        <w:t>La dimensión comparativa, distintiva de este estudio, aporta una primera señal de **transmisión</w:t>
      </w:r>
    </w:p>
    <w:p w14:paraId="79648839" w14:textId="77777777" w:rsidR="00DE3F5D" w:rsidRDefault="00E96965">
      <w:r>
        <w:t>diferenciada** entre mercados: la sensibilidad al cobre es comparable entre el cobre puro</w:t>
      </w:r>
    </w:p>
    <w:p w14:paraId="20CADEC2" w14:textId="77777777" w:rsidR="00DE3F5D" w:rsidRDefault="00E96965">
      <w:r>
        <w:t>internacional y el local, mientras que la fracción de varianza atribuida a shocks globales tiende</w:t>
      </w:r>
    </w:p>
    <w:p w14:paraId="21D06942" w14:textId="77777777" w:rsidR="00DE3F5D" w:rsidRDefault="00E96965">
      <w:r>
        <w:t>a ser mayor en el mercado internacional, en la dirección prevista por la hipótesis de segmentación.</w:t>
      </w:r>
    </w:p>
    <w:p w14:paraId="5362C5F8" w14:textId="77777777" w:rsidR="00DE3F5D" w:rsidRDefault="00E96965">
      <w:pPr>
        <w:pStyle w:val="Ttulo2"/>
      </w:pPr>
      <w:bookmarkStart w:id="63" w:name="_Toc231081582"/>
      <w:r>
        <w:lastRenderedPageBreak/>
        <w:t>5.2 Implicancias</w:t>
      </w:r>
      <w:bookmarkEnd w:id="63"/>
    </w:p>
    <w:p w14:paraId="0F518F64" w14:textId="77777777" w:rsidR="00DE3F5D" w:rsidRDefault="00E96965">
      <w:pPr>
        <w:pStyle w:val="Listaconvietas"/>
      </w:pPr>
      <w:r>
        <w:rPr>
          <w:b/>
        </w:rPr>
        <w:t>Para los inversionistas:</w:t>
      </w:r>
      <w:r>
        <w:t xml:space="preserve"> la fuerte dependencia de los retornos respecto del precio del cobre</w:t>
      </w:r>
    </w:p>
    <w:p w14:paraId="46F6B011" w14:textId="77777777" w:rsidR="00DE3F5D" w:rsidRDefault="00E96965">
      <w:r>
        <w:t xml:space="preserve">  y del riesgo global subraya la importancia de la gestión de la exposición a commodities y a</w:t>
      </w:r>
    </w:p>
    <w:p w14:paraId="00CD539F" w14:textId="77777777" w:rsidR="00DE3F5D" w:rsidRDefault="00E96965">
      <w:r>
        <w:t xml:space="preserve">  factores internacionales por sobre los domésticos.</w:t>
      </w:r>
    </w:p>
    <w:p w14:paraId="600DAD43" w14:textId="77777777" w:rsidR="00DE3F5D" w:rsidRDefault="00E96965">
      <w:pPr>
        <w:pStyle w:val="Listaconvietas"/>
      </w:pPr>
      <w:r>
        <w:rPr>
          <w:b/>
        </w:rPr>
        <w:t>Para la gestión empresarial:</w:t>
      </w:r>
      <w:r>
        <w:t xml:space="preserve"> la exposición cambiaria significativa justifica políticas</w:t>
      </w:r>
    </w:p>
    <w:p w14:paraId="07BCCD85" w14:textId="77777777" w:rsidR="00DE3F5D" w:rsidRDefault="00E96965">
      <w:r>
        <w:t xml:space="preserve">  explícitas de cobertura, especialmente en empresas con estructura de costos en moneda local.</w:t>
      </w:r>
    </w:p>
    <w:p w14:paraId="71250EA7" w14:textId="77777777" w:rsidR="00DE3F5D" w:rsidRDefault="00E96965">
      <w:pPr>
        <w:pStyle w:val="Listaconvietas"/>
      </w:pPr>
      <w:r>
        <w:rPr>
          <w:b/>
        </w:rPr>
        <w:t>Para la comprensión del mercado de capitales chileno:</w:t>
      </w:r>
      <w:r>
        <w:t xml:space="preserve"> la evidencia de transmisión</w:t>
      </w:r>
    </w:p>
    <w:p w14:paraId="35B0045F" w14:textId="77777777" w:rsidR="00DE3F5D" w:rsidRDefault="00E96965">
      <w:r>
        <w:t xml:space="preserve">  diferenciada invita a profundizar en la profundidad, liquidez e integración del mercado local.</w:t>
      </w:r>
    </w:p>
    <w:p w14:paraId="3CA472F9" w14:textId="77777777" w:rsidR="00DE3F5D" w:rsidRDefault="00E96965">
      <w:pPr>
        <w:pStyle w:val="Ttulo2"/>
      </w:pPr>
      <w:bookmarkStart w:id="64" w:name="_Toc231081583"/>
      <w:r>
        <w:t>5.3 Limitaciones</w:t>
      </w:r>
      <w:bookmarkEnd w:id="64"/>
    </w:p>
    <w:p w14:paraId="0BDB98B8" w14:textId="77777777" w:rsidR="00DE3F5D" w:rsidRDefault="00E96965">
      <w:r>
        <w:t xml:space="preserve">El estudio enfrenta la </w:t>
      </w:r>
      <w:r>
        <w:rPr>
          <w:b/>
        </w:rPr>
        <w:t>escasez estructural</w:t>
      </w:r>
      <w:r>
        <w:t xml:space="preserve"> de productoras de cobre puro cotizadas en el mercado</w:t>
      </w:r>
    </w:p>
    <w:p w14:paraId="027E91A8" w14:textId="77777777" w:rsidR="00DE3F5D" w:rsidRDefault="00E96965">
      <w:r>
        <w:t>chileno, abordada mediante el diseño de triangulación. Los resultados presentados son</w:t>
      </w:r>
    </w:p>
    <w:p w14:paraId="4CA68018" w14:textId="77777777" w:rsidR="00DE3F5D" w:rsidRDefault="00E96965">
      <w:r>
        <w:rPr>
          <w:b/>
        </w:rPr>
        <w:t>preliminares</w:t>
      </w:r>
      <w:r>
        <w:t>: pendientes la incorporación del EMBI y de los controles a nivel de empresa, la</w:t>
      </w:r>
    </w:p>
    <w:p w14:paraId="2A8CFD0D" w14:textId="77777777" w:rsidR="00DE3F5D" w:rsidRDefault="00E96965">
      <w:r>
        <w:t>resolución del orden de integración del tipo de cambio en presencia de quiebres, y la batería</w:t>
      </w:r>
    </w:p>
    <w:p w14:paraId="7DD4AE84" w14:textId="77777777" w:rsidR="00DE3F5D" w:rsidRDefault="00E96965">
      <w:r>
        <w:t>completa de diagnósticos y robustez.</w:t>
      </w:r>
    </w:p>
    <w:p w14:paraId="6337F324" w14:textId="77777777" w:rsidR="00DE3F5D" w:rsidRDefault="00E96965">
      <w:pPr>
        <w:pStyle w:val="Ttulo2"/>
      </w:pPr>
      <w:bookmarkStart w:id="65" w:name="_Toc231081584"/>
      <w:r>
        <w:t>5.4 Líneas futuras de investigación</w:t>
      </w:r>
      <w:bookmarkEnd w:id="65"/>
    </w:p>
    <w:p w14:paraId="74778936" w14:textId="77777777" w:rsidR="00DE3F5D" w:rsidRDefault="00E96965">
      <w:r>
        <w:t>Se proponen como extensiones: (i) la estimación formal de la asimetría de régimen mediante modelos</w:t>
      </w:r>
    </w:p>
    <w:p w14:paraId="28D7D45B" w14:textId="77777777" w:rsidR="00DE3F5D" w:rsidRDefault="00E96965">
      <w:r>
        <w:t>de cambio de Markov; (ii) la incorporación de la volatilidad condicional (GARCH) cuando esta sea</w:t>
      </w:r>
    </w:p>
    <w:p w14:paraId="7AFA64B9" w14:textId="77777777" w:rsidR="00DE3F5D" w:rsidRDefault="00E96965">
      <w:r>
        <w:t>central; (iii) el análisis a frecuencia diaria/semanal para la dinámica de corto plazo; y (iv) la</w:t>
      </w:r>
    </w:p>
    <w:p w14:paraId="72F6F9DA" w14:textId="77777777" w:rsidR="00DE3F5D" w:rsidRDefault="00E96965">
      <w:r>
        <w:lastRenderedPageBreak/>
        <w:t>ampliación del análisis de segmentación con pruebas formales de integración de mercados.</w:t>
      </w:r>
    </w:p>
    <w:p w14:paraId="07DC08B9" w14:textId="77777777" w:rsidR="00DE3F5D" w:rsidRDefault="00E96965">
      <w:r>
        <w:br w:type="page"/>
      </w:r>
    </w:p>
    <w:p w14:paraId="1F4763AC" w14:textId="77777777" w:rsidR="00DE3F5D" w:rsidRDefault="00E96965">
      <w:pPr>
        <w:pStyle w:val="Ttulo1"/>
      </w:pPr>
      <w:bookmarkStart w:id="66" w:name="_Toc231081585"/>
      <w:r>
        <w:lastRenderedPageBreak/>
        <w:t>Referencias</w:t>
      </w:r>
      <w:bookmarkEnd w:id="66"/>
    </w:p>
    <w:p w14:paraId="10C77562" w14:textId="77777777" w:rsidR="00DE3F5D" w:rsidRDefault="00E96965">
      <w:r>
        <w:t>Adler, M., &amp; Dumas, B. (1984). Exposure to currency risk: Definition and measurement. *Financial Management*, 13(2), 41–50.</w:t>
      </w:r>
    </w:p>
    <w:p w14:paraId="4EEEF769" w14:textId="77777777" w:rsidR="00DE3F5D" w:rsidRDefault="00E96965">
      <w:r>
        <w:t>Bai, J., &amp; Perron, P. (2003). Computation and analysis of multiple structural change models. *Journal of Applied Econometrics*, 18(1), 1–22.</w:t>
      </w:r>
    </w:p>
    <w:p w14:paraId="40964392" w14:textId="77777777" w:rsidR="00DE3F5D" w:rsidRDefault="00E96965">
      <w:r>
        <w:t>Bekaert, G., &amp; Harvey, C. R. (1995). Time-varying world market integration. *The Journal of Finance*, 50(2), 403–444.</w:t>
      </w:r>
    </w:p>
    <w:p w14:paraId="5FAB1C5E" w14:textId="77777777" w:rsidR="00DE3F5D" w:rsidRDefault="00E96965">
      <w:r>
        <w:t xml:space="preserve">Benjamini, Y., &amp; </w:t>
      </w:r>
      <w:r>
        <w:t>Hochberg, Y. (1995). Controlling the false discovery rate: A practical and powerful approach to multiple testing. *Journal of the Royal Statistical Society: Series B*, 57(1), 289–300.</w:t>
      </w:r>
    </w:p>
    <w:p w14:paraId="426C244E" w14:textId="77777777" w:rsidR="00DE3F5D" w:rsidRDefault="00E96965">
      <w:r>
        <w:t>Bekaert, G., &amp; Harvey, C. R. (2005). Emerging markets finance. *Journal of Empirical Finance*, 10(1–2), 3–55.</w:t>
      </w:r>
    </w:p>
    <w:p w14:paraId="49B99C3A" w14:textId="77777777" w:rsidR="00DE3F5D" w:rsidRDefault="00E96965">
      <w:r>
        <w:t>Bollerslev, T. (1986). Generalized autoregressive conditional heteroskedasticity. *Journal of Econometrics*, 31(3), 307–327.</w:t>
      </w:r>
    </w:p>
    <w:p w14:paraId="70AB3961" w14:textId="77777777" w:rsidR="00DE3F5D" w:rsidRDefault="00E96965">
      <w:r>
        <w:t>Boyer, M. M., &amp; Filion, D. (2007). Common and fundamental factors in stock returns of Canadian oil and gas companies. *Energy Economics*, 29(3), 428–453.</w:t>
      </w:r>
    </w:p>
    <w:p w14:paraId="73C5360C" w14:textId="77777777" w:rsidR="00DE3F5D" w:rsidRDefault="00E96965">
      <w:r>
        <w:t>Bry, G., &amp; Boschan, C. (1971). *Cyclical Analysis of Time Series: Selected Procedures and Computer Programs*. NBER.</w:t>
      </w:r>
    </w:p>
    <w:p w14:paraId="6FB75548" w14:textId="77777777" w:rsidR="00DE3F5D" w:rsidRDefault="00E96965">
      <w:r>
        <w:t>Cashin, P., Céspedes, L. F., &amp; Sahay, R. (2004). Commodity currencies and the real exchange rate. *Journal of Development Economics*, 75(1), 239–268.</w:t>
      </w:r>
    </w:p>
    <w:p w14:paraId="674F8CC9" w14:textId="77777777" w:rsidR="00DE3F5D" w:rsidRDefault="00E96965">
      <w:r>
        <w:t>Chen, N. F., Roll, R., &amp; Ross, S. A. (1986). Economic forces and the stock market. *The Journal of Business*, 59(3), 383–403.</w:t>
      </w:r>
    </w:p>
    <w:p w14:paraId="71D8EEEE" w14:textId="77777777" w:rsidR="00DE3F5D" w:rsidRDefault="00E96965">
      <w:r>
        <w:t>Chen, Y. C., &amp; Rogoff, K. (2003). Commodity currencies. *Journal of International Economics*, 60(1), 133–160.</w:t>
      </w:r>
    </w:p>
    <w:p w14:paraId="2A532097" w14:textId="77777777" w:rsidR="00DE3F5D" w:rsidRDefault="00E96965">
      <w:r>
        <w:t>Chen, Y. C., Rogoff, K., &amp; Rossi, B. (2010). Can exchange rates forecast commodity prices? *The Quarterly Journal of Economics*, 125(3), 1145–1194.</w:t>
      </w:r>
    </w:p>
    <w:p w14:paraId="52160BB5" w14:textId="77777777" w:rsidR="00DE3F5D" w:rsidRDefault="00E96965">
      <w:r>
        <w:lastRenderedPageBreak/>
        <w:t>Dickey, D. A., &amp; Fuller, W. A. (1979). Distribution of the estimators for autoregressive time series with a unit root. *Journal of the American Statistical Association*, 74(366), 427–431.</w:t>
      </w:r>
    </w:p>
    <w:p w14:paraId="32CC0A34" w14:textId="77777777" w:rsidR="00DE3F5D" w:rsidRDefault="00E96965">
      <w:r>
        <w:t>Driscoll, J. C., &amp; Kraay, A. C. (1998). Consistent covariance matrix estimation with spatially dependent panel data. *Review of Economics and Statistics*, 80(4), 549–560.</w:t>
      </w:r>
    </w:p>
    <w:p w14:paraId="58B0327F" w14:textId="77777777" w:rsidR="00DE3F5D" w:rsidRDefault="00E96965">
      <w:r>
        <w:t>Engle, R. F. (1982). Autoregressive conditional heteroscedasticity with estimates of the variance of United Kingdom inflation. *Econometrica*, 50(4), 987–1007.</w:t>
      </w:r>
    </w:p>
    <w:p w14:paraId="7A8E2885" w14:textId="77777777" w:rsidR="00DE3F5D" w:rsidRDefault="00E96965">
      <w:r>
        <w:t>Engle, R. F., &amp; Granger, C. W. J. (1987). Co-integration and error correction: Representation, estimation, and testing. *Econometrica*, 55(2), 251–276.</w:t>
      </w:r>
    </w:p>
    <w:p w14:paraId="3AB57638" w14:textId="77777777" w:rsidR="00DE3F5D" w:rsidRDefault="00E96965">
      <w:r>
        <w:t>Errunza, V., &amp; Losq, E. (1985). International asset pricing under mild segmentation: Theory and test. *The Journal of Finance*, 40(1), 105–124.</w:t>
      </w:r>
    </w:p>
    <w:p w14:paraId="5E851E94" w14:textId="77777777" w:rsidR="00DE3F5D" w:rsidRDefault="00E96965">
      <w:r>
        <w:t>Fama, E. F. (1970). Efficient capital markets: A review of theory and empirical work. *The Journal of Finance*, 25(2), 383–417.</w:t>
      </w:r>
    </w:p>
    <w:p w14:paraId="33F3049C" w14:textId="77777777" w:rsidR="00DE3F5D" w:rsidRDefault="00E96965">
      <w:r>
        <w:t>Fama, E. F. (1981). Stock returns, real activity, inflation, and money. *The American Economic Review*, 71(4), 545–565.</w:t>
      </w:r>
    </w:p>
    <w:p w14:paraId="0D049D48" w14:textId="77777777" w:rsidR="00DE3F5D" w:rsidRDefault="00E96965">
      <w:r>
        <w:t>Fama, E. F., &amp; French, K. R. (1989). Business conditions and expected returns on stocks and bonds. *Journal of Financial Economics*, 25(1), 23–49.</w:t>
      </w:r>
    </w:p>
    <w:p w14:paraId="05128703" w14:textId="77777777" w:rsidR="00DE3F5D" w:rsidRDefault="00E96965">
      <w:r>
        <w:t>Harding, D., &amp; Pagan, A. (2002). Dissecting the cycle: A methodological investigation. *Journal of Monetary Economics*, 49(2), 365–381.</w:t>
      </w:r>
    </w:p>
    <w:p w14:paraId="32D225E1" w14:textId="77777777" w:rsidR="00DE3F5D" w:rsidRDefault="00E96965">
      <w:r>
        <w:t>Hamilton, J. D. (1989). A new approach to the economic analysis of nonstationary time series and the business cycle. *Econometrica*, 57(2), 357–384.</w:t>
      </w:r>
    </w:p>
    <w:p w14:paraId="4303ED86" w14:textId="77777777" w:rsidR="00DE3F5D" w:rsidRDefault="00E96965">
      <w:r>
        <w:t>Im, K. S., Pesaran, M. H., &amp; Shin, Y. (2003). Testing for unit roots in heterogeneous panels. *Journal of Econometrics*, 115(1), 53–74.</w:t>
      </w:r>
    </w:p>
    <w:p w14:paraId="08BBFDC8" w14:textId="77777777" w:rsidR="00DE3F5D" w:rsidRDefault="00E96965">
      <w:r>
        <w:t>Glosten, L. R., Jagannathan, R., &amp; Runkle, D. E. (1993). On the relation between the expected value and the volatility of the nominal excess return on stocks. *The Journal of Finance*, 48(5), 1779–1801.</w:t>
      </w:r>
    </w:p>
    <w:p w14:paraId="2F039BCD" w14:textId="77777777" w:rsidR="00DE3F5D" w:rsidRDefault="00E96965">
      <w:r>
        <w:t>Johansen, S. (1988). Statistical analysis of cointegration vectors. *Journal of Economic Dynamics and Control*, 12(2–3), 231–254.</w:t>
      </w:r>
    </w:p>
    <w:p w14:paraId="387CDF84" w14:textId="77777777" w:rsidR="00DE3F5D" w:rsidRDefault="00E96965">
      <w:r>
        <w:lastRenderedPageBreak/>
        <w:t>Jordà, Ò. (2005). Estimation and inference of impulse responses by local projections. *The American Economic Review*, 95(1), 161–182.</w:t>
      </w:r>
    </w:p>
    <w:p w14:paraId="29978ED7" w14:textId="77777777" w:rsidR="00DE3F5D" w:rsidRDefault="00E96965">
      <w:r>
        <w:t>Jorion, P. (1990). The exchange-rate exposure of U.S. multinationals. *The Journal of Business*, 63(3), 331–345.</w:t>
      </w:r>
    </w:p>
    <w:p w14:paraId="364F9750" w14:textId="77777777" w:rsidR="00DE3F5D" w:rsidRDefault="00E96965">
      <w:r>
        <w:t>Kwiatkowski, D., Phillips, P. C. B., Schmidt, P., &amp; Shin, Y. (1992). Testing the null hypothesis of stationarity against the alternative of a unit root. *Journal of Econometrics*, 54(1–3), 159–178.</w:t>
      </w:r>
    </w:p>
    <w:p w14:paraId="266C9D4C" w14:textId="77777777" w:rsidR="00DE3F5D" w:rsidRDefault="00E96965">
      <w:r>
        <w:t>Labbé, F., &amp; De Gregorio, J. (2011). *Copper, the real exchange rate and macroeconomic fluctuations in Chile* (Working Paper N°640). Banco Central de Chile.</w:t>
      </w:r>
    </w:p>
    <w:p w14:paraId="2FDB4028" w14:textId="77777777" w:rsidR="00DE3F5D" w:rsidRDefault="00E96965">
      <w:r>
        <w:t>Pedersen, M. (2015). *The impact of commodity price shocks in a major producing economy: The case of copper and Chile* (Working Paper N°753). Banco Central de Chile.</w:t>
      </w:r>
    </w:p>
    <w:p w14:paraId="09390651" w14:textId="77777777" w:rsidR="00DE3F5D" w:rsidRDefault="00E96965">
      <w:r>
        <w:t xml:space="preserve">Pesaran, M. H. (2007). A simple panel unit root test in the presence of cross-section dependence. *Journal of Applied </w:t>
      </w:r>
      <w:r>
        <w:t>Econometrics*, 22(2), 265–312.</w:t>
      </w:r>
    </w:p>
    <w:p w14:paraId="6BB40559" w14:textId="77777777" w:rsidR="00DE3F5D" w:rsidRDefault="00E96965">
      <w:r>
        <w:t>Pesaran, M. H., &amp; Shin, Y. (1998). Generalized impulse response analysis in linear multivariate models. *Economics Letters*, 58(1), 17–29.</w:t>
      </w:r>
    </w:p>
    <w:p w14:paraId="743E22D0" w14:textId="77777777" w:rsidR="00DE3F5D" w:rsidRDefault="00E96965">
      <w:r>
        <w:t xml:space="preserve">Pesaran, M. H., Shin, Y., &amp; Smith, R. J. (2001). Bounds testing approaches to the </w:t>
      </w:r>
      <w:r>
        <w:t>analysis of level relationships. *Journal of Applied Econometrics*, 16(3), 289–326.</w:t>
      </w:r>
    </w:p>
    <w:p w14:paraId="0ECA6C98" w14:textId="77777777" w:rsidR="00DE3F5D" w:rsidRDefault="00E96965">
      <w:r>
        <w:t>Phillips, P. C. B., &amp; Perron, P. (1988). Testing for a unit root in time series regression. *Biometrika*, 75(2), 335–346.</w:t>
      </w:r>
    </w:p>
    <w:p w14:paraId="06B4AD68" w14:textId="77777777" w:rsidR="00DE3F5D" w:rsidRDefault="00E96965">
      <w:r>
        <w:t>Pincheira, P., &amp; Hardy, N. (2019). Forecasting base metal prices with the Chilean exchange rate. *Resources Policy*, 62, 256–281.</w:t>
      </w:r>
    </w:p>
    <w:p w14:paraId="5C6D2C5F" w14:textId="77777777" w:rsidR="00DE3F5D" w:rsidRDefault="00E96965">
      <w:r>
        <w:t>Ross, S. A. (1976). The arbitrage theory of capital asset pricing. *Journal of Economic Theory*, 13(3), 341–360.</w:t>
      </w:r>
    </w:p>
    <w:p w14:paraId="634C1E30" w14:textId="77777777" w:rsidR="00DE3F5D" w:rsidRDefault="00E96965">
      <w:r>
        <w:t>Sadorsky, P. (2001). Risk factors in stock returns of Canadian oil and gas companies. *Energy Economics*, 23(1), 17–28.</w:t>
      </w:r>
    </w:p>
    <w:p w14:paraId="7A2F03EE" w14:textId="77777777" w:rsidR="00DE3F5D" w:rsidRDefault="00E96965">
      <w:r>
        <w:t>Sims, C. A. (1980). Macroeconomics and reality. *Econometrica*, 48(1), 1–48.</w:t>
      </w:r>
    </w:p>
    <w:p w14:paraId="78B6C242" w14:textId="77777777" w:rsidR="00DE3F5D" w:rsidRDefault="00E96965">
      <w:r>
        <w:lastRenderedPageBreak/>
        <w:t>Wallenstein, T., Mendiola, A., &amp; Chávez-Bedoya, L. (2021). *Analysis of the reaction of mining stocks to the development of copper prices*. Consejo Latinoamericano de Escuelas de Administración (CLADEA).</w:t>
      </w:r>
    </w:p>
    <w:p w14:paraId="16476779" w14:textId="77777777" w:rsidR="00DE3F5D" w:rsidRDefault="00E96965">
      <w:r>
        <w:t>Westerlund, J. (2007). Testing for error correction in panel data. *Oxford Bulletin of Economics and Statistics*, 69(6), 709–748.</w:t>
      </w:r>
    </w:p>
    <w:p w14:paraId="4C594C6C" w14:textId="77777777" w:rsidR="00DE3F5D" w:rsidRDefault="00E96965">
      <w:r>
        <w:t>Zhu, H., Chen, X., &amp; Chen, B. (2021). Effects of non-ferrous metal prices and uncertainty on industry stock market under different market conditions. *Resources Policy*, 73, 102243.</w:t>
      </w:r>
    </w:p>
    <w:p w14:paraId="18D59F4E" w14:textId="77777777" w:rsidR="00DE3F5D" w:rsidRDefault="00E96965">
      <w:r>
        <w:t>Zivot, E., &amp; Andrews, D. W. K. (1992). Further evidence on the great crash, the oil-price shock, and the unit-root hypothesis. *Journal of Business &amp; Economic Statistics*, 10(3), 251–270.</w:t>
      </w:r>
    </w:p>
    <w:p w14:paraId="564D4588" w14:textId="77777777" w:rsidR="00DE3F5D" w:rsidRDefault="00E96965">
      <w:r>
        <w:t>Zurita, S., Fuentes, R., &amp; Gregoire, J. (2005). *Factores macroeconómicos en retornos accionarios chilenos* (Documento de Trabajo N°316). Banco Central de Chile. (Reeditado en *El Trimestre Económico*, 2006.)</w:t>
      </w:r>
    </w:p>
    <w:p w14:paraId="6D715635" w14:textId="77777777" w:rsidR="00DE3F5D" w:rsidRDefault="00E96965">
      <w:r>
        <w:br w:type="page"/>
      </w:r>
    </w:p>
    <w:p w14:paraId="30052D5C" w14:textId="77777777" w:rsidR="00DE3F5D" w:rsidRDefault="00E96965">
      <w:pPr>
        <w:pStyle w:val="Ttulo1"/>
      </w:pPr>
      <w:bookmarkStart w:id="67" w:name="_Toc231081586"/>
      <w:r>
        <w:lastRenderedPageBreak/>
        <w:t>Anexos</w:t>
      </w:r>
      <w:bookmarkEnd w:id="67"/>
    </w:p>
    <w:p w14:paraId="51A9F0DF" w14:textId="77777777" w:rsidR="00DE3F5D" w:rsidRDefault="00E96965">
      <w:pPr>
        <w:pStyle w:val="Ttulo2"/>
      </w:pPr>
      <w:bookmarkStart w:id="68" w:name="_Toc231081587"/>
      <w:r>
        <w:t>Anexo A. Estadística descriptiva</w:t>
      </w:r>
      <w:bookmarkEnd w:id="68"/>
    </w:p>
    <w:p w14:paraId="7F8A7BAA" w14:textId="4847A860" w:rsidR="00DE3F5D" w:rsidRDefault="00E96965">
      <w:pPr>
        <w:pStyle w:val="Descripcin"/>
        <w:jc w:val="center"/>
      </w:pPr>
      <w:bookmarkStart w:id="69" w:name="_Toc231081603"/>
      <w:r>
        <w:rPr>
          <w:sz w:val="20"/>
        </w:rPr>
        <w:t xml:space="preserve">Tabla </w:t>
      </w:r>
      <w:r>
        <w:fldChar w:fldCharType="begin"/>
      </w:r>
      <w:r>
        <w:instrText xml:space="preserve"> SEQ Tabla \* ARABIC </w:instrText>
      </w:r>
      <w:r>
        <w:fldChar w:fldCharType="separate"/>
      </w:r>
      <w:r>
        <w:rPr>
          <w:noProof/>
        </w:rPr>
        <w:t>5</w:t>
      </w:r>
      <w:r>
        <w:fldChar w:fldCharType="end"/>
      </w:r>
      <w:r>
        <w:rPr>
          <w:sz w:val="20"/>
        </w:rPr>
        <w:t>.</w:t>
      </w:r>
      <w:bookmarkEnd w:id="69"/>
      <w:r>
        <w:rPr>
          <w:sz w:val="20"/>
        </w:rPr>
        <w:t xml:space="preserve"> </w:t>
      </w:r>
    </w:p>
    <w:tbl>
      <w:tblPr>
        <w:tblStyle w:val="Cuadrculaclara-nfasis1"/>
        <w:tblW w:w="0" w:type="auto"/>
        <w:tblLook w:val="04A0" w:firstRow="1" w:lastRow="0" w:firstColumn="1" w:lastColumn="0" w:noHBand="0" w:noVBand="1"/>
      </w:tblPr>
      <w:tblGrid>
        <w:gridCol w:w="1105"/>
        <w:gridCol w:w="1105"/>
        <w:gridCol w:w="1105"/>
        <w:gridCol w:w="1105"/>
        <w:gridCol w:w="1105"/>
        <w:gridCol w:w="1105"/>
        <w:gridCol w:w="1105"/>
        <w:gridCol w:w="1105"/>
      </w:tblGrid>
      <w:tr w:rsidR="00DE3F5D" w14:paraId="623EEF76"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EB73518" w14:textId="77777777" w:rsidR="00DE3F5D" w:rsidRDefault="00E96965">
            <w:r>
              <w:rPr>
                <w:sz w:val="20"/>
              </w:rPr>
              <w:t>Serie</w:t>
            </w:r>
          </w:p>
        </w:tc>
        <w:tc>
          <w:tcPr>
            <w:tcW w:w="1105" w:type="dxa"/>
          </w:tcPr>
          <w:p w14:paraId="557CE22A"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Media</w:t>
            </w:r>
          </w:p>
        </w:tc>
        <w:tc>
          <w:tcPr>
            <w:tcW w:w="1105" w:type="dxa"/>
          </w:tcPr>
          <w:p w14:paraId="32FD3642"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Desv.</w:t>
            </w:r>
          </w:p>
        </w:tc>
        <w:tc>
          <w:tcPr>
            <w:tcW w:w="1105" w:type="dxa"/>
          </w:tcPr>
          <w:p w14:paraId="37174304"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Asimetría</w:t>
            </w:r>
          </w:p>
        </w:tc>
        <w:tc>
          <w:tcPr>
            <w:tcW w:w="1105" w:type="dxa"/>
          </w:tcPr>
          <w:p w14:paraId="1272BD68"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Curtosis</w:t>
            </w:r>
          </w:p>
        </w:tc>
        <w:tc>
          <w:tcPr>
            <w:tcW w:w="1105" w:type="dxa"/>
          </w:tcPr>
          <w:p w14:paraId="56D90729"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Mín</w:t>
            </w:r>
          </w:p>
        </w:tc>
        <w:tc>
          <w:tcPr>
            <w:tcW w:w="1105" w:type="dxa"/>
          </w:tcPr>
          <w:p w14:paraId="5EF49B91"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Máx</w:t>
            </w:r>
          </w:p>
        </w:tc>
        <w:tc>
          <w:tcPr>
            <w:tcW w:w="1105" w:type="dxa"/>
          </w:tcPr>
          <w:p w14:paraId="6900E430"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N</w:t>
            </w:r>
          </w:p>
        </w:tc>
      </w:tr>
      <w:tr w:rsidR="00DE3F5D" w14:paraId="1FBDA971"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23755C88" w14:textId="77777777" w:rsidR="00DE3F5D" w:rsidRDefault="00E96965">
            <w:r>
              <w:rPr>
                <w:sz w:val="20"/>
              </w:rPr>
              <w:t>Cartera B</w:t>
            </w:r>
          </w:p>
        </w:tc>
        <w:tc>
          <w:tcPr>
            <w:tcW w:w="1105" w:type="dxa"/>
          </w:tcPr>
          <w:p w14:paraId="686B9F0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0.0068</w:t>
            </w:r>
          </w:p>
        </w:tc>
        <w:tc>
          <w:tcPr>
            <w:tcW w:w="1105" w:type="dxa"/>
          </w:tcPr>
          <w:p w14:paraId="03BFBBCA"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0.1072</w:t>
            </w:r>
          </w:p>
        </w:tc>
        <w:tc>
          <w:tcPr>
            <w:tcW w:w="1105" w:type="dxa"/>
          </w:tcPr>
          <w:p w14:paraId="6D93E05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-0.3391</w:t>
            </w:r>
          </w:p>
        </w:tc>
        <w:tc>
          <w:tcPr>
            <w:tcW w:w="1105" w:type="dxa"/>
          </w:tcPr>
          <w:p w14:paraId="5D13418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1.8418</w:t>
            </w:r>
          </w:p>
        </w:tc>
        <w:tc>
          <w:tcPr>
            <w:tcW w:w="1105" w:type="dxa"/>
          </w:tcPr>
          <w:p w14:paraId="46C5A7B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-0.4371</w:t>
            </w:r>
          </w:p>
        </w:tc>
        <w:tc>
          <w:tcPr>
            <w:tcW w:w="1105" w:type="dxa"/>
          </w:tcPr>
          <w:p w14:paraId="27BF0E5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0.3894</w:t>
            </w:r>
          </w:p>
        </w:tc>
        <w:tc>
          <w:tcPr>
            <w:tcW w:w="1105" w:type="dxa"/>
          </w:tcPr>
          <w:p w14:paraId="6796D03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251.0000</w:t>
            </w:r>
          </w:p>
        </w:tc>
      </w:tr>
      <w:tr w:rsidR="00DE3F5D" w14:paraId="3239EC91"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4A1A0C06" w14:textId="77777777" w:rsidR="00DE3F5D" w:rsidRDefault="00E96965">
            <w:r>
              <w:rPr>
                <w:sz w:val="20"/>
              </w:rPr>
              <w:t>Pucobre (A)</w:t>
            </w:r>
          </w:p>
        </w:tc>
        <w:tc>
          <w:tcPr>
            <w:tcW w:w="1105" w:type="dxa"/>
          </w:tcPr>
          <w:p w14:paraId="644C0FF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0.0065</w:t>
            </w:r>
          </w:p>
        </w:tc>
        <w:tc>
          <w:tcPr>
            <w:tcW w:w="1105" w:type="dxa"/>
          </w:tcPr>
          <w:p w14:paraId="550CF24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0.0807</w:t>
            </w:r>
          </w:p>
        </w:tc>
        <w:tc>
          <w:tcPr>
            <w:tcW w:w="1105" w:type="dxa"/>
          </w:tcPr>
          <w:p w14:paraId="6CB8A56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0.3730</w:t>
            </w:r>
          </w:p>
        </w:tc>
        <w:tc>
          <w:tcPr>
            <w:tcW w:w="1105" w:type="dxa"/>
          </w:tcPr>
          <w:p w14:paraId="02AE3F0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4.5009</w:t>
            </w:r>
          </w:p>
        </w:tc>
        <w:tc>
          <w:tcPr>
            <w:tcW w:w="1105" w:type="dxa"/>
          </w:tcPr>
          <w:p w14:paraId="71B5BF7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-0.3711</w:t>
            </w:r>
          </w:p>
        </w:tc>
        <w:tc>
          <w:tcPr>
            <w:tcW w:w="1105" w:type="dxa"/>
          </w:tcPr>
          <w:p w14:paraId="647E5D9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0.3300</w:t>
            </w:r>
          </w:p>
        </w:tc>
        <w:tc>
          <w:tcPr>
            <w:tcW w:w="1105" w:type="dxa"/>
          </w:tcPr>
          <w:p w14:paraId="5ED87CD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251.0000</w:t>
            </w:r>
          </w:p>
        </w:tc>
      </w:tr>
      <w:tr w:rsidR="00DE3F5D" w14:paraId="7E86C700"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33553CF" w14:textId="77777777" w:rsidR="00DE3F5D" w:rsidRDefault="00E96965">
            <w:r>
              <w:rPr>
                <w:sz w:val="20"/>
              </w:rPr>
              <w:t>Cartera C</w:t>
            </w:r>
          </w:p>
        </w:tc>
        <w:tc>
          <w:tcPr>
            <w:tcW w:w="1105" w:type="dxa"/>
          </w:tcPr>
          <w:p w14:paraId="5FDD23E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0.0084</w:t>
            </w:r>
          </w:p>
        </w:tc>
        <w:tc>
          <w:tcPr>
            <w:tcW w:w="1105" w:type="dxa"/>
          </w:tcPr>
          <w:p w14:paraId="41B86BD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0.0671</w:t>
            </w:r>
          </w:p>
        </w:tc>
        <w:tc>
          <w:tcPr>
            <w:tcW w:w="1105" w:type="dxa"/>
          </w:tcPr>
          <w:p w14:paraId="5B0E76D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-0.3588</w:t>
            </w:r>
          </w:p>
        </w:tc>
        <w:tc>
          <w:tcPr>
            <w:tcW w:w="1105" w:type="dxa"/>
          </w:tcPr>
          <w:p w14:paraId="54F1FE7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0.9823</w:t>
            </w:r>
          </w:p>
        </w:tc>
        <w:tc>
          <w:tcPr>
            <w:tcW w:w="1105" w:type="dxa"/>
          </w:tcPr>
          <w:p w14:paraId="62BC8F7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-0.2302</w:t>
            </w:r>
          </w:p>
        </w:tc>
        <w:tc>
          <w:tcPr>
            <w:tcW w:w="1105" w:type="dxa"/>
          </w:tcPr>
          <w:p w14:paraId="76D9DAA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0.2005</w:t>
            </w:r>
          </w:p>
        </w:tc>
        <w:tc>
          <w:tcPr>
            <w:tcW w:w="1105" w:type="dxa"/>
          </w:tcPr>
          <w:p w14:paraId="1EA6C2AA"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251.0000</w:t>
            </w:r>
          </w:p>
        </w:tc>
      </w:tr>
      <w:tr w:rsidR="00DE3F5D" w14:paraId="5BE7A064"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138D43A3" w14:textId="77777777" w:rsidR="00DE3F5D" w:rsidRDefault="00E96965">
            <w:r>
              <w:rPr>
                <w:sz w:val="20"/>
              </w:rPr>
              <w:t>Δ Cobre</w:t>
            </w:r>
          </w:p>
        </w:tc>
        <w:tc>
          <w:tcPr>
            <w:tcW w:w="1105" w:type="dxa"/>
          </w:tcPr>
          <w:p w14:paraId="2D6888C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0.0052</w:t>
            </w:r>
          </w:p>
        </w:tc>
        <w:tc>
          <w:tcPr>
            <w:tcW w:w="1105" w:type="dxa"/>
          </w:tcPr>
          <w:p w14:paraId="1E53F57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0.0652</w:t>
            </w:r>
          </w:p>
        </w:tc>
        <w:tc>
          <w:tcPr>
            <w:tcW w:w="1105" w:type="dxa"/>
          </w:tcPr>
          <w:p w14:paraId="15FD82EC"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-0.7737</w:t>
            </w:r>
          </w:p>
        </w:tc>
        <w:tc>
          <w:tcPr>
            <w:tcW w:w="1105" w:type="dxa"/>
          </w:tcPr>
          <w:p w14:paraId="3994484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5.4469</w:t>
            </w:r>
          </w:p>
        </w:tc>
        <w:tc>
          <w:tcPr>
            <w:tcW w:w="1105" w:type="dxa"/>
          </w:tcPr>
          <w:p w14:paraId="08A60D5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-0.3542</w:t>
            </w:r>
          </w:p>
        </w:tc>
        <w:tc>
          <w:tcPr>
            <w:tcW w:w="1105" w:type="dxa"/>
          </w:tcPr>
          <w:p w14:paraId="655A568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0.2298</w:t>
            </w:r>
          </w:p>
        </w:tc>
        <w:tc>
          <w:tcPr>
            <w:tcW w:w="1105" w:type="dxa"/>
          </w:tcPr>
          <w:p w14:paraId="55B6ABB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251.0000</w:t>
            </w:r>
          </w:p>
        </w:tc>
      </w:tr>
      <w:tr w:rsidR="00DE3F5D" w14:paraId="752A28D0"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60010CA5" w14:textId="77777777" w:rsidR="00DE3F5D" w:rsidRDefault="00E96965">
            <w:r>
              <w:rPr>
                <w:sz w:val="20"/>
              </w:rPr>
              <w:t>Δ VIX</w:t>
            </w:r>
          </w:p>
        </w:tc>
        <w:tc>
          <w:tcPr>
            <w:tcW w:w="1105" w:type="dxa"/>
          </w:tcPr>
          <w:p w14:paraId="234EFA7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0.0029</w:t>
            </w:r>
          </w:p>
        </w:tc>
        <w:tc>
          <w:tcPr>
            <w:tcW w:w="1105" w:type="dxa"/>
          </w:tcPr>
          <w:p w14:paraId="27ECAAD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5.1869</w:t>
            </w:r>
          </w:p>
        </w:tc>
        <w:tc>
          <w:tcPr>
            <w:tcW w:w="1105" w:type="dxa"/>
          </w:tcPr>
          <w:p w14:paraId="3D629F4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0.4442</w:t>
            </w:r>
          </w:p>
        </w:tc>
        <w:tc>
          <w:tcPr>
            <w:tcW w:w="1105" w:type="dxa"/>
          </w:tcPr>
          <w:p w14:paraId="0B84F78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3.6313</w:t>
            </w:r>
          </w:p>
        </w:tc>
        <w:tc>
          <w:tcPr>
            <w:tcW w:w="1105" w:type="dxa"/>
          </w:tcPr>
          <w:p w14:paraId="0717D6C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-19.3900</w:t>
            </w:r>
          </w:p>
        </w:tc>
        <w:tc>
          <w:tcPr>
            <w:tcW w:w="1105" w:type="dxa"/>
          </w:tcPr>
          <w:p w14:paraId="389630C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21.2700</w:t>
            </w:r>
          </w:p>
        </w:tc>
        <w:tc>
          <w:tcPr>
            <w:tcW w:w="1105" w:type="dxa"/>
          </w:tcPr>
          <w:p w14:paraId="74DA48DC"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251.0000</w:t>
            </w:r>
          </w:p>
        </w:tc>
      </w:tr>
      <w:tr w:rsidR="00DE3F5D" w14:paraId="6EFD54B5"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6D6CAE5E" w14:textId="77777777" w:rsidR="00DE3F5D" w:rsidRDefault="00E96965">
            <w:r>
              <w:rPr>
                <w:sz w:val="20"/>
              </w:rPr>
              <w:t>Δ Fed Funds</w:t>
            </w:r>
          </w:p>
        </w:tc>
        <w:tc>
          <w:tcPr>
            <w:tcW w:w="1105" w:type="dxa"/>
          </w:tcPr>
          <w:p w14:paraId="7D6A414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0.0139</w:t>
            </w:r>
          </w:p>
        </w:tc>
        <w:tc>
          <w:tcPr>
            <w:tcW w:w="1105" w:type="dxa"/>
          </w:tcPr>
          <w:p w14:paraId="70567D9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0.1746</w:t>
            </w:r>
          </w:p>
        </w:tc>
        <w:tc>
          <w:tcPr>
            <w:tcW w:w="1105" w:type="dxa"/>
          </w:tcPr>
          <w:p w14:paraId="411C99A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-1.5083</w:t>
            </w:r>
          </w:p>
        </w:tc>
        <w:tc>
          <w:tcPr>
            <w:tcW w:w="1105" w:type="dxa"/>
          </w:tcPr>
          <w:p w14:paraId="013FF53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11.1211</w:t>
            </w:r>
          </w:p>
        </w:tc>
        <w:tc>
          <w:tcPr>
            <w:tcW w:w="1105" w:type="dxa"/>
          </w:tcPr>
          <w:p w14:paraId="0DADF188"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-0.9600</w:t>
            </w:r>
          </w:p>
        </w:tc>
        <w:tc>
          <w:tcPr>
            <w:tcW w:w="1105" w:type="dxa"/>
          </w:tcPr>
          <w:p w14:paraId="65179FA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0.7000</w:t>
            </w:r>
          </w:p>
        </w:tc>
        <w:tc>
          <w:tcPr>
            <w:tcW w:w="1105" w:type="dxa"/>
          </w:tcPr>
          <w:p w14:paraId="5653FC2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251.0000</w:t>
            </w:r>
          </w:p>
        </w:tc>
      </w:tr>
      <w:tr w:rsidR="00DE3F5D" w14:paraId="799127EC"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07A79D37" w14:textId="77777777" w:rsidR="00DE3F5D" w:rsidRDefault="00E96965">
            <w:r>
              <w:rPr>
                <w:sz w:val="20"/>
              </w:rPr>
              <w:t>Δ Treasury 10Y</w:t>
            </w:r>
          </w:p>
        </w:tc>
        <w:tc>
          <w:tcPr>
            <w:tcW w:w="1105" w:type="dxa"/>
          </w:tcPr>
          <w:p w14:paraId="44470B6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0.0017</w:t>
            </w:r>
          </w:p>
        </w:tc>
        <w:tc>
          <w:tcPr>
            <w:tcW w:w="1105" w:type="dxa"/>
          </w:tcPr>
          <w:p w14:paraId="748CCEF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0.2521</w:t>
            </w:r>
          </w:p>
        </w:tc>
        <w:tc>
          <w:tcPr>
            <w:tcW w:w="1105" w:type="dxa"/>
          </w:tcPr>
          <w:p w14:paraId="58EC0F0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-0.1802</w:t>
            </w:r>
          </w:p>
        </w:tc>
        <w:tc>
          <w:tcPr>
            <w:tcW w:w="1105" w:type="dxa"/>
          </w:tcPr>
          <w:p w14:paraId="730955C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1.1698</w:t>
            </w:r>
          </w:p>
        </w:tc>
        <w:tc>
          <w:tcPr>
            <w:tcW w:w="1105" w:type="dxa"/>
          </w:tcPr>
          <w:p w14:paraId="482CDC7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-1.0800</w:t>
            </w:r>
          </w:p>
        </w:tc>
        <w:tc>
          <w:tcPr>
            <w:tcW w:w="1105" w:type="dxa"/>
          </w:tcPr>
          <w:p w14:paraId="7C133A3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0.6800</w:t>
            </w:r>
          </w:p>
        </w:tc>
        <w:tc>
          <w:tcPr>
            <w:tcW w:w="1105" w:type="dxa"/>
          </w:tcPr>
          <w:p w14:paraId="08AD408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251.0000</w:t>
            </w:r>
          </w:p>
        </w:tc>
      </w:tr>
      <w:tr w:rsidR="00DE3F5D" w14:paraId="00A913B5"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50B5815E" w14:textId="77777777" w:rsidR="00DE3F5D" w:rsidRDefault="00E96965">
            <w:r>
              <w:rPr>
                <w:sz w:val="20"/>
              </w:rPr>
              <w:t>Δ TC CLP</w:t>
            </w:r>
          </w:p>
        </w:tc>
        <w:tc>
          <w:tcPr>
            <w:tcW w:w="1105" w:type="dxa"/>
          </w:tcPr>
          <w:p w14:paraId="5E30DE1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-0.0005</w:t>
            </w:r>
          </w:p>
        </w:tc>
        <w:tc>
          <w:tcPr>
            <w:tcW w:w="1105" w:type="dxa"/>
          </w:tcPr>
          <w:p w14:paraId="13C43A1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0.0106</w:t>
            </w:r>
          </w:p>
        </w:tc>
        <w:tc>
          <w:tcPr>
            <w:tcW w:w="1105" w:type="dxa"/>
          </w:tcPr>
          <w:p w14:paraId="69F5979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0.6460</w:t>
            </w:r>
          </w:p>
        </w:tc>
        <w:tc>
          <w:tcPr>
            <w:tcW w:w="1105" w:type="dxa"/>
          </w:tcPr>
          <w:p w14:paraId="0DC552C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2.5948</w:t>
            </w:r>
          </w:p>
        </w:tc>
        <w:tc>
          <w:tcPr>
            <w:tcW w:w="1105" w:type="dxa"/>
          </w:tcPr>
          <w:p w14:paraId="6605446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-0.0347</w:t>
            </w:r>
          </w:p>
        </w:tc>
        <w:tc>
          <w:tcPr>
            <w:tcW w:w="1105" w:type="dxa"/>
          </w:tcPr>
          <w:p w14:paraId="731D1DE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0.0415</w:t>
            </w:r>
          </w:p>
        </w:tc>
        <w:tc>
          <w:tcPr>
            <w:tcW w:w="1105" w:type="dxa"/>
          </w:tcPr>
          <w:p w14:paraId="3F10C02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251.0000</w:t>
            </w:r>
          </w:p>
        </w:tc>
      </w:tr>
      <w:tr w:rsidR="00DE3F5D" w14:paraId="2A0E117A"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165B14F" w14:textId="77777777" w:rsidR="00DE3F5D" w:rsidRDefault="00E96965">
            <w:r>
              <w:rPr>
                <w:sz w:val="20"/>
              </w:rPr>
              <w:t>Δ Tasa local</w:t>
            </w:r>
          </w:p>
        </w:tc>
        <w:tc>
          <w:tcPr>
            <w:tcW w:w="1105" w:type="dxa"/>
          </w:tcPr>
          <w:p w14:paraId="65502A7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0.0100</w:t>
            </w:r>
          </w:p>
        </w:tc>
        <w:tc>
          <w:tcPr>
            <w:tcW w:w="1105" w:type="dxa"/>
          </w:tcPr>
          <w:p w14:paraId="4F7B26D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0.3887</w:t>
            </w:r>
          </w:p>
        </w:tc>
        <w:tc>
          <w:tcPr>
            <w:tcW w:w="1105" w:type="dxa"/>
          </w:tcPr>
          <w:p w14:paraId="428D3A9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-1.3252</w:t>
            </w:r>
          </w:p>
        </w:tc>
        <w:tc>
          <w:tcPr>
            <w:tcW w:w="1105" w:type="dxa"/>
          </w:tcPr>
          <w:p w14:paraId="3F0D160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8.9593</w:t>
            </w:r>
          </w:p>
        </w:tc>
        <w:tc>
          <w:tcPr>
            <w:tcW w:w="1105" w:type="dxa"/>
          </w:tcPr>
          <w:p w14:paraId="7412272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-2.3100</w:t>
            </w:r>
          </w:p>
        </w:tc>
        <w:tc>
          <w:tcPr>
            <w:tcW w:w="1105" w:type="dxa"/>
          </w:tcPr>
          <w:p w14:paraId="77763BD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1.1824</w:t>
            </w:r>
          </w:p>
        </w:tc>
        <w:tc>
          <w:tcPr>
            <w:tcW w:w="1105" w:type="dxa"/>
          </w:tcPr>
          <w:p w14:paraId="0DE1C9F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225.0000</w:t>
            </w:r>
          </w:p>
        </w:tc>
      </w:tr>
      <w:tr w:rsidR="00DE3F5D" w14:paraId="4BC167BA"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78C13BC0" w14:textId="77777777" w:rsidR="00DE3F5D" w:rsidRDefault="00E96965">
            <w:r>
              <w:rPr>
                <w:sz w:val="20"/>
              </w:rPr>
              <w:t>Δ Actividad local</w:t>
            </w:r>
          </w:p>
        </w:tc>
        <w:tc>
          <w:tcPr>
            <w:tcW w:w="1105" w:type="dxa"/>
          </w:tcPr>
          <w:p w14:paraId="281E2B1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0.0010</w:t>
            </w:r>
          </w:p>
        </w:tc>
        <w:tc>
          <w:tcPr>
            <w:tcW w:w="1105" w:type="dxa"/>
          </w:tcPr>
          <w:p w14:paraId="2866D77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0.0207</w:t>
            </w:r>
          </w:p>
        </w:tc>
        <w:tc>
          <w:tcPr>
            <w:tcW w:w="1105" w:type="dxa"/>
          </w:tcPr>
          <w:p w14:paraId="0C648AC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0.1473</w:t>
            </w:r>
          </w:p>
        </w:tc>
        <w:tc>
          <w:tcPr>
            <w:tcW w:w="1105" w:type="dxa"/>
          </w:tcPr>
          <w:p w14:paraId="082BF37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3.9632</w:t>
            </w:r>
          </w:p>
        </w:tc>
        <w:tc>
          <w:tcPr>
            <w:tcW w:w="1105" w:type="dxa"/>
          </w:tcPr>
          <w:p w14:paraId="1928F96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-0.0965</w:t>
            </w:r>
          </w:p>
        </w:tc>
        <w:tc>
          <w:tcPr>
            <w:tcW w:w="1105" w:type="dxa"/>
          </w:tcPr>
          <w:p w14:paraId="53F4829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0.1045</w:t>
            </w:r>
          </w:p>
        </w:tc>
        <w:tc>
          <w:tcPr>
            <w:tcW w:w="1105" w:type="dxa"/>
          </w:tcPr>
          <w:p w14:paraId="6643A29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242.0000</w:t>
            </w:r>
          </w:p>
        </w:tc>
      </w:tr>
    </w:tbl>
    <w:p w14:paraId="55B5217C" w14:textId="77777777" w:rsidR="00DE3F5D" w:rsidRDefault="00DE3F5D"/>
    <w:p w14:paraId="20D286DD" w14:textId="77777777" w:rsidR="00DE3F5D" w:rsidRDefault="00E96965">
      <w:pPr>
        <w:pStyle w:val="Ttulo2"/>
      </w:pPr>
      <w:bookmarkStart w:id="70" w:name="_Toc231081588"/>
      <w:r>
        <w:t>Anexo B. Matriz de correlación de los factores</w:t>
      </w:r>
      <w:bookmarkEnd w:id="70"/>
    </w:p>
    <w:p w14:paraId="478C8694" w14:textId="7F6EA772" w:rsidR="00DE3F5D" w:rsidRDefault="00E96965">
      <w:pPr>
        <w:pStyle w:val="Descripcin"/>
        <w:jc w:val="center"/>
      </w:pPr>
      <w:bookmarkStart w:id="71" w:name="_Toc231081604"/>
      <w:r>
        <w:rPr>
          <w:sz w:val="20"/>
        </w:rPr>
        <w:t xml:space="preserve">Tabla </w:t>
      </w:r>
      <w:r>
        <w:fldChar w:fldCharType="begin"/>
      </w:r>
      <w:r>
        <w:instrText xml:space="preserve"> SEQ Tabla \* ARABIC </w:instrText>
      </w:r>
      <w:r>
        <w:fldChar w:fldCharType="separate"/>
      </w:r>
      <w:r>
        <w:rPr>
          <w:noProof/>
        </w:rPr>
        <w:t>6</w:t>
      </w:r>
      <w:r>
        <w:fldChar w:fldCharType="end"/>
      </w:r>
      <w:r>
        <w:rPr>
          <w:sz w:val="20"/>
        </w:rPr>
        <w:t>.</w:t>
      </w:r>
      <w:bookmarkEnd w:id="71"/>
      <w:r>
        <w:rPr>
          <w:sz w:val="20"/>
        </w:rPr>
        <w:t xml:space="preserve"> </w:t>
      </w:r>
    </w:p>
    <w:tbl>
      <w:tblPr>
        <w:tblStyle w:val="Cuadrculaclara-nfasis1"/>
        <w:tblW w:w="0" w:type="auto"/>
        <w:tblLook w:val="04A0" w:firstRow="1" w:lastRow="0" w:firstColumn="1" w:lastColumn="0" w:noHBand="0" w:noVBand="1"/>
      </w:tblPr>
      <w:tblGrid>
        <w:gridCol w:w="1050"/>
        <w:gridCol w:w="982"/>
        <w:gridCol w:w="982"/>
        <w:gridCol w:w="982"/>
        <w:gridCol w:w="982"/>
        <w:gridCol w:w="1005"/>
        <w:gridCol w:w="982"/>
        <w:gridCol w:w="982"/>
        <w:gridCol w:w="1050"/>
      </w:tblGrid>
      <w:tr w:rsidR="00DE3F5D" w14:paraId="42926E60"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7513C1BD" w14:textId="77777777" w:rsidR="00DE3F5D" w:rsidRDefault="00DE3F5D"/>
        </w:tc>
        <w:tc>
          <w:tcPr>
            <w:tcW w:w="982" w:type="dxa"/>
          </w:tcPr>
          <w:p w14:paraId="11FC7808"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Retorno cartera</w:t>
            </w:r>
          </w:p>
        </w:tc>
        <w:tc>
          <w:tcPr>
            <w:tcW w:w="982" w:type="dxa"/>
          </w:tcPr>
          <w:p w14:paraId="1D9594DD"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Cobre</w:t>
            </w:r>
          </w:p>
        </w:tc>
        <w:tc>
          <w:tcPr>
            <w:tcW w:w="982" w:type="dxa"/>
          </w:tcPr>
          <w:p w14:paraId="0E7CA07B"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VIX</w:t>
            </w:r>
          </w:p>
        </w:tc>
        <w:tc>
          <w:tcPr>
            <w:tcW w:w="982" w:type="dxa"/>
          </w:tcPr>
          <w:p w14:paraId="5E253904"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Fed Funds</w:t>
            </w:r>
          </w:p>
        </w:tc>
        <w:tc>
          <w:tcPr>
            <w:tcW w:w="982" w:type="dxa"/>
          </w:tcPr>
          <w:p w14:paraId="55094058"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Treasury 10Y</w:t>
            </w:r>
          </w:p>
        </w:tc>
        <w:tc>
          <w:tcPr>
            <w:tcW w:w="982" w:type="dxa"/>
          </w:tcPr>
          <w:p w14:paraId="5EF64D67"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TC CLP</w:t>
            </w:r>
          </w:p>
        </w:tc>
        <w:tc>
          <w:tcPr>
            <w:tcW w:w="982" w:type="dxa"/>
          </w:tcPr>
          <w:p w14:paraId="2A0455AA"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Tasa local</w:t>
            </w:r>
          </w:p>
        </w:tc>
        <w:tc>
          <w:tcPr>
            <w:tcW w:w="982" w:type="dxa"/>
          </w:tcPr>
          <w:p w14:paraId="03572E28"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Actividad local</w:t>
            </w:r>
          </w:p>
        </w:tc>
      </w:tr>
      <w:tr w:rsidR="00DE3F5D" w14:paraId="1A216A3E"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06A13B69" w14:textId="77777777" w:rsidR="00DE3F5D" w:rsidRDefault="00E96965">
            <w:r>
              <w:rPr>
                <w:sz w:val="20"/>
              </w:rPr>
              <w:lastRenderedPageBreak/>
              <w:t>Retorno cartera</w:t>
            </w:r>
          </w:p>
        </w:tc>
        <w:tc>
          <w:tcPr>
            <w:tcW w:w="982" w:type="dxa"/>
          </w:tcPr>
          <w:p w14:paraId="7270D92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6E4774D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0.3962</w:t>
            </w:r>
          </w:p>
        </w:tc>
        <w:tc>
          <w:tcPr>
            <w:tcW w:w="982" w:type="dxa"/>
          </w:tcPr>
          <w:p w14:paraId="465B88C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-0.4199</w:t>
            </w:r>
          </w:p>
        </w:tc>
        <w:tc>
          <w:tcPr>
            <w:tcW w:w="982" w:type="dxa"/>
          </w:tcPr>
          <w:p w14:paraId="409ACDD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0.0301</w:t>
            </w:r>
          </w:p>
        </w:tc>
        <w:tc>
          <w:tcPr>
            <w:tcW w:w="982" w:type="dxa"/>
          </w:tcPr>
          <w:p w14:paraId="0DD7E75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0.1167</w:t>
            </w:r>
          </w:p>
        </w:tc>
        <w:tc>
          <w:tcPr>
            <w:tcW w:w="982" w:type="dxa"/>
          </w:tcPr>
          <w:p w14:paraId="2ED2782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-0.2938</w:t>
            </w:r>
          </w:p>
        </w:tc>
        <w:tc>
          <w:tcPr>
            <w:tcW w:w="982" w:type="dxa"/>
          </w:tcPr>
          <w:p w14:paraId="5B57521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-0.0938</w:t>
            </w:r>
          </w:p>
        </w:tc>
        <w:tc>
          <w:tcPr>
            <w:tcW w:w="982" w:type="dxa"/>
          </w:tcPr>
          <w:p w14:paraId="3FF44C5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-0.0623</w:t>
            </w:r>
          </w:p>
        </w:tc>
      </w:tr>
      <w:tr w:rsidR="00DE3F5D" w14:paraId="2F5B2203"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0EF58EB0" w14:textId="77777777" w:rsidR="00DE3F5D" w:rsidRDefault="00E96965">
            <w:r>
              <w:rPr>
                <w:sz w:val="20"/>
              </w:rPr>
              <w:t>Δ Cobre</w:t>
            </w:r>
          </w:p>
        </w:tc>
        <w:tc>
          <w:tcPr>
            <w:tcW w:w="982" w:type="dxa"/>
          </w:tcPr>
          <w:p w14:paraId="7D6FB85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0.3962</w:t>
            </w:r>
          </w:p>
        </w:tc>
        <w:tc>
          <w:tcPr>
            <w:tcW w:w="982" w:type="dxa"/>
          </w:tcPr>
          <w:p w14:paraId="41FF1F7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7366236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-0.0451</w:t>
            </w:r>
          </w:p>
        </w:tc>
        <w:tc>
          <w:tcPr>
            <w:tcW w:w="982" w:type="dxa"/>
          </w:tcPr>
          <w:p w14:paraId="306992E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0.0495</w:t>
            </w:r>
          </w:p>
        </w:tc>
        <w:tc>
          <w:tcPr>
            <w:tcW w:w="982" w:type="dxa"/>
          </w:tcPr>
          <w:p w14:paraId="5D35188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0.1716</w:t>
            </w:r>
          </w:p>
        </w:tc>
        <w:tc>
          <w:tcPr>
            <w:tcW w:w="982" w:type="dxa"/>
          </w:tcPr>
          <w:p w14:paraId="58FBF6B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-0.2339</w:t>
            </w:r>
          </w:p>
        </w:tc>
        <w:tc>
          <w:tcPr>
            <w:tcW w:w="982" w:type="dxa"/>
          </w:tcPr>
          <w:p w14:paraId="5534E9B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-0.0971</w:t>
            </w:r>
          </w:p>
        </w:tc>
        <w:tc>
          <w:tcPr>
            <w:tcW w:w="982" w:type="dxa"/>
          </w:tcPr>
          <w:p w14:paraId="69F677B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0.0276</w:t>
            </w:r>
          </w:p>
        </w:tc>
      </w:tr>
      <w:tr w:rsidR="00DE3F5D" w14:paraId="4479EBA8"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56349CF6" w14:textId="77777777" w:rsidR="00DE3F5D" w:rsidRDefault="00E96965">
            <w:r>
              <w:rPr>
                <w:sz w:val="20"/>
              </w:rPr>
              <w:t>Δ VIX</w:t>
            </w:r>
          </w:p>
        </w:tc>
        <w:tc>
          <w:tcPr>
            <w:tcW w:w="982" w:type="dxa"/>
          </w:tcPr>
          <w:p w14:paraId="3B767B5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-0.4199</w:t>
            </w:r>
          </w:p>
        </w:tc>
        <w:tc>
          <w:tcPr>
            <w:tcW w:w="982" w:type="dxa"/>
          </w:tcPr>
          <w:p w14:paraId="4B66504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-0.0451</w:t>
            </w:r>
          </w:p>
        </w:tc>
        <w:tc>
          <w:tcPr>
            <w:tcW w:w="982" w:type="dxa"/>
          </w:tcPr>
          <w:p w14:paraId="2F22C34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63AA74E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-0.0009</w:t>
            </w:r>
          </w:p>
        </w:tc>
        <w:tc>
          <w:tcPr>
            <w:tcW w:w="982" w:type="dxa"/>
          </w:tcPr>
          <w:p w14:paraId="1D5484C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-0.0659</w:t>
            </w:r>
          </w:p>
        </w:tc>
        <w:tc>
          <w:tcPr>
            <w:tcW w:w="982" w:type="dxa"/>
          </w:tcPr>
          <w:p w14:paraId="4E76E0F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0.1781</w:t>
            </w:r>
          </w:p>
        </w:tc>
        <w:tc>
          <w:tcPr>
            <w:tcW w:w="982" w:type="dxa"/>
          </w:tcPr>
          <w:p w14:paraId="41A07A2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0.0879</w:t>
            </w:r>
          </w:p>
        </w:tc>
        <w:tc>
          <w:tcPr>
            <w:tcW w:w="982" w:type="dxa"/>
          </w:tcPr>
          <w:p w14:paraId="447B2CFE"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-0.0537</w:t>
            </w:r>
          </w:p>
        </w:tc>
      </w:tr>
      <w:tr w:rsidR="00DE3F5D" w14:paraId="5C71FE21"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14526EA4" w14:textId="77777777" w:rsidR="00DE3F5D" w:rsidRDefault="00E96965">
            <w:r>
              <w:rPr>
                <w:sz w:val="20"/>
              </w:rPr>
              <w:t>Δ Fed Funds</w:t>
            </w:r>
          </w:p>
        </w:tc>
        <w:tc>
          <w:tcPr>
            <w:tcW w:w="982" w:type="dxa"/>
          </w:tcPr>
          <w:p w14:paraId="396B3E8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0.0301</w:t>
            </w:r>
          </w:p>
        </w:tc>
        <w:tc>
          <w:tcPr>
            <w:tcW w:w="982" w:type="dxa"/>
          </w:tcPr>
          <w:p w14:paraId="624B912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0.0495</w:t>
            </w:r>
          </w:p>
        </w:tc>
        <w:tc>
          <w:tcPr>
            <w:tcW w:w="982" w:type="dxa"/>
          </w:tcPr>
          <w:p w14:paraId="080D18A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-0.0009</w:t>
            </w:r>
          </w:p>
        </w:tc>
        <w:tc>
          <w:tcPr>
            <w:tcW w:w="982" w:type="dxa"/>
          </w:tcPr>
          <w:p w14:paraId="7978A0E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23C29C8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0.1536</w:t>
            </w:r>
          </w:p>
        </w:tc>
        <w:tc>
          <w:tcPr>
            <w:tcW w:w="982" w:type="dxa"/>
          </w:tcPr>
          <w:p w14:paraId="7BFAFD2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0.1096</w:t>
            </w:r>
          </w:p>
        </w:tc>
        <w:tc>
          <w:tcPr>
            <w:tcW w:w="982" w:type="dxa"/>
          </w:tcPr>
          <w:p w14:paraId="66CF419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0.1630</w:t>
            </w:r>
          </w:p>
        </w:tc>
        <w:tc>
          <w:tcPr>
            <w:tcW w:w="982" w:type="dxa"/>
          </w:tcPr>
          <w:p w14:paraId="38136E0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0.0412</w:t>
            </w:r>
          </w:p>
        </w:tc>
      </w:tr>
      <w:tr w:rsidR="00DE3F5D" w14:paraId="74F5EF85"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1C2F192C" w14:textId="77777777" w:rsidR="00DE3F5D" w:rsidRDefault="00E96965">
            <w:r>
              <w:rPr>
                <w:sz w:val="20"/>
              </w:rPr>
              <w:t>Δ Treasury 10Y</w:t>
            </w:r>
          </w:p>
        </w:tc>
        <w:tc>
          <w:tcPr>
            <w:tcW w:w="982" w:type="dxa"/>
          </w:tcPr>
          <w:p w14:paraId="55E5770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0.1167</w:t>
            </w:r>
          </w:p>
        </w:tc>
        <w:tc>
          <w:tcPr>
            <w:tcW w:w="982" w:type="dxa"/>
          </w:tcPr>
          <w:p w14:paraId="5F13999C"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0.1716</w:t>
            </w:r>
          </w:p>
        </w:tc>
        <w:tc>
          <w:tcPr>
            <w:tcW w:w="982" w:type="dxa"/>
          </w:tcPr>
          <w:p w14:paraId="0DF8E89E"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-0.0659</w:t>
            </w:r>
          </w:p>
        </w:tc>
        <w:tc>
          <w:tcPr>
            <w:tcW w:w="982" w:type="dxa"/>
          </w:tcPr>
          <w:p w14:paraId="21009AF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0.1536</w:t>
            </w:r>
          </w:p>
        </w:tc>
        <w:tc>
          <w:tcPr>
            <w:tcW w:w="982" w:type="dxa"/>
          </w:tcPr>
          <w:p w14:paraId="2F44C31A"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7BFD951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0.1634</w:t>
            </w:r>
          </w:p>
        </w:tc>
        <w:tc>
          <w:tcPr>
            <w:tcW w:w="982" w:type="dxa"/>
          </w:tcPr>
          <w:p w14:paraId="4A4D424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-0.0154</w:t>
            </w:r>
          </w:p>
        </w:tc>
        <w:tc>
          <w:tcPr>
            <w:tcW w:w="982" w:type="dxa"/>
          </w:tcPr>
          <w:p w14:paraId="10F3D31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-0.0395</w:t>
            </w:r>
          </w:p>
        </w:tc>
      </w:tr>
      <w:tr w:rsidR="00DE3F5D" w14:paraId="4EFB9FD2"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19F2BD2D" w14:textId="77777777" w:rsidR="00DE3F5D" w:rsidRDefault="00E96965">
            <w:r>
              <w:rPr>
                <w:sz w:val="20"/>
              </w:rPr>
              <w:t>Δ TC CLP</w:t>
            </w:r>
          </w:p>
        </w:tc>
        <w:tc>
          <w:tcPr>
            <w:tcW w:w="982" w:type="dxa"/>
          </w:tcPr>
          <w:p w14:paraId="1050249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-0.2938</w:t>
            </w:r>
          </w:p>
        </w:tc>
        <w:tc>
          <w:tcPr>
            <w:tcW w:w="982" w:type="dxa"/>
          </w:tcPr>
          <w:p w14:paraId="6D97918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-0.2339</w:t>
            </w:r>
          </w:p>
        </w:tc>
        <w:tc>
          <w:tcPr>
            <w:tcW w:w="982" w:type="dxa"/>
          </w:tcPr>
          <w:p w14:paraId="6AB6295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0.1781</w:t>
            </w:r>
          </w:p>
        </w:tc>
        <w:tc>
          <w:tcPr>
            <w:tcW w:w="982" w:type="dxa"/>
          </w:tcPr>
          <w:p w14:paraId="695C542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0.1096</w:t>
            </w:r>
          </w:p>
        </w:tc>
        <w:tc>
          <w:tcPr>
            <w:tcW w:w="982" w:type="dxa"/>
          </w:tcPr>
          <w:p w14:paraId="161557C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0.1634</w:t>
            </w:r>
          </w:p>
        </w:tc>
        <w:tc>
          <w:tcPr>
            <w:tcW w:w="982" w:type="dxa"/>
          </w:tcPr>
          <w:p w14:paraId="4BD6221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70E5FB2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0.0010</w:t>
            </w:r>
          </w:p>
        </w:tc>
        <w:tc>
          <w:tcPr>
            <w:tcW w:w="982" w:type="dxa"/>
          </w:tcPr>
          <w:p w14:paraId="41E0251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-0.0649</w:t>
            </w:r>
          </w:p>
        </w:tc>
      </w:tr>
      <w:tr w:rsidR="00DE3F5D" w14:paraId="438A0FF0"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262F2B89" w14:textId="77777777" w:rsidR="00DE3F5D" w:rsidRDefault="00E96965">
            <w:r>
              <w:rPr>
                <w:sz w:val="20"/>
              </w:rPr>
              <w:t>Δ Tasa local</w:t>
            </w:r>
          </w:p>
        </w:tc>
        <w:tc>
          <w:tcPr>
            <w:tcW w:w="982" w:type="dxa"/>
          </w:tcPr>
          <w:p w14:paraId="7AA5DDF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-0.0938</w:t>
            </w:r>
          </w:p>
        </w:tc>
        <w:tc>
          <w:tcPr>
            <w:tcW w:w="982" w:type="dxa"/>
          </w:tcPr>
          <w:p w14:paraId="48422E1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-0.0971</w:t>
            </w:r>
          </w:p>
        </w:tc>
        <w:tc>
          <w:tcPr>
            <w:tcW w:w="982" w:type="dxa"/>
          </w:tcPr>
          <w:p w14:paraId="2DEF19E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0.0879</w:t>
            </w:r>
          </w:p>
        </w:tc>
        <w:tc>
          <w:tcPr>
            <w:tcW w:w="982" w:type="dxa"/>
          </w:tcPr>
          <w:p w14:paraId="48C060F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0.1630</w:t>
            </w:r>
          </w:p>
        </w:tc>
        <w:tc>
          <w:tcPr>
            <w:tcW w:w="982" w:type="dxa"/>
          </w:tcPr>
          <w:p w14:paraId="1754E59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-0.0154</w:t>
            </w:r>
          </w:p>
        </w:tc>
        <w:tc>
          <w:tcPr>
            <w:tcW w:w="982" w:type="dxa"/>
          </w:tcPr>
          <w:p w14:paraId="2EF856A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0.0010</w:t>
            </w:r>
          </w:p>
        </w:tc>
        <w:tc>
          <w:tcPr>
            <w:tcW w:w="982" w:type="dxa"/>
          </w:tcPr>
          <w:p w14:paraId="0821102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77744BBA"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0.0547</w:t>
            </w:r>
          </w:p>
        </w:tc>
      </w:tr>
      <w:tr w:rsidR="00DE3F5D" w14:paraId="4D34D14E"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22923D49" w14:textId="77777777" w:rsidR="00DE3F5D" w:rsidRDefault="00E96965">
            <w:r>
              <w:rPr>
                <w:sz w:val="20"/>
              </w:rPr>
              <w:t xml:space="preserve">Δ </w:t>
            </w:r>
            <w:r>
              <w:rPr>
                <w:sz w:val="20"/>
              </w:rPr>
              <w:t>Actividad local</w:t>
            </w:r>
          </w:p>
        </w:tc>
        <w:tc>
          <w:tcPr>
            <w:tcW w:w="982" w:type="dxa"/>
          </w:tcPr>
          <w:p w14:paraId="5F45DDD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-0.0623</w:t>
            </w:r>
          </w:p>
        </w:tc>
        <w:tc>
          <w:tcPr>
            <w:tcW w:w="982" w:type="dxa"/>
          </w:tcPr>
          <w:p w14:paraId="165CE73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0.0276</w:t>
            </w:r>
          </w:p>
        </w:tc>
        <w:tc>
          <w:tcPr>
            <w:tcW w:w="982" w:type="dxa"/>
          </w:tcPr>
          <w:p w14:paraId="051ED57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-0.0537</w:t>
            </w:r>
          </w:p>
        </w:tc>
        <w:tc>
          <w:tcPr>
            <w:tcW w:w="982" w:type="dxa"/>
          </w:tcPr>
          <w:p w14:paraId="0AF0F23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0.0412</w:t>
            </w:r>
          </w:p>
        </w:tc>
        <w:tc>
          <w:tcPr>
            <w:tcW w:w="982" w:type="dxa"/>
          </w:tcPr>
          <w:p w14:paraId="58888DE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-0.0395</w:t>
            </w:r>
          </w:p>
        </w:tc>
        <w:tc>
          <w:tcPr>
            <w:tcW w:w="982" w:type="dxa"/>
          </w:tcPr>
          <w:p w14:paraId="09B8CF08"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-0.0649</w:t>
            </w:r>
          </w:p>
        </w:tc>
        <w:tc>
          <w:tcPr>
            <w:tcW w:w="982" w:type="dxa"/>
          </w:tcPr>
          <w:p w14:paraId="11EB1FE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0.0547</w:t>
            </w:r>
          </w:p>
        </w:tc>
        <w:tc>
          <w:tcPr>
            <w:tcW w:w="982" w:type="dxa"/>
          </w:tcPr>
          <w:p w14:paraId="0433AB0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1.0000</w:t>
            </w:r>
          </w:p>
        </w:tc>
      </w:tr>
    </w:tbl>
    <w:p w14:paraId="7E4E8C27" w14:textId="77777777" w:rsidR="00DE3F5D" w:rsidRDefault="00DE3F5D"/>
    <w:p w14:paraId="2663A6CF" w14:textId="77777777" w:rsidR="00DE3F5D" w:rsidRDefault="00E96965">
      <w:pPr>
        <w:pStyle w:val="Ttulo2"/>
      </w:pPr>
      <w:bookmarkStart w:id="72" w:name="_Toc231081589"/>
      <w:r>
        <w:t>Anexo C. Pruebas de raíz unitaria y orden de integración</w:t>
      </w:r>
      <w:bookmarkEnd w:id="72"/>
    </w:p>
    <w:p w14:paraId="580329BE" w14:textId="7DEF268E" w:rsidR="00DE3F5D" w:rsidRDefault="00E96965">
      <w:pPr>
        <w:pStyle w:val="Descripcin"/>
        <w:jc w:val="center"/>
      </w:pPr>
      <w:bookmarkStart w:id="73" w:name="_Toc231081605"/>
      <w:r>
        <w:rPr>
          <w:sz w:val="20"/>
        </w:rPr>
        <w:t xml:space="preserve">Tabla </w:t>
      </w:r>
      <w:r>
        <w:fldChar w:fldCharType="begin"/>
      </w:r>
      <w:r>
        <w:instrText xml:space="preserve"> SEQ Tabla \* ARABIC </w:instrText>
      </w:r>
      <w:r>
        <w:fldChar w:fldCharType="separate"/>
      </w:r>
      <w:r>
        <w:rPr>
          <w:noProof/>
        </w:rPr>
        <w:t>7</w:t>
      </w:r>
      <w:r>
        <w:fldChar w:fldCharType="end"/>
      </w:r>
      <w:r>
        <w:rPr>
          <w:sz w:val="20"/>
        </w:rPr>
        <w:t>.</w:t>
      </w:r>
      <w:bookmarkEnd w:id="73"/>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DE3F5D" w14:paraId="45673C9C"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C653000" w14:textId="77777777" w:rsidR="00DE3F5D" w:rsidRDefault="00E96965">
            <w:r>
              <w:rPr>
                <w:sz w:val="20"/>
              </w:rPr>
              <w:t>Variable</w:t>
            </w:r>
          </w:p>
        </w:tc>
        <w:tc>
          <w:tcPr>
            <w:tcW w:w="1474" w:type="dxa"/>
          </w:tcPr>
          <w:p w14:paraId="20EF188A"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ADF (p)</w:t>
            </w:r>
          </w:p>
        </w:tc>
        <w:tc>
          <w:tcPr>
            <w:tcW w:w="1474" w:type="dxa"/>
          </w:tcPr>
          <w:p w14:paraId="0F8D23E1"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PP (p)</w:t>
            </w:r>
          </w:p>
        </w:tc>
        <w:tc>
          <w:tcPr>
            <w:tcW w:w="1474" w:type="dxa"/>
          </w:tcPr>
          <w:p w14:paraId="34A615A1"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KPSS (p)</w:t>
            </w:r>
          </w:p>
        </w:tc>
        <w:tc>
          <w:tcPr>
            <w:tcW w:w="1474" w:type="dxa"/>
          </w:tcPr>
          <w:p w14:paraId="62987F61"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Zivot-A. (p)</w:t>
            </w:r>
          </w:p>
        </w:tc>
        <w:tc>
          <w:tcPr>
            <w:tcW w:w="1474" w:type="dxa"/>
          </w:tcPr>
          <w:p w14:paraId="0F5B876E"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Orden</w:t>
            </w:r>
          </w:p>
        </w:tc>
      </w:tr>
      <w:tr w:rsidR="00DE3F5D" w14:paraId="0F371F5E"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48D089C" w14:textId="77777777" w:rsidR="00DE3F5D" w:rsidRDefault="00E96965">
            <w:r>
              <w:rPr>
                <w:sz w:val="20"/>
              </w:rPr>
              <w:t>Cobre (log nivel)</w:t>
            </w:r>
          </w:p>
        </w:tc>
        <w:tc>
          <w:tcPr>
            <w:tcW w:w="1474" w:type="dxa"/>
          </w:tcPr>
          <w:p w14:paraId="51901DA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0.0135</w:t>
            </w:r>
          </w:p>
        </w:tc>
        <w:tc>
          <w:tcPr>
            <w:tcW w:w="1474" w:type="dxa"/>
          </w:tcPr>
          <w:p w14:paraId="20CDF5AC"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0.0277</w:t>
            </w:r>
          </w:p>
        </w:tc>
        <w:tc>
          <w:tcPr>
            <w:tcW w:w="1474" w:type="dxa"/>
          </w:tcPr>
          <w:p w14:paraId="185679D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0.0120</w:t>
            </w:r>
          </w:p>
        </w:tc>
        <w:tc>
          <w:tcPr>
            <w:tcW w:w="1474" w:type="dxa"/>
          </w:tcPr>
          <w:p w14:paraId="488CE2F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0.1697</w:t>
            </w:r>
          </w:p>
        </w:tc>
        <w:tc>
          <w:tcPr>
            <w:tcW w:w="1474" w:type="dxa"/>
          </w:tcPr>
          <w:p w14:paraId="5FEC81A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I(1)</w:t>
            </w:r>
          </w:p>
        </w:tc>
      </w:tr>
      <w:tr w:rsidR="00DE3F5D" w14:paraId="7EE104A4"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0BB0D00" w14:textId="77777777" w:rsidR="00DE3F5D" w:rsidRDefault="00E96965">
            <w:r>
              <w:rPr>
                <w:sz w:val="20"/>
              </w:rPr>
              <w:t>TC CLP (log nivel)</w:t>
            </w:r>
          </w:p>
        </w:tc>
        <w:tc>
          <w:tcPr>
            <w:tcW w:w="1474" w:type="dxa"/>
          </w:tcPr>
          <w:p w14:paraId="32EE872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0.1584</w:t>
            </w:r>
          </w:p>
        </w:tc>
        <w:tc>
          <w:tcPr>
            <w:tcW w:w="1474" w:type="dxa"/>
          </w:tcPr>
          <w:p w14:paraId="03C3A7F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0.2622</w:t>
            </w:r>
          </w:p>
        </w:tc>
        <w:tc>
          <w:tcPr>
            <w:tcW w:w="1474" w:type="dxa"/>
          </w:tcPr>
          <w:p w14:paraId="040F0BB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0.0100</w:t>
            </w:r>
          </w:p>
        </w:tc>
        <w:tc>
          <w:tcPr>
            <w:tcW w:w="1474" w:type="dxa"/>
          </w:tcPr>
          <w:p w14:paraId="5042322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0.9504</w:t>
            </w:r>
          </w:p>
        </w:tc>
        <w:tc>
          <w:tcPr>
            <w:tcW w:w="1474" w:type="dxa"/>
          </w:tcPr>
          <w:p w14:paraId="168B73A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I(2)?/revisar</w:t>
            </w:r>
          </w:p>
        </w:tc>
      </w:tr>
      <w:tr w:rsidR="00DE3F5D" w14:paraId="54D85549"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97BF726" w14:textId="77777777" w:rsidR="00DE3F5D" w:rsidRDefault="00E96965">
            <w:r>
              <w:rPr>
                <w:sz w:val="20"/>
              </w:rPr>
              <w:t>VIX (nivel)</w:t>
            </w:r>
          </w:p>
        </w:tc>
        <w:tc>
          <w:tcPr>
            <w:tcW w:w="1474" w:type="dxa"/>
          </w:tcPr>
          <w:p w14:paraId="43C5321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0.0000</w:t>
            </w:r>
          </w:p>
        </w:tc>
        <w:tc>
          <w:tcPr>
            <w:tcW w:w="1474" w:type="dxa"/>
          </w:tcPr>
          <w:p w14:paraId="7F205D0C"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0.0000</w:t>
            </w:r>
          </w:p>
        </w:tc>
        <w:tc>
          <w:tcPr>
            <w:tcW w:w="1474" w:type="dxa"/>
          </w:tcPr>
          <w:p w14:paraId="179E7F6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0.1000</w:t>
            </w:r>
          </w:p>
        </w:tc>
        <w:tc>
          <w:tcPr>
            <w:tcW w:w="1474" w:type="dxa"/>
          </w:tcPr>
          <w:p w14:paraId="3689AD5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0.0009</w:t>
            </w:r>
          </w:p>
        </w:tc>
        <w:tc>
          <w:tcPr>
            <w:tcW w:w="1474" w:type="dxa"/>
          </w:tcPr>
          <w:p w14:paraId="5ACBBB2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I(0)</w:t>
            </w:r>
          </w:p>
        </w:tc>
      </w:tr>
      <w:tr w:rsidR="00DE3F5D" w14:paraId="22A3358F"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A4CA43E" w14:textId="77777777" w:rsidR="00DE3F5D" w:rsidRDefault="00E96965">
            <w:r>
              <w:rPr>
                <w:sz w:val="20"/>
              </w:rPr>
              <w:t>Valor ANTO.L (log)</w:t>
            </w:r>
          </w:p>
        </w:tc>
        <w:tc>
          <w:tcPr>
            <w:tcW w:w="1474" w:type="dxa"/>
          </w:tcPr>
          <w:p w14:paraId="3945A66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0.1851</w:t>
            </w:r>
          </w:p>
        </w:tc>
        <w:tc>
          <w:tcPr>
            <w:tcW w:w="1474" w:type="dxa"/>
          </w:tcPr>
          <w:p w14:paraId="400CB87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0.3084</w:t>
            </w:r>
          </w:p>
        </w:tc>
        <w:tc>
          <w:tcPr>
            <w:tcW w:w="1474" w:type="dxa"/>
          </w:tcPr>
          <w:p w14:paraId="430EB12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0.0100</w:t>
            </w:r>
          </w:p>
        </w:tc>
        <w:tc>
          <w:tcPr>
            <w:tcW w:w="1474" w:type="dxa"/>
          </w:tcPr>
          <w:p w14:paraId="25AE4CC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0.4233</w:t>
            </w:r>
          </w:p>
        </w:tc>
        <w:tc>
          <w:tcPr>
            <w:tcW w:w="1474" w:type="dxa"/>
          </w:tcPr>
          <w:p w14:paraId="2AC3551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I(1)</w:t>
            </w:r>
          </w:p>
        </w:tc>
      </w:tr>
    </w:tbl>
    <w:p w14:paraId="6A4A7441" w14:textId="77777777" w:rsidR="00DE3F5D" w:rsidRDefault="00DE3F5D"/>
    <w:p w14:paraId="455AE27D" w14:textId="77777777" w:rsidR="00DE3F5D" w:rsidRDefault="00E96965">
      <w:r>
        <w:lastRenderedPageBreak/>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4AAFBF6F" w14:textId="77777777" w:rsidR="00DE3F5D" w:rsidRDefault="00E96965">
      <w:pPr>
        <w:pStyle w:val="Ttulo2"/>
      </w:pPr>
      <w:bookmarkStart w:id="74" w:name="_Toc231081590"/>
      <w:r>
        <w:t>Anexo D. Resultados completos del modelo de panel</w:t>
      </w:r>
      <w:bookmarkEnd w:id="74"/>
    </w:p>
    <w:p w14:paraId="534FDFFD" w14:textId="77777777" w:rsidR="00DE3F5D" w:rsidRDefault="00E96965">
      <w:pPr>
        <w:pStyle w:val="Ttulo3"/>
      </w:pPr>
      <w:bookmarkStart w:id="75" w:name="_Toc231081591"/>
      <w:r>
        <w:t>D.1 Muestra B — cobre, mercado internacional</w:t>
      </w:r>
      <w:bookmarkEnd w:id="75"/>
    </w:p>
    <w:p w14:paraId="3A50BE82" w14:textId="25495A85" w:rsidR="00DE3F5D" w:rsidRDefault="00E96965">
      <w:pPr>
        <w:pStyle w:val="Descripcin"/>
        <w:jc w:val="center"/>
      </w:pPr>
      <w:bookmarkStart w:id="76" w:name="_Toc231081606"/>
      <w:r>
        <w:rPr>
          <w:sz w:val="20"/>
        </w:rPr>
        <w:t xml:space="preserve">Tabla </w:t>
      </w:r>
      <w:r>
        <w:fldChar w:fldCharType="begin"/>
      </w:r>
      <w:r>
        <w:instrText xml:space="preserve"> SEQ Tabla \* ARABIC </w:instrText>
      </w:r>
      <w:r>
        <w:fldChar w:fldCharType="separate"/>
      </w:r>
      <w:r>
        <w:rPr>
          <w:noProof/>
        </w:rPr>
        <w:t>8</w:t>
      </w:r>
      <w:r>
        <w:fldChar w:fldCharType="end"/>
      </w:r>
      <w:r>
        <w:rPr>
          <w:sz w:val="20"/>
        </w:rPr>
        <w:t>.</w:t>
      </w:r>
      <w:bookmarkEnd w:id="7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DE3F5D" w14:paraId="5E0ABFE0"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6A953A6" w14:textId="77777777" w:rsidR="00DE3F5D" w:rsidRDefault="00E96965">
            <w:r>
              <w:rPr>
                <w:sz w:val="20"/>
              </w:rPr>
              <w:t>Regresor</w:t>
            </w:r>
          </w:p>
        </w:tc>
        <w:tc>
          <w:tcPr>
            <w:tcW w:w="1768" w:type="dxa"/>
          </w:tcPr>
          <w:p w14:paraId="68FAD9A6"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7A7CA70B"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1B2146DC"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66A8351E"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p-valor</w:t>
            </w:r>
          </w:p>
        </w:tc>
      </w:tr>
      <w:tr w:rsidR="00DE3F5D" w14:paraId="2B38AA53"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D6FD781" w14:textId="77777777" w:rsidR="00DE3F5D" w:rsidRDefault="00E96965">
            <w:r>
              <w:rPr>
                <w:sz w:val="20"/>
              </w:rPr>
              <w:t>Constante</w:t>
            </w:r>
          </w:p>
        </w:tc>
        <w:tc>
          <w:tcPr>
            <w:tcW w:w="1768" w:type="dxa"/>
          </w:tcPr>
          <w:p w14:paraId="26AB559E"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0.0063</w:t>
            </w:r>
          </w:p>
        </w:tc>
        <w:tc>
          <w:tcPr>
            <w:tcW w:w="1768" w:type="dxa"/>
          </w:tcPr>
          <w:p w14:paraId="16005B8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0.0053</w:t>
            </w:r>
          </w:p>
        </w:tc>
        <w:tc>
          <w:tcPr>
            <w:tcW w:w="1768" w:type="dxa"/>
          </w:tcPr>
          <w:p w14:paraId="26C313D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1.1929</w:t>
            </w:r>
          </w:p>
        </w:tc>
        <w:tc>
          <w:tcPr>
            <w:tcW w:w="1768" w:type="dxa"/>
          </w:tcPr>
          <w:p w14:paraId="24DC1C5C"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0.2332</w:t>
            </w:r>
          </w:p>
        </w:tc>
      </w:tr>
      <w:tr w:rsidR="00DE3F5D" w14:paraId="179EA9A5"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7EAEEC5" w14:textId="77777777" w:rsidR="00DE3F5D" w:rsidRDefault="00E96965">
            <w:r>
              <w:rPr>
                <w:sz w:val="20"/>
              </w:rPr>
              <w:t>Δ Cobre</w:t>
            </w:r>
          </w:p>
        </w:tc>
        <w:tc>
          <w:tcPr>
            <w:tcW w:w="1768" w:type="dxa"/>
          </w:tcPr>
          <w:p w14:paraId="4AD6D36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0.5712</w:t>
            </w:r>
          </w:p>
        </w:tc>
        <w:tc>
          <w:tcPr>
            <w:tcW w:w="1768" w:type="dxa"/>
          </w:tcPr>
          <w:p w14:paraId="2E782BF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0.1082</w:t>
            </w:r>
          </w:p>
        </w:tc>
        <w:tc>
          <w:tcPr>
            <w:tcW w:w="1768" w:type="dxa"/>
          </w:tcPr>
          <w:p w14:paraId="533AB87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5.2802</w:t>
            </w:r>
          </w:p>
        </w:tc>
        <w:tc>
          <w:tcPr>
            <w:tcW w:w="1768" w:type="dxa"/>
          </w:tcPr>
          <w:p w14:paraId="0EC4312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0.0000</w:t>
            </w:r>
          </w:p>
        </w:tc>
      </w:tr>
      <w:tr w:rsidR="00DE3F5D" w14:paraId="66A82766"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CDED7D0" w14:textId="77777777" w:rsidR="00DE3F5D" w:rsidRDefault="00E96965">
            <w:r>
              <w:rPr>
                <w:sz w:val="20"/>
              </w:rPr>
              <w:t>Δ VIX</w:t>
            </w:r>
          </w:p>
        </w:tc>
        <w:tc>
          <w:tcPr>
            <w:tcW w:w="1768" w:type="dxa"/>
          </w:tcPr>
          <w:p w14:paraId="4C0A1B3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-0.0077</w:t>
            </w:r>
          </w:p>
        </w:tc>
        <w:tc>
          <w:tcPr>
            <w:tcW w:w="1768" w:type="dxa"/>
          </w:tcPr>
          <w:p w14:paraId="3AC38A0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0.0014</w:t>
            </w:r>
          </w:p>
        </w:tc>
        <w:tc>
          <w:tcPr>
            <w:tcW w:w="1768" w:type="dxa"/>
          </w:tcPr>
          <w:p w14:paraId="7A927E4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-5.4813</w:t>
            </w:r>
          </w:p>
        </w:tc>
        <w:tc>
          <w:tcPr>
            <w:tcW w:w="1768" w:type="dxa"/>
          </w:tcPr>
          <w:p w14:paraId="6103B79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0.0000</w:t>
            </w:r>
          </w:p>
        </w:tc>
      </w:tr>
      <w:tr w:rsidR="00DE3F5D" w14:paraId="71F21CF6"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BFC6FAF" w14:textId="77777777" w:rsidR="00DE3F5D" w:rsidRDefault="00E96965">
            <w:r>
              <w:rPr>
                <w:sz w:val="20"/>
              </w:rPr>
              <w:t>Δ Fed Funds</w:t>
            </w:r>
          </w:p>
        </w:tc>
        <w:tc>
          <w:tcPr>
            <w:tcW w:w="1768" w:type="dxa"/>
          </w:tcPr>
          <w:p w14:paraId="7E55818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0.0196</w:t>
            </w:r>
          </w:p>
        </w:tc>
        <w:tc>
          <w:tcPr>
            <w:tcW w:w="1768" w:type="dxa"/>
          </w:tcPr>
          <w:p w14:paraId="3157535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0.0208</w:t>
            </w:r>
          </w:p>
        </w:tc>
        <w:tc>
          <w:tcPr>
            <w:tcW w:w="1768" w:type="dxa"/>
          </w:tcPr>
          <w:p w14:paraId="7E25F48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0.9447</w:t>
            </w:r>
          </w:p>
        </w:tc>
        <w:tc>
          <w:tcPr>
            <w:tcW w:w="1768" w:type="dxa"/>
          </w:tcPr>
          <w:p w14:paraId="1122751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0.3450</w:t>
            </w:r>
          </w:p>
        </w:tc>
      </w:tr>
      <w:tr w:rsidR="00DE3F5D" w14:paraId="366D8F8C"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04DF902" w14:textId="77777777" w:rsidR="00DE3F5D" w:rsidRDefault="00E96965">
            <w:r>
              <w:rPr>
                <w:sz w:val="20"/>
              </w:rPr>
              <w:t>Δ Treasury 10Y</w:t>
            </w:r>
          </w:p>
        </w:tc>
        <w:tc>
          <w:tcPr>
            <w:tcW w:w="1768" w:type="dxa"/>
          </w:tcPr>
          <w:p w14:paraId="7A56B47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0.0226</w:t>
            </w:r>
          </w:p>
        </w:tc>
        <w:tc>
          <w:tcPr>
            <w:tcW w:w="1768" w:type="dxa"/>
          </w:tcPr>
          <w:p w14:paraId="6B55307C"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0.0256</w:t>
            </w:r>
          </w:p>
        </w:tc>
        <w:tc>
          <w:tcPr>
            <w:tcW w:w="1768" w:type="dxa"/>
          </w:tcPr>
          <w:p w14:paraId="3E31F25E"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0.8851</w:t>
            </w:r>
          </w:p>
        </w:tc>
        <w:tc>
          <w:tcPr>
            <w:tcW w:w="1768" w:type="dxa"/>
          </w:tcPr>
          <w:p w14:paraId="1D2BDA9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0.3763</w:t>
            </w:r>
          </w:p>
        </w:tc>
      </w:tr>
      <w:tr w:rsidR="00DE3F5D" w14:paraId="22CB898C"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428CCA5" w14:textId="77777777" w:rsidR="00DE3F5D" w:rsidRDefault="00E96965">
            <w:r>
              <w:rPr>
                <w:sz w:val="20"/>
              </w:rPr>
              <w:t>Δ TC CLP</w:t>
            </w:r>
          </w:p>
        </w:tc>
        <w:tc>
          <w:tcPr>
            <w:tcW w:w="1768" w:type="dxa"/>
          </w:tcPr>
          <w:p w14:paraId="4C3FA72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-1.5735</w:t>
            </w:r>
          </w:p>
        </w:tc>
        <w:tc>
          <w:tcPr>
            <w:tcW w:w="1768" w:type="dxa"/>
          </w:tcPr>
          <w:p w14:paraId="40FCCC3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0.4011</w:t>
            </w:r>
          </w:p>
        </w:tc>
        <w:tc>
          <w:tcPr>
            <w:tcW w:w="1768" w:type="dxa"/>
          </w:tcPr>
          <w:p w14:paraId="3D32A77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-3.9228</w:t>
            </w:r>
          </w:p>
        </w:tc>
        <w:tc>
          <w:tcPr>
            <w:tcW w:w="1768" w:type="dxa"/>
          </w:tcPr>
          <w:p w14:paraId="5B4FE33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0.0001</w:t>
            </w:r>
          </w:p>
        </w:tc>
      </w:tr>
      <w:tr w:rsidR="00DE3F5D" w14:paraId="57EAA04F"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56882EB" w14:textId="77777777" w:rsidR="00DE3F5D" w:rsidRDefault="00E96965">
            <w:r>
              <w:rPr>
                <w:sz w:val="20"/>
              </w:rPr>
              <w:t>Δ Tasa local</w:t>
            </w:r>
          </w:p>
        </w:tc>
        <w:tc>
          <w:tcPr>
            <w:tcW w:w="1768" w:type="dxa"/>
          </w:tcPr>
          <w:p w14:paraId="4573610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-0.0073</w:t>
            </w:r>
          </w:p>
        </w:tc>
        <w:tc>
          <w:tcPr>
            <w:tcW w:w="1768" w:type="dxa"/>
          </w:tcPr>
          <w:p w14:paraId="765DA2C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0.0167</w:t>
            </w:r>
          </w:p>
        </w:tc>
        <w:tc>
          <w:tcPr>
            <w:tcW w:w="1768" w:type="dxa"/>
          </w:tcPr>
          <w:p w14:paraId="013B963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-0.4371</w:t>
            </w:r>
          </w:p>
        </w:tc>
        <w:tc>
          <w:tcPr>
            <w:tcW w:w="1768" w:type="dxa"/>
          </w:tcPr>
          <w:p w14:paraId="65FDE29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0.6621</w:t>
            </w:r>
          </w:p>
        </w:tc>
      </w:tr>
      <w:tr w:rsidR="00DE3F5D" w14:paraId="3DB48241"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F14D9C1" w14:textId="77777777" w:rsidR="00DE3F5D" w:rsidRDefault="00E96965">
            <w:r>
              <w:rPr>
                <w:sz w:val="20"/>
              </w:rPr>
              <w:t>Δ Actividad local</w:t>
            </w:r>
          </w:p>
        </w:tc>
        <w:tc>
          <w:tcPr>
            <w:tcW w:w="1768" w:type="dxa"/>
          </w:tcPr>
          <w:p w14:paraId="3DF29FE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-0.5231</w:t>
            </w:r>
          </w:p>
        </w:tc>
        <w:tc>
          <w:tcPr>
            <w:tcW w:w="1768" w:type="dxa"/>
          </w:tcPr>
          <w:p w14:paraId="1FED0BC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0.2946</w:t>
            </w:r>
          </w:p>
        </w:tc>
        <w:tc>
          <w:tcPr>
            <w:tcW w:w="1768" w:type="dxa"/>
          </w:tcPr>
          <w:p w14:paraId="63E9A73C"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-1.7754</w:t>
            </w:r>
          </w:p>
        </w:tc>
        <w:tc>
          <w:tcPr>
            <w:tcW w:w="1768" w:type="dxa"/>
          </w:tcPr>
          <w:p w14:paraId="15C18FC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0.0761</w:t>
            </w:r>
          </w:p>
        </w:tc>
      </w:tr>
    </w:tbl>
    <w:p w14:paraId="50F5D8B8" w14:textId="77777777" w:rsidR="00DE3F5D" w:rsidRDefault="00DE3F5D"/>
    <w:p w14:paraId="0287F446" w14:textId="77777777" w:rsidR="00DE3F5D" w:rsidRDefault="00E96965">
      <w:r>
        <w:t xml:space="preserve">N = 1080; R² = 0.2446; </w:t>
      </w:r>
      <w:r>
        <w:t>empresas = 5.</w:t>
      </w:r>
    </w:p>
    <w:p w14:paraId="34B2C459" w14:textId="77777777" w:rsidR="00DE3F5D" w:rsidRDefault="00E96965">
      <w:pPr>
        <w:pStyle w:val="Ttulo3"/>
      </w:pPr>
      <w:bookmarkStart w:id="77" w:name="_Toc231081592"/>
      <w:r>
        <w:t>D.2 Muestra A — cobre, mercado chileno (Pucobre)</w:t>
      </w:r>
      <w:bookmarkEnd w:id="77"/>
    </w:p>
    <w:p w14:paraId="49235689" w14:textId="0977F76F" w:rsidR="00DE3F5D" w:rsidRDefault="00E96965">
      <w:pPr>
        <w:pStyle w:val="Descripcin"/>
        <w:jc w:val="center"/>
      </w:pPr>
      <w:bookmarkStart w:id="78" w:name="_Toc231081607"/>
      <w:r>
        <w:rPr>
          <w:sz w:val="20"/>
        </w:rPr>
        <w:t xml:space="preserve">Tabla </w:t>
      </w:r>
      <w:r>
        <w:fldChar w:fldCharType="begin"/>
      </w:r>
      <w:r>
        <w:instrText xml:space="preserve"> SEQ Tabla \* ARABIC </w:instrText>
      </w:r>
      <w:r>
        <w:fldChar w:fldCharType="separate"/>
      </w:r>
      <w:r>
        <w:rPr>
          <w:noProof/>
        </w:rPr>
        <w:t>9</w:t>
      </w:r>
      <w:r>
        <w:fldChar w:fldCharType="end"/>
      </w:r>
      <w:r>
        <w:rPr>
          <w:sz w:val="20"/>
        </w:rPr>
        <w:t>.</w:t>
      </w:r>
      <w:bookmarkEnd w:id="78"/>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DE3F5D" w14:paraId="050790DC"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BBBAC32" w14:textId="77777777" w:rsidR="00DE3F5D" w:rsidRDefault="00E96965">
            <w:r>
              <w:rPr>
                <w:sz w:val="20"/>
              </w:rPr>
              <w:t>Regresor</w:t>
            </w:r>
          </w:p>
        </w:tc>
        <w:tc>
          <w:tcPr>
            <w:tcW w:w="1768" w:type="dxa"/>
          </w:tcPr>
          <w:p w14:paraId="19C9DF9F"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70948823"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0D379B75"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29538AFB"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p-valor</w:t>
            </w:r>
          </w:p>
        </w:tc>
      </w:tr>
      <w:tr w:rsidR="00DE3F5D" w14:paraId="362E08FF"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E4CFAF4" w14:textId="77777777" w:rsidR="00DE3F5D" w:rsidRDefault="00E96965">
            <w:r>
              <w:rPr>
                <w:sz w:val="20"/>
              </w:rPr>
              <w:t>Constante</w:t>
            </w:r>
          </w:p>
        </w:tc>
        <w:tc>
          <w:tcPr>
            <w:tcW w:w="1768" w:type="dxa"/>
          </w:tcPr>
          <w:p w14:paraId="3A440A8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0.0024</w:t>
            </w:r>
          </w:p>
        </w:tc>
        <w:tc>
          <w:tcPr>
            <w:tcW w:w="1768" w:type="dxa"/>
          </w:tcPr>
          <w:p w14:paraId="5F53C29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0.0038</w:t>
            </w:r>
          </w:p>
        </w:tc>
        <w:tc>
          <w:tcPr>
            <w:tcW w:w="1768" w:type="dxa"/>
          </w:tcPr>
          <w:p w14:paraId="2B5DF36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0.6179</w:t>
            </w:r>
          </w:p>
        </w:tc>
        <w:tc>
          <w:tcPr>
            <w:tcW w:w="1768" w:type="dxa"/>
          </w:tcPr>
          <w:p w14:paraId="4E4E8AC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0.5367</w:t>
            </w:r>
          </w:p>
        </w:tc>
      </w:tr>
      <w:tr w:rsidR="00DE3F5D" w14:paraId="3B47F331"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F1BF448" w14:textId="77777777" w:rsidR="00DE3F5D" w:rsidRDefault="00E96965">
            <w:r>
              <w:rPr>
                <w:sz w:val="20"/>
              </w:rPr>
              <w:t>Δ Cobre</w:t>
            </w:r>
          </w:p>
        </w:tc>
        <w:tc>
          <w:tcPr>
            <w:tcW w:w="1768" w:type="dxa"/>
          </w:tcPr>
          <w:p w14:paraId="0E77393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0.6308</w:t>
            </w:r>
          </w:p>
        </w:tc>
        <w:tc>
          <w:tcPr>
            <w:tcW w:w="1768" w:type="dxa"/>
          </w:tcPr>
          <w:p w14:paraId="0EDB8CC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0.0851</w:t>
            </w:r>
          </w:p>
        </w:tc>
        <w:tc>
          <w:tcPr>
            <w:tcW w:w="1768" w:type="dxa"/>
          </w:tcPr>
          <w:p w14:paraId="17B4DAA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7.4143</w:t>
            </w:r>
          </w:p>
        </w:tc>
        <w:tc>
          <w:tcPr>
            <w:tcW w:w="1768" w:type="dxa"/>
          </w:tcPr>
          <w:p w14:paraId="103423A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0.0000</w:t>
            </w:r>
          </w:p>
        </w:tc>
      </w:tr>
      <w:tr w:rsidR="00DE3F5D" w14:paraId="62D120F5"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2496382" w14:textId="77777777" w:rsidR="00DE3F5D" w:rsidRDefault="00E96965">
            <w:r>
              <w:rPr>
                <w:sz w:val="20"/>
              </w:rPr>
              <w:t>Δ VIX</w:t>
            </w:r>
          </w:p>
        </w:tc>
        <w:tc>
          <w:tcPr>
            <w:tcW w:w="1768" w:type="dxa"/>
          </w:tcPr>
          <w:p w14:paraId="647B61B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6C60B47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0.0009</w:t>
            </w:r>
          </w:p>
        </w:tc>
        <w:tc>
          <w:tcPr>
            <w:tcW w:w="1768" w:type="dxa"/>
          </w:tcPr>
          <w:p w14:paraId="54F85D9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-3.7113</w:t>
            </w:r>
          </w:p>
        </w:tc>
        <w:tc>
          <w:tcPr>
            <w:tcW w:w="1768" w:type="dxa"/>
          </w:tcPr>
          <w:p w14:paraId="572C8AAE"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0.0002</w:t>
            </w:r>
          </w:p>
        </w:tc>
      </w:tr>
      <w:tr w:rsidR="00DE3F5D" w14:paraId="4498756E"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BEA387D" w14:textId="77777777" w:rsidR="00DE3F5D" w:rsidRDefault="00E96965">
            <w:r>
              <w:rPr>
                <w:sz w:val="20"/>
              </w:rPr>
              <w:t xml:space="preserve">Δ Fed </w:t>
            </w:r>
            <w:r>
              <w:rPr>
                <w:sz w:val="20"/>
              </w:rPr>
              <w:t>Funds</w:t>
            </w:r>
          </w:p>
        </w:tc>
        <w:tc>
          <w:tcPr>
            <w:tcW w:w="1768" w:type="dxa"/>
          </w:tcPr>
          <w:p w14:paraId="3385D2F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-0.0025</w:t>
            </w:r>
          </w:p>
        </w:tc>
        <w:tc>
          <w:tcPr>
            <w:tcW w:w="1768" w:type="dxa"/>
          </w:tcPr>
          <w:p w14:paraId="2FFA8F5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0.0232</w:t>
            </w:r>
          </w:p>
        </w:tc>
        <w:tc>
          <w:tcPr>
            <w:tcW w:w="1768" w:type="dxa"/>
          </w:tcPr>
          <w:p w14:paraId="3A58E48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-0.1100</w:t>
            </w:r>
          </w:p>
        </w:tc>
        <w:tc>
          <w:tcPr>
            <w:tcW w:w="1768" w:type="dxa"/>
          </w:tcPr>
          <w:p w14:paraId="7F42E6A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0.9124</w:t>
            </w:r>
          </w:p>
        </w:tc>
      </w:tr>
      <w:tr w:rsidR="00DE3F5D" w14:paraId="7D5E50ED"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7DDDD19" w14:textId="77777777" w:rsidR="00DE3F5D" w:rsidRDefault="00E96965">
            <w:r>
              <w:rPr>
                <w:sz w:val="20"/>
              </w:rPr>
              <w:t>Δ Treasury 10Y</w:t>
            </w:r>
          </w:p>
        </w:tc>
        <w:tc>
          <w:tcPr>
            <w:tcW w:w="1768" w:type="dxa"/>
          </w:tcPr>
          <w:p w14:paraId="0577BD4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0.0467</w:t>
            </w:r>
          </w:p>
        </w:tc>
        <w:tc>
          <w:tcPr>
            <w:tcW w:w="1768" w:type="dxa"/>
          </w:tcPr>
          <w:p w14:paraId="5DA54BA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0.0159</w:t>
            </w:r>
          </w:p>
        </w:tc>
        <w:tc>
          <w:tcPr>
            <w:tcW w:w="1768" w:type="dxa"/>
          </w:tcPr>
          <w:p w14:paraId="2953E6A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2.9308</w:t>
            </w:r>
          </w:p>
        </w:tc>
        <w:tc>
          <w:tcPr>
            <w:tcW w:w="1768" w:type="dxa"/>
          </w:tcPr>
          <w:p w14:paraId="12C3D20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0.0034</w:t>
            </w:r>
          </w:p>
        </w:tc>
      </w:tr>
      <w:tr w:rsidR="00DE3F5D" w14:paraId="63EDCBFF"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6539F3E" w14:textId="77777777" w:rsidR="00DE3F5D" w:rsidRDefault="00E96965">
            <w:r>
              <w:rPr>
                <w:sz w:val="20"/>
              </w:rPr>
              <w:t>Δ TC CLP</w:t>
            </w:r>
          </w:p>
        </w:tc>
        <w:tc>
          <w:tcPr>
            <w:tcW w:w="1768" w:type="dxa"/>
          </w:tcPr>
          <w:p w14:paraId="7110CCD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0.1041</w:t>
            </w:r>
          </w:p>
        </w:tc>
        <w:tc>
          <w:tcPr>
            <w:tcW w:w="1768" w:type="dxa"/>
          </w:tcPr>
          <w:p w14:paraId="2C8F1A3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0.3186</w:t>
            </w:r>
          </w:p>
        </w:tc>
        <w:tc>
          <w:tcPr>
            <w:tcW w:w="1768" w:type="dxa"/>
          </w:tcPr>
          <w:p w14:paraId="08EE709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0.3267</w:t>
            </w:r>
          </w:p>
        </w:tc>
        <w:tc>
          <w:tcPr>
            <w:tcW w:w="1768" w:type="dxa"/>
          </w:tcPr>
          <w:p w14:paraId="3E6280A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0.7439</w:t>
            </w:r>
          </w:p>
        </w:tc>
      </w:tr>
      <w:tr w:rsidR="00DE3F5D" w14:paraId="6D6662CE"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4B7ED39" w14:textId="77777777" w:rsidR="00DE3F5D" w:rsidRDefault="00E96965">
            <w:r>
              <w:rPr>
                <w:sz w:val="20"/>
              </w:rPr>
              <w:lastRenderedPageBreak/>
              <w:t>Δ Tasa local</w:t>
            </w:r>
          </w:p>
        </w:tc>
        <w:tc>
          <w:tcPr>
            <w:tcW w:w="1768" w:type="dxa"/>
          </w:tcPr>
          <w:p w14:paraId="0F1479A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1F8BBC4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0.0153</w:t>
            </w:r>
          </w:p>
        </w:tc>
        <w:tc>
          <w:tcPr>
            <w:tcW w:w="1768" w:type="dxa"/>
          </w:tcPr>
          <w:p w14:paraId="4EC1F97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-0.2254</w:t>
            </w:r>
          </w:p>
        </w:tc>
        <w:tc>
          <w:tcPr>
            <w:tcW w:w="1768" w:type="dxa"/>
          </w:tcPr>
          <w:p w14:paraId="028CC4C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0.8217</w:t>
            </w:r>
          </w:p>
        </w:tc>
      </w:tr>
      <w:tr w:rsidR="00DE3F5D" w14:paraId="216BB698"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BE9687C" w14:textId="77777777" w:rsidR="00DE3F5D" w:rsidRDefault="00E96965">
            <w:r>
              <w:rPr>
                <w:sz w:val="20"/>
              </w:rPr>
              <w:t>Δ Actividad local</w:t>
            </w:r>
          </w:p>
        </w:tc>
        <w:tc>
          <w:tcPr>
            <w:tcW w:w="1768" w:type="dxa"/>
          </w:tcPr>
          <w:p w14:paraId="145A19F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0.2122</w:t>
            </w:r>
          </w:p>
        </w:tc>
        <w:tc>
          <w:tcPr>
            <w:tcW w:w="1768" w:type="dxa"/>
          </w:tcPr>
          <w:p w14:paraId="5FA2E60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0.2660</w:t>
            </w:r>
          </w:p>
        </w:tc>
        <w:tc>
          <w:tcPr>
            <w:tcW w:w="1768" w:type="dxa"/>
          </w:tcPr>
          <w:p w14:paraId="0760925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0.7976</w:t>
            </w:r>
          </w:p>
        </w:tc>
        <w:tc>
          <w:tcPr>
            <w:tcW w:w="1768" w:type="dxa"/>
          </w:tcPr>
          <w:p w14:paraId="1ED9B7C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0.4251</w:t>
            </w:r>
          </w:p>
        </w:tc>
      </w:tr>
    </w:tbl>
    <w:p w14:paraId="3C489745" w14:textId="77777777" w:rsidR="00DE3F5D" w:rsidRDefault="00DE3F5D"/>
    <w:p w14:paraId="47E018CB" w14:textId="77777777" w:rsidR="00DE3F5D" w:rsidRDefault="00E96965">
      <w:r>
        <w:t>N = 216; R² = 0.3305; empresas = 1.</w:t>
      </w:r>
    </w:p>
    <w:p w14:paraId="7B23FEB5" w14:textId="77777777" w:rsidR="00DE3F5D" w:rsidRDefault="00E96965">
      <w:pPr>
        <w:pStyle w:val="Ttulo3"/>
      </w:pPr>
      <w:bookmarkStart w:id="79" w:name="_Toc231081593"/>
      <w:r>
        <w:t xml:space="preserve">D.3 </w:t>
      </w:r>
      <w:r>
        <w:t>Muestra C — sector minero, mercado chileno</w:t>
      </w:r>
      <w:bookmarkEnd w:id="79"/>
    </w:p>
    <w:p w14:paraId="2EEF533A" w14:textId="5C2ACCBA" w:rsidR="00DE3F5D" w:rsidRDefault="00E96965">
      <w:pPr>
        <w:pStyle w:val="Descripcin"/>
        <w:jc w:val="center"/>
      </w:pPr>
      <w:bookmarkStart w:id="80" w:name="_Toc231081608"/>
      <w:r>
        <w:rPr>
          <w:sz w:val="20"/>
        </w:rPr>
        <w:t xml:space="preserve">Tabla </w:t>
      </w:r>
      <w:r>
        <w:fldChar w:fldCharType="begin"/>
      </w:r>
      <w:r>
        <w:instrText xml:space="preserve"> SEQ Tabla \* ARABIC </w:instrText>
      </w:r>
      <w:r>
        <w:fldChar w:fldCharType="separate"/>
      </w:r>
      <w:r>
        <w:rPr>
          <w:noProof/>
        </w:rPr>
        <w:t>10</w:t>
      </w:r>
      <w:r>
        <w:fldChar w:fldCharType="end"/>
      </w:r>
      <w:r>
        <w:rPr>
          <w:sz w:val="20"/>
        </w:rPr>
        <w:t>.</w:t>
      </w:r>
      <w:bookmarkEnd w:id="80"/>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DE3F5D" w14:paraId="0E76C078"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E589A15" w14:textId="77777777" w:rsidR="00DE3F5D" w:rsidRDefault="00E96965">
            <w:r>
              <w:rPr>
                <w:sz w:val="20"/>
              </w:rPr>
              <w:t>Regresor</w:t>
            </w:r>
          </w:p>
        </w:tc>
        <w:tc>
          <w:tcPr>
            <w:tcW w:w="1768" w:type="dxa"/>
          </w:tcPr>
          <w:p w14:paraId="181BF272"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0330B897"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7F261CAB"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7426C594"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p-valor</w:t>
            </w:r>
          </w:p>
        </w:tc>
      </w:tr>
      <w:tr w:rsidR="00DE3F5D" w14:paraId="540B14DD"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CC27F40" w14:textId="77777777" w:rsidR="00DE3F5D" w:rsidRDefault="00E96965">
            <w:r>
              <w:rPr>
                <w:sz w:val="20"/>
              </w:rPr>
              <w:t>Constante</w:t>
            </w:r>
          </w:p>
        </w:tc>
        <w:tc>
          <w:tcPr>
            <w:tcW w:w="1768" w:type="dxa"/>
          </w:tcPr>
          <w:p w14:paraId="4C98BB4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0.0071</w:t>
            </w:r>
          </w:p>
        </w:tc>
        <w:tc>
          <w:tcPr>
            <w:tcW w:w="1768" w:type="dxa"/>
          </w:tcPr>
          <w:p w14:paraId="1A55648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0.0044</w:t>
            </w:r>
          </w:p>
        </w:tc>
        <w:tc>
          <w:tcPr>
            <w:tcW w:w="1768" w:type="dxa"/>
          </w:tcPr>
          <w:p w14:paraId="58FEE27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1.6123</w:t>
            </w:r>
          </w:p>
        </w:tc>
        <w:tc>
          <w:tcPr>
            <w:tcW w:w="1768" w:type="dxa"/>
          </w:tcPr>
          <w:p w14:paraId="4543C5E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0.1073</w:t>
            </w:r>
          </w:p>
        </w:tc>
      </w:tr>
      <w:tr w:rsidR="00DE3F5D" w14:paraId="58104C82"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82C511B" w14:textId="77777777" w:rsidR="00DE3F5D" w:rsidRDefault="00E96965">
            <w:r>
              <w:rPr>
                <w:sz w:val="20"/>
              </w:rPr>
              <w:t>Δ Cobre</w:t>
            </w:r>
          </w:p>
        </w:tc>
        <w:tc>
          <w:tcPr>
            <w:tcW w:w="1768" w:type="dxa"/>
          </w:tcPr>
          <w:p w14:paraId="6730451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0.4185</w:t>
            </w:r>
          </w:p>
        </w:tc>
        <w:tc>
          <w:tcPr>
            <w:tcW w:w="1768" w:type="dxa"/>
          </w:tcPr>
          <w:p w14:paraId="41D7336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0.0669</w:t>
            </w:r>
          </w:p>
        </w:tc>
        <w:tc>
          <w:tcPr>
            <w:tcW w:w="1768" w:type="dxa"/>
          </w:tcPr>
          <w:p w14:paraId="77DB20F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6.2597</w:t>
            </w:r>
          </w:p>
        </w:tc>
        <w:tc>
          <w:tcPr>
            <w:tcW w:w="1768" w:type="dxa"/>
          </w:tcPr>
          <w:p w14:paraId="2C8DD42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0.0000</w:t>
            </w:r>
          </w:p>
        </w:tc>
      </w:tr>
      <w:tr w:rsidR="00DE3F5D" w14:paraId="0E3F94F8"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453F27E" w14:textId="77777777" w:rsidR="00DE3F5D" w:rsidRDefault="00E96965">
            <w:r>
              <w:rPr>
                <w:sz w:val="20"/>
              </w:rPr>
              <w:t>Δ VIX</w:t>
            </w:r>
          </w:p>
        </w:tc>
        <w:tc>
          <w:tcPr>
            <w:tcW w:w="1768" w:type="dxa"/>
          </w:tcPr>
          <w:p w14:paraId="238A886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149F3C2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0.0008</w:t>
            </w:r>
          </w:p>
        </w:tc>
        <w:tc>
          <w:tcPr>
            <w:tcW w:w="1768" w:type="dxa"/>
          </w:tcPr>
          <w:p w14:paraId="3BD32CC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-3.9640</w:t>
            </w:r>
          </w:p>
        </w:tc>
        <w:tc>
          <w:tcPr>
            <w:tcW w:w="1768" w:type="dxa"/>
          </w:tcPr>
          <w:p w14:paraId="2F69F09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0.0001</w:t>
            </w:r>
          </w:p>
        </w:tc>
      </w:tr>
      <w:tr w:rsidR="00DE3F5D" w14:paraId="40407A9E"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842A5D7" w14:textId="77777777" w:rsidR="00DE3F5D" w:rsidRDefault="00E96965">
            <w:r>
              <w:rPr>
                <w:sz w:val="20"/>
              </w:rPr>
              <w:t>Δ Fed Funds</w:t>
            </w:r>
          </w:p>
        </w:tc>
        <w:tc>
          <w:tcPr>
            <w:tcW w:w="1768" w:type="dxa"/>
          </w:tcPr>
          <w:p w14:paraId="6FE10856"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0.0153</w:t>
            </w:r>
          </w:p>
        </w:tc>
        <w:tc>
          <w:tcPr>
            <w:tcW w:w="1768" w:type="dxa"/>
          </w:tcPr>
          <w:p w14:paraId="2709C64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0.0269</w:t>
            </w:r>
          </w:p>
        </w:tc>
        <w:tc>
          <w:tcPr>
            <w:tcW w:w="1768" w:type="dxa"/>
          </w:tcPr>
          <w:p w14:paraId="3D084F2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0.5680</w:t>
            </w:r>
          </w:p>
        </w:tc>
        <w:tc>
          <w:tcPr>
            <w:tcW w:w="1768" w:type="dxa"/>
          </w:tcPr>
          <w:p w14:paraId="02D1A8AC"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0.5702</w:t>
            </w:r>
          </w:p>
        </w:tc>
      </w:tr>
      <w:tr w:rsidR="00DE3F5D" w14:paraId="2BBCBA4E"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4ACD8B8" w14:textId="77777777" w:rsidR="00DE3F5D" w:rsidRDefault="00E96965">
            <w:r>
              <w:rPr>
                <w:sz w:val="20"/>
              </w:rPr>
              <w:t>Δ Treasury 10Y</w:t>
            </w:r>
          </w:p>
        </w:tc>
        <w:tc>
          <w:tcPr>
            <w:tcW w:w="1768" w:type="dxa"/>
          </w:tcPr>
          <w:p w14:paraId="7602C2B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0.0346</w:t>
            </w:r>
          </w:p>
        </w:tc>
        <w:tc>
          <w:tcPr>
            <w:tcW w:w="1768" w:type="dxa"/>
          </w:tcPr>
          <w:p w14:paraId="62F5B9D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0.0180</w:t>
            </w:r>
          </w:p>
        </w:tc>
        <w:tc>
          <w:tcPr>
            <w:tcW w:w="1768" w:type="dxa"/>
          </w:tcPr>
          <w:p w14:paraId="07E6ECE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1.9229</w:t>
            </w:r>
          </w:p>
        </w:tc>
        <w:tc>
          <w:tcPr>
            <w:tcW w:w="1768" w:type="dxa"/>
          </w:tcPr>
          <w:p w14:paraId="411A5F0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0.0548</w:t>
            </w:r>
          </w:p>
        </w:tc>
      </w:tr>
      <w:tr w:rsidR="00DE3F5D" w14:paraId="4EF4B4E0"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2441A9B" w14:textId="77777777" w:rsidR="00DE3F5D" w:rsidRDefault="00E96965">
            <w:r>
              <w:rPr>
                <w:sz w:val="20"/>
              </w:rPr>
              <w:t>Δ TC CLP</w:t>
            </w:r>
          </w:p>
        </w:tc>
        <w:tc>
          <w:tcPr>
            <w:tcW w:w="1768" w:type="dxa"/>
          </w:tcPr>
          <w:p w14:paraId="09BD5EB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-0.6474</w:t>
            </w:r>
          </w:p>
        </w:tc>
        <w:tc>
          <w:tcPr>
            <w:tcW w:w="1768" w:type="dxa"/>
          </w:tcPr>
          <w:p w14:paraId="40E8358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0.3140</w:t>
            </w:r>
          </w:p>
        </w:tc>
        <w:tc>
          <w:tcPr>
            <w:tcW w:w="1768" w:type="dxa"/>
          </w:tcPr>
          <w:p w14:paraId="2759733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-2.0620</w:t>
            </w:r>
          </w:p>
        </w:tc>
        <w:tc>
          <w:tcPr>
            <w:tcW w:w="1768" w:type="dxa"/>
          </w:tcPr>
          <w:p w14:paraId="2DA5DBF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0.0395</w:t>
            </w:r>
          </w:p>
        </w:tc>
      </w:tr>
      <w:tr w:rsidR="00DE3F5D" w14:paraId="2EFA97A1"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CCBD1EA" w14:textId="77777777" w:rsidR="00DE3F5D" w:rsidRDefault="00E96965">
            <w:r>
              <w:rPr>
                <w:sz w:val="20"/>
              </w:rPr>
              <w:t>Δ Tasa local</w:t>
            </w:r>
          </w:p>
        </w:tc>
        <w:tc>
          <w:tcPr>
            <w:tcW w:w="1768" w:type="dxa"/>
          </w:tcPr>
          <w:p w14:paraId="5240BDF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0.0096</w:t>
            </w:r>
          </w:p>
        </w:tc>
        <w:tc>
          <w:tcPr>
            <w:tcW w:w="1768" w:type="dxa"/>
          </w:tcPr>
          <w:p w14:paraId="18C5BE2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0.0106</w:t>
            </w:r>
          </w:p>
        </w:tc>
        <w:tc>
          <w:tcPr>
            <w:tcW w:w="1768" w:type="dxa"/>
          </w:tcPr>
          <w:p w14:paraId="751B86F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0.9062</w:t>
            </w:r>
          </w:p>
        </w:tc>
        <w:tc>
          <w:tcPr>
            <w:tcW w:w="1768" w:type="dxa"/>
          </w:tcPr>
          <w:p w14:paraId="3C15E4E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0.3651</w:t>
            </w:r>
          </w:p>
        </w:tc>
      </w:tr>
      <w:tr w:rsidR="00DE3F5D" w14:paraId="184B132D"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E97DA0C" w14:textId="77777777" w:rsidR="00DE3F5D" w:rsidRDefault="00E96965">
            <w:r>
              <w:rPr>
                <w:sz w:val="20"/>
              </w:rPr>
              <w:t>Δ Actividad local</w:t>
            </w:r>
          </w:p>
        </w:tc>
        <w:tc>
          <w:tcPr>
            <w:tcW w:w="1768" w:type="dxa"/>
          </w:tcPr>
          <w:p w14:paraId="0294E10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-0.0784</w:t>
            </w:r>
          </w:p>
        </w:tc>
        <w:tc>
          <w:tcPr>
            <w:tcW w:w="1768" w:type="dxa"/>
          </w:tcPr>
          <w:p w14:paraId="248A1EF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0.1577</w:t>
            </w:r>
          </w:p>
        </w:tc>
        <w:tc>
          <w:tcPr>
            <w:tcW w:w="1768" w:type="dxa"/>
          </w:tcPr>
          <w:p w14:paraId="61D1C304"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-0.4970</w:t>
            </w:r>
          </w:p>
        </w:tc>
        <w:tc>
          <w:tcPr>
            <w:tcW w:w="1768" w:type="dxa"/>
          </w:tcPr>
          <w:p w14:paraId="47335B8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0.6193</w:t>
            </w:r>
          </w:p>
        </w:tc>
      </w:tr>
    </w:tbl>
    <w:p w14:paraId="132B639E" w14:textId="77777777" w:rsidR="00DE3F5D" w:rsidRDefault="00DE3F5D"/>
    <w:p w14:paraId="029955B5" w14:textId="77777777" w:rsidR="00DE3F5D" w:rsidRDefault="00E96965">
      <w:r>
        <w:t>N = 864; R² = 0.1132; empresas = 4.</w:t>
      </w:r>
    </w:p>
    <w:p w14:paraId="4F79A1CC" w14:textId="77777777" w:rsidR="00DE3F5D" w:rsidRDefault="00E96965">
      <w:pPr>
        <w:pStyle w:val="Ttulo2"/>
      </w:pPr>
      <w:bookmarkStart w:id="81" w:name="_Toc231081594"/>
      <w:r>
        <w:t xml:space="preserve">Anexo E. </w:t>
      </w:r>
      <w:r>
        <w:t>Cointegración (test de Johansen)</w:t>
      </w:r>
      <w:bookmarkEnd w:id="81"/>
    </w:p>
    <w:p w14:paraId="0840ECED" w14:textId="3A37CB13" w:rsidR="00DE3F5D" w:rsidRDefault="00E96965">
      <w:pPr>
        <w:pStyle w:val="Descripcin"/>
        <w:jc w:val="center"/>
      </w:pPr>
      <w:bookmarkStart w:id="82" w:name="_Toc231081609"/>
      <w:r>
        <w:rPr>
          <w:sz w:val="20"/>
        </w:rPr>
        <w:t xml:space="preserve">Tabla </w:t>
      </w:r>
      <w:r>
        <w:fldChar w:fldCharType="begin"/>
      </w:r>
      <w:r>
        <w:instrText xml:space="preserve"> SEQ Tabla \* ARABIC </w:instrText>
      </w:r>
      <w:r>
        <w:fldChar w:fldCharType="separate"/>
      </w:r>
      <w:r>
        <w:rPr>
          <w:noProof/>
        </w:rPr>
        <w:t>11</w:t>
      </w:r>
      <w:r>
        <w:fldChar w:fldCharType="end"/>
      </w:r>
      <w:r>
        <w:rPr>
          <w:sz w:val="20"/>
        </w:rPr>
        <w:t>.</w:t>
      </w:r>
      <w:bookmarkEnd w:id="82"/>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DE3F5D" w14:paraId="17C782AF"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DCDF419" w14:textId="77777777" w:rsidR="00DE3F5D" w:rsidRDefault="00E96965">
            <w:r>
              <w:rPr>
                <w:sz w:val="20"/>
              </w:rPr>
              <w:t>Rango</w:t>
            </w:r>
          </w:p>
        </w:tc>
        <w:tc>
          <w:tcPr>
            <w:tcW w:w="1474" w:type="dxa"/>
          </w:tcPr>
          <w:p w14:paraId="211A3F2C"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Traza</w:t>
            </w:r>
          </w:p>
        </w:tc>
        <w:tc>
          <w:tcPr>
            <w:tcW w:w="1474" w:type="dxa"/>
          </w:tcPr>
          <w:p w14:paraId="06F63788"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VC 95%</w:t>
            </w:r>
          </w:p>
        </w:tc>
        <w:tc>
          <w:tcPr>
            <w:tcW w:w="1474" w:type="dxa"/>
          </w:tcPr>
          <w:p w14:paraId="2EBD06E4"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Máx-Eig</w:t>
            </w:r>
          </w:p>
        </w:tc>
        <w:tc>
          <w:tcPr>
            <w:tcW w:w="1474" w:type="dxa"/>
          </w:tcPr>
          <w:p w14:paraId="24BE324B"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VC 95% (ME)</w:t>
            </w:r>
          </w:p>
        </w:tc>
        <w:tc>
          <w:tcPr>
            <w:tcW w:w="1474" w:type="dxa"/>
          </w:tcPr>
          <w:p w14:paraId="2F9C3C71"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Cointegra</w:t>
            </w:r>
          </w:p>
        </w:tc>
      </w:tr>
      <w:tr w:rsidR="00DE3F5D" w14:paraId="1A637BAB"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BED3FED" w14:textId="77777777" w:rsidR="00DE3F5D" w:rsidRDefault="00E96965">
            <w:r>
              <w:rPr>
                <w:sz w:val="20"/>
              </w:rPr>
              <w:t>r&lt;=0</w:t>
            </w:r>
          </w:p>
        </w:tc>
        <w:tc>
          <w:tcPr>
            <w:tcW w:w="1474" w:type="dxa"/>
          </w:tcPr>
          <w:p w14:paraId="37BA4476"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32.1032</w:t>
            </w:r>
          </w:p>
        </w:tc>
        <w:tc>
          <w:tcPr>
            <w:tcW w:w="1474" w:type="dxa"/>
          </w:tcPr>
          <w:p w14:paraId="7FE122C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29.7961</w:t>
            </w:r>
          </w:p>
        </w:tc>
        <w:tc>
          <w:tcPr>
            <w:tcW w:w="1474" w:type="dxa"/>
          </w:tcPr>
          <w:p w14:paraId="7B002A2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23.0885</w:t>
            </w:r>
          </w:p>
        </w:tc>
        <w:tc>
          <w:tcPr>
            <w:tcW w:w="1474" w:type="dxa"/>
          </w:tcPr>
          <w:p w14:paraId="505EB9D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21.1314</w:t>
            </w:r>
          </w:p>
        </w:tc>
        <w:tc>
          <w:tcPr>
            <w:tcW w:w="1474" w:type="dxa"/>
          </w:tcPr>
          <w:p w14:paraId="5D0B6D0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1.0000</w:t>
            </w:r>
          </w:p>
        </w:tc>
      </w:tr>
      <w:tr w:rsidR="00DE3F5D" w14:paraId="077F368A"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58C10D5" w14:textId="77777777" w:rsidR="00DE3F5D" w:rsidRDefault="00E96965">
            <w:r>
              <w:rPr>
                <w:sz w:val="20"/>
              </w:rPr>
              <w:t>r&lt;=1</w:t>
            </w:r>
          </w:p>
        </w:tc>
        <w:tc>
          <w:tcPr>
            <w:tcW w:w="1474" w:type="dxa"/>
          </w:tcPr>
          <w:p w14:paraId="196EA0A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9.0147</w:t>
            </w:r>
          </w:p>
        </w:tc>
        <w:tc>
          <w:tcPr>
            <w:tcW w:w="1474" w:type="dxa"/>
          </w:tcPr>
          <w:p w14:paraId="4417233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15.4943</w:t>
            </w:r>
          </w:p>
        </w:tc>
        <w:tc>
          <w:tcPr>
            <w:tcW w:w="1474" w:type="dxa"/>
          </w:tcPr>
          <w:p w14:paraId="46AF571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7.0567</w:t>
            </w:r>
          </w:p>
        </w:tc>
        <w:tc>
          <w:tcPr>
            <w:tcW w:w="1474" w:type="dxa"/>
          </w:tcPr>
          <w:p w14:paraId="4FADD4B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14.2639</w:t>
            </w:r>
          </w:p>
        </w:tc>
        <w:tc>
          <w:tcPr>
            <w:tcW w:w="1474" w:type="dxa"/>
          </w:tcPr>
          <w:p w14:paraId="5AC660D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0.0000</w:t>
            </w:r>
          </w:p>
        </w:tc>
      </w:tr>
      <w:tr w:rsidR="00DE3F5D" w14:paraId="01D5E012"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65BF259" w14:textId="77777777" w:rsidR="00DE3F5D" w:rsidRDefault="00E96965">
            <w:r>
              <w:rPr>
                <w:sz w:val="20"/>
              </w:rPr>
              <w:t>r&lt;=2</w:t>
            </w:r>
          </w:p>
        </w:tc>
        <w:tc>
          <w:tcPr>
            <w:tcW w:w="1474" w:type="dxa"/>
          </w:tcPr>
          <w:p w14:paraId="006D0C3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1.9580</w:t>
            </w:r>
          </w:p>
        </w:tc>
        <w:tc>
          <w:tcPr>
            <w:tcW w:w="1474" w:type="dxa"/>
          </w:tcPr>
          <w:p w14:paraId="727B33B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3.8415</w:t>
            </w:r>
          </w:p>
        </w:tc>
        <w:tc>
          <w:tcPr>
            <w:tcW w:w="1474" w:type="dxa"/>
          </w:tcPr>
          <w:p w14:paraId="7B7BA5C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1.9580</w:t>
            </w:r>
          </w:p>
        </w:tc>
        <w:tc>
          <w:tcPr>
            <w:tcW w:w="1474" w:type="dxa"/>
          </w:tcPr>
          <w:p w14:paraId="5192E45C"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3.8415</w:t>
            </w:r>
          </w:p>
        </w:tc>
        <w:tc>
          <w:tcPr>
            <w:tcW w:w="1474" w:type="dxa"/>
          </w:tcPr>
          <w:p w14:paraId="0B4F7205"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0.0000</w:t>
            </w:r>
          </w:p>
        </w:tc>
      </w:tr>
    </w:tbl>
    <w:p w14:paraId="0501B323" w14:textId="77777777" w:rsidR="00DE3F5D" w:rsidRDefault="00DE3F5D"/>
    <w:p w14:paraId="2D41F9B8" w14:textId="77777777" w:rsidR="00DE3F5D" w:rsidRDefault="00E96965">
      <w:pPr>
        <w:pStyle w:val="Ttulo2"/>
      </w:pPr>
      <w:bookmarkStart w:id="83" w:name="_Toc231081595"/>
      <w:r>
        <w:t>Anexo F. Descomposición de varianza (FEVD) por horizonte — muestra B</w:t>
      </w:r>
      <w:bookmarkEnd w:id="83"/>
    </w:p>
    <w:p w14:paraId="5715D48F" w14:textId="0A48611C" w:rsidR="00DE3F5D" w:rsidRDefault="00E96965">
      <w:pPr>
        <w:pStyle w:val="Descripcin"/>
        <w:jc w:val="center"/>
      </w:pPr>
      <w:bookmarkStart w:id="84" w:name="_Toc231081610"/>
      <w:r>
        <w:rPr>
          <w:sz w:val="20"/>
        </w:rPr>
        <w:t xml:space="preserve">Tabla </w:t>
      </w:r>
      <w:r>
        <w:fldChar w:fldCharType="begin"/>
      </w:r>
      <w:r>
        <w:instrText xml:space="preserve"> SEQ Tabla \* ARABIC </w:instrText>
      </w:r>
      <w:r>
        <w:fldChar w:fldCharType="separate"/>
      </w:r>
      <w:r>
        <w:rPr>
          <w:noProof/>
        </w:rPr>
        <w:t>12</w:t>
      </w:r>
      <w:r>
        <w:fldChar w:fldCharType="end"/>
      </w:r>
      <w:r>
        <w:rPr>
          <w:sz w:val="20"/>
        </w:rPr>
        <w:t>.</w:t>
      </w:r>
      <w:bookmarkEnd w:id="84"/>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DE3F5D" w14:paraId="7FF6FD2A"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B8862E6" w14:textId="77777777" w:rsidR="00DE3F5D" w:rsidRDefault="00E96965">
            <w:r>
              <w:rPr>
                <w:sz w:val="20"/>
              </w:rPr>
              <w:lastRenderedPageBreak/>
              <w:t>Horizonte</w:t>
            </w:r>
          </w:p>
        </w:tc>
        <w:tc>
          <w:tcPr>
            <w:tcW w:w="1474" w:type="dxa"/>
          </w:tcPr>
          <w:p w14:paraId="3A471E1F"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Cobre</w:t>
            </w:r>
          </w:p>
        </w:tc>
        <w:tc>
          <w:tcPr>
            <w:tcW w:w="1474" w:type="dxa"/>
          </w:tcPr>
          <w:p w14:paraId="555B5BCF"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VIX</w:t>
            </w:r>
          </w:p>
        </w:tc>
        <w:tc>
          <w:tcPr>
            <w:tcW w:w="1474" w:type="dxa"/>
          </w:tcPr>
          <w:p w14:paraId="2CDDF828"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TC CLP</w:t>
            </w:r>
          </w:p>
        </w:tc>
        <w:tc>
          <w:tcPr>
            <w:tcW w:w="1474" w:type="dxa"/>
          </w:tcPr>
          <w:p w14:paraId="5A85D5D8"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Δ Tasa local</w:t>
            </w:r>
          </w:p>
        </w:tc>
        <w:tc>
          <w:tcPr>
            <w:tcW w:w="1474" w:type="dxa"/>
          </w:tcPr>
          <w:p w14:paraId="5B69ABF7"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Retorno cartera</w:t>
            </w:r>
          </w:p>
        </w:tc>
      </w:tr>
      <w:tr w:rsidR="00DE3F5D" w14:paraId="256DE095"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15B3DAD" w14:textId="77777777" w:rsidR="00DE3F5D" w:rsidRDefault="00E96965">
            <w:r>
              <w:rPr>
                <w:sz w:val="20"/>
              </w:rPr>
              <w:t>h = 1</w:t>
            </w:r>
          </w:p>
        </w:tc>
        <w:tc>
          <w:tcPr>
            <w:tcW w:w="1474" w:type="dxa"/>
          </w:tcPr>
          <w:p w14:paraId="6459F4C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0.1821</w:t>
            </w:r>
          </w:p>
        </w:tc>
        <w:tc>
          <w:tcPr>
            <w:tcW w:w="1474" w:type="dxa"/>
          </w:tcPr>
          <w:p w14:paraId="6A107BD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0.1493</w:t>
            </w:r>
          </w:p>
        </w:tc>
        <w:tc>
          <w:tcPr>
            <w:tcW w:w="1474" w:type="dxa"/>
          </w:tcPr>
          <w:p w14:paraId="156ACEA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0.0229</w:t>
            </w:r>
          </w:p>
        </w:tc>
        <w:tc>
          <w:tcPr>
            <w:tcW w:w="1474" w:type="dxa"/>
          </w:tcPr>
          <w:p w14:paraId="3D85B7D4"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0.0008</w:t>
            </w:r>
          </w:p>
        </w:tc>
        <w:tc>
          <w:tcPr>
            <w:tcW w:w="1474" w:type="dxa"/>
          </w:tcPr>
          <w:p w14:paraId="4DEA027A"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0.6449</w:t>
            </w:r>
          </w:p>
        </w:tc>
      </w:tr>
      <w:tr w:rsidR="00DE3F5D" w14:paraId="3984EC8F"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34D7AF1" w14:textId="77777777" w:rsidR="00DE3F5D" w:rsidRDefault="00E96965">
            <w:r>
              <w:rPr>
                <w:sz w:val="20"/>
              </w:rPr>
              <w:t>h = 6</w:t>
            </w:r>
          </w:p>
        </w:tc>
        <w:tc>
          <w:tcPr>
            <w:tcW w:w="1474" w:type="dxa"/>
          </w:tcPr>
          <w:p w14:paraId="4E72159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0.1802</w:t>
            </w:r>
          </w:p>
        </w:tc>
        <w:tc>
          <w:tcPr>
            <w:tcW w:w="1474" w:type="dxa"/>
          </w:tcPr>
          <w:p w14:paraId="09B40C5F"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0.1405</w:t>
            </w:r>
          </w:p>
        </w:tc>
        <w:tc>
          <w:tcPr>
            <w:tcW w:w="1474" w:type="dxa"/>
          </w:tcPr>
          <w:p w14:paraId="5B4B44F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0.0222</w:t>
            </w:r>
          </w:p>
        </w:tc>
        <w:tc>
          <w:tcPr>
            <w:tcW w:w="1474" w:type="dxa"/>
          </w:tcPr>
          <w:p w14:paraId="71A0C6BC"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0.0284</w:t>
            </w:r>
          </w:p>
        </w:tc>
        <w:tc>
          <w:tcPr>
            <w:tcW w:w="1474" w:type="dxa"/>
          </w:tcPr>
          <w:p w14:paraId="3FF51DCC"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0.6287</w:t>
            </w:r>
          </w:p>
        </w:tc>
      </w:tr>
      <w:tr w:rsidR="00DE3F5D" w14:paraId="27139AF4"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B73EE6F" w14:textId="77777777" w:rsidR="00DE3F5D" w:rsidRDefault="00E96965">
            <w:r>
              <w:rPr>
                <w:sz w:val="20"/>
              </w:rPr>
              <w:t xml:space="preserve">h = </w:t>
            </w:r>
            <w:r>
              <w:rPr>
                <w:sz w:val="20"/>
              </w:rPr>
              <w:t>12</w:t>
            </w:r>
          </w:p>
        </w:tc>
        <w:tc>
          <w:tcPr>
            <w:tcW w:w="1474" w:type="dxa"/>
          </w:tcPr>
          <w:p w14:paraId="698EF2E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0.1798</w:t>
            </w:r>
          </w:p>
        </w:tc>
        <w:tc>
          <w:tcPr>
            <w:tcW w:w="1474" w:type="dxa"/>
          </w:tcPr>
          <w:p w14:paraId="2C09C5A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0.1401</w:t>
            </w:r>
          </w:p>
        </w:tc>
        <w:tc>
          <w:tcPr>
            <w:tcW w:w="1474" w:type="dxa"/>
          </w:tcPr>
          <w:p w14:paraId="0DEFD4C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0.0222</w:t>
            </w:r>
          </w:p>
        </w:tc>
        <w:tc>
          <w:tcPr>
            <w:tcW w:w="1474" w:type="dxa"/>
          </w:tcPr>
          <w:p w14:paraId="44C1E873"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0.0308</w:t>
            </w:r>
          </w:p>
        </w:tc>
        <w:tc>
          <w:tcPr>
            <w:tcW w:w="1474" w:type="dxa"/>
          </w:tcPr>
          <w:p w14:paraId="5DFF52A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0.6271</w:t>
            </w:r>
          </w:p>
        </w:tc>
      </w:tr>
      <w:tr w:rsidR="00DE3F5D" w14:paraId="4B94E64F"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62C4FE5" w14:textId="77777777" w:rsidR="00DE3F5D" w:rsidRDefault="00E96965">
            <w:r>
              <w:rPr>
                <w:sz w:val="20"/>
              </w:rPr>
              <w:t>h = 24</w:t>
            </w:r>
          </w:p>
        </w:tc>
        <w:tc>
          <w:tcPr>
            <w:tcW w:w="1474" w:type="dxa"/>
          </w:tcPr>
          <w:p w14:paraId="5D01C21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0.1798</w:t>
            </w:r>
          </w:p>
        </w:tc>
        <w:tc>
          <w:tcPr>
            <w:tcW w:w="1474" w:type="dxa"/>
          </w:tcPr>
          <w:p w14:paraId="277F7AD2"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0.1401</w:t>
            </w:r>
          </w:p>
        </w:tc>
        <w:tc>
          <w:tcPr>
            <w:tcW w:w="1474" w:type="dxa"/>
          </w:tcPr>
          <w:p w14:paraId="60977FF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0.0222</w:t>
            </w:r>
          </w:p>
        </w:tc>
        <w:tc>
          <w:tcPr>
            <w:tcW w:w="1474" w:type="dxa"/>
          </w:tcPr>
          <w:p w14:paraId="2F13F620"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0.0308</w:t>
            </w:r>
          </w:p>
        </w:tc>
        <w:tc>
          <w:tcPr>
            <w:tcW w:w="1474" w:type="dxa"/>
          </w:tcPr>
          <w:p w14:paraId="2BD5FE98"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0.6271</w:t>
            </w:r>
          </w:p>
        </w:tc>
      </w:tr>
    </w:tbl>
    <w:p w14:paraId="2A543D6A" w14:textId="77777777" w:rsidR="00DE3F5D" w:rsidRDefault="00DE3F5D"/>
    <w:p w14:paraId="7CC4E7BE" w14:textId="77777777" w:rsidR="00DE3F5D" w:rsidRDefault="00E96965">
      <w:pPr>
        <w:pStyle w:val="Ttulo2"/>
      </w:pPr>
      <w:bookmarkStart w:id="85" w:name="_Toc231081596"/>
      <w:r>
        <w:t>Anexo G. Fuentes de datos</w:t>
      </w:r>
      <w:bookmarkEnd w:id="85"/>
    </w:p>
    <w:p w14:paraId="28FB54DE" w14:textId="240BAF7B" w:rsidR="00DE3F5D" w:rsidRDefault="00E96965">
      <w:pPr>
        <w:pStyle w:val="Descripcin"/>
        <w:jc w:val="center"/>
      </w:pPr>
      <w:bookmarkStart w:id="86" w:name="_Toc231081611"/>
      <w:r>
        <w:rPr>
          <w:sz w:val="20"/>
        </w:rPr>
        <w:t xml:space="preserve">Tabla </w:t>
      </w:r>
      <w:r>
        <w:fldChar w:fldCharType="begin"/>
      </w:r>
      <w:r>
        <w:instrText xml:space="preserve"> SEQ Tabla \* ARABIC </w:instrText>
      </w:r>
      <w:r>
        <w:fldChar w:fldCharType="separate"/>
      </w:r>
      <w:r>
        <w:rPr>
          <w:noProof/>
        </w:rPr>
        <w:t>13</w:t>
      </w:r>
      <w:r>
        <w:fldChar w:fldCharType="end"/>
      </w:r>
      <w:r>
        <w:rPr>
          <w:sz w:val="20"/>
        </w:rPr>
        <w:t>.</w:t>
      </w:r>
      <w:bookmarkEnd w:id="86"/>
      <w:r>
        <w:rPr>
          <w:sz w:val="20"/>
        </w:rPr>
        <w:t xml:space="preserve"> </w:t>
      </w:r>
    </w:p>
    <w:tbl>
      <w:tblPr>
        <w:tblStyle w:val="Cuadrculaclara-nfasis1"/>
        <w:tblW w:w="0" w:type="auto"/>
        <w:tblLook w:val="04A0" w:firstRow="1" w:lastRow="0" w:firstColumn="1" w:lastColumn="0" w:noHBand="0" w:noVBand="1"/>
      </w:tblPr>
      <w:tblGrid>
        <w:gridCol w:w="2210"/>
        <w:gridCol w:w="2210"/>
        <w:gridCol w:w="2210"/>
        <w:gridCol w:w="2210"/>
      </w:tblGrid>
      <w:tr w:rsidR="00DE3F5D" w14:paraId="587C719E" w14:textId="77777777" w:rsidTr="00DE3F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4CF39167" w14:textId="77777777" w:rsidR="00DE3F5D" w:rsidRDefault="00E96965">
            <w:r>
              <w:rPr>
                <w:sz w:val="20"/>
              </w:rPr>
              <w:t>Variable</w:t>
            </w:r>
          </w:p>
        </w:tc>
        <w:tc>
          <w:tcPr>
            <w:tcW w:w="2210" w:type="dxa"/>
          </w:tcPr>
          <w:p w14:paraId="371E0492"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Fuente</w:t>
            </w:r>
          </w:p>
        </w:tc>
        <w:tc>
          <w:tcPr>
            <w:tcW w:w="2210" w:type="dxa"/>
          </w:tcPr>
          <w:p w14:paraId="15A21AF3"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Código/Ticker</w:t>
            </w:r>
          </w:p>
        </w:tc>
        <w:tc>
          <w:tcPr>
            <w:tcW w:w="2210" w:type="dxa"/>
          </w:tcPr>
          <w:p w14:paraId="06F0A1D1" w14:textId="77777777" w:rsidR="00DE3F5D" w:rsidRDefault="00E96965">
            <w:pPr>
              <w:cnfStyle w:val="100000000000" w:firstRow="1" w:lastRow="0" w:firstColumn="0" w:lastColumn="0" w:oddVBand="0" w:evenVBand="0" w:oddHBand="0" w:evenHBand="0" w:firstRowFirstColumn="0" w:firstRowLastColumn="0" w:lastRowFirstColumn="0" w:lastRowLastColumn="0"/>
            </w:pPr>
            <w:r>
              <w:rPr>
                <w:sz w:val="20"/>
              </w:rPr>
              <w:t>Frecuencia</w:t>
            </w:r>
          </w:p>
        </w:tc>
      </w:tr>
      <w:tr w:rsidR="00DE3F5D" w14:paraId="27EBC752"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91F980F" w14:textId="77777777" w:rsidR="00DE3F5D" w:rsidRDefault="00E96965">
            <w:r>
              <w:rPr>
                <w:sz w:val="20"/>
              </w:rPr>
              <w:t>Precio del cobre</w:t>
            </w:r>
          </w:p>
        </w:tc>
        <w:tc>
          <w:tcPr>
            <w:tcW w:w="2210" w:type="dxa"/>
          </w:tcPr>
          <w:p w14:paraId="0C19533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FRED (OCDE)</w:t>
            </w:r>
          </w:p>
        </w:tc>
        <w:tc>
          <w:tcPr>
            <w:tcW w:w="2210" w:type="dxa"/>
          </w:tcPr>
          <w:p w14:paraId="429B123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PCOPPUSDM</w:t>
            </w:r>
          </w:p>
        </w:tc>
        <w:tc>
          <w:tcPr>
            <w:tcW w:w="2210" w:type="dxa"/>
          </w:tcPr>
          <w:p w14:paraId="5215C322"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Mensual</w:t>
            </w:r>
          </w:p>
        </w:tc>
      </w:tr>
      <w:tr w:rsidR="00DE3F5D" w14:paraId="18B6AAB6"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1B4A51B5" w14:textId="77777777" w:rsidR="00DE3F5D" w:rsidRDefault="00E96965">
            <w:r>
              <w:rPr>
                <w:sz w:val="20"/>
              </w:rPr>
              <w:t>VIX</w:t>
            </w:r>
          </w:p>
        </w:tc>
        <w:tc>
          <w:tcPr>
            <w:tcW w:w="2210" w:type="dxa"/>
          </w:tcPr>
          <w:p w14:paraId="0D2D5A15"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FRED / CBOE</w:t>
            </w:r>
          </w:p>
        </w:tc>
        <w:tc>
          <w:tcPr>
            <w:tcW w:w="2210" w:type="dxa"/>
          </w:tcPr>
          <w:p w14:paraId="1FE59C7E"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VIXCLS</w:t>
            </w:r>
          </w:p>
        </w:tc>
        <w:tc>
          <w:tcPr>
            <w:tcW w:w="2210" w:type="dxa"/>
          </w:tcPr>
          <w:p w14:paraId="46B13E7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Diaria</w:t>
            </w:r>
          </w:p>
        </w:tc>
      </w:tr>
      <w:tr w:rsidR="00DE3F5D" w14:paraId="3466B03E"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2BFBA2C" w14:textId="77777777" w:rsidR="00DE3F5D" w:rsidRDefault="00E96965">
            <w:r>
              <w:rPr>
                <w:sz w:val="20"/>
              </w:rPr>
              <w:t>Fed Funds</w:t>
            </w:r>
          </w:p>
        </w:tc>
        <w:tc>
          <w:tcPr>
            <w:tcW w:w="2210" w:type="dxa"/>
          </w:tcPr>
          <w:p w14:paraId="0055EA5A"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FRED</w:t>
            </w:r>
          </w:p>
        </w:tc>
        <w:tc>
          <w:tcPr>
            <w:tcW w:w="2210" w:type="dxa"/>
          </w:tcPr>
          <w:p w14:paraId="7B0C334B"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FEDFUNDS</w:t>
            </w:r>
          </w:p>
        </w:tc>
        <w:tc>
          <w:tcPr>
            <w:tcW w:w="2210" w:type="dxa"/>
          </w:tcPr>
          <w:p w14:paraId="1E18B1B8"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Mensual</w:t>
            </w:r>
          </w:p>
        </w:tc>
      </w:tr>
      <w:tr w:rsidR="00DE3F5D" w14:paraId="5275318C"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6284108A" w14:textId="77777777" w:rsidR="00DE3F5D" w:rsidRDefault="00E96965">
            <w:r>
              <w:rPr>
                <w:sz w:val="20"/>
              </w:rPr>
              <w:t>Treasury 10Y</w:t>
            </w:r>
          </w:p>
        </w:tc>
        <w:tc>
          <w:tcPr>
            <w:tcW w:w="2210" w:type="dxa"/>
          </w:tcPr>
          <w:p w14:paraId="7F7B6C0D"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FRED</w:t>
            </w:r>
          </w:p>
        </w:tc>
        <w:tc>
          <w:tcPr>
            <w:tcW w:w="2210" w:type="dxa"/>
          </w:tcPr>
          <w:p w14:paraId="3CED1A78"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DGS10</w:t>
            </w:r>
          </w:p>
        </w:tc>
        <w:tc>
          <w:tcPr>
            <w:tcW w:w="2210" w:type="dxa"/>
          </w:tcPr>
          <w:p w14:paraId="6F1D4F3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Diaria</w:t>
            </w:r>
          </w:p>
        </w:tc>
      </w:tr>
      <w:tr w:rsidR="00DE3F5D" w14:paraId="4AA0C4AB"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4FA9ACD" w14:textId="77777777" w:rsidR="00DE3F5D" w:rsidRDefault="00E96965">
            <w:r>
              <w:rPr>
                <w:sz w:val="20"/>
              </w:rPr>
              <w:t>Tipo de cambio CLP</w:t>
            </w:r>
          </w:p>
        </w:tc>
        <w:tc>
          <w:tcPr>
            <w:tcW w:w="2210" w:type="dxa"/>
          </w:tcPr>
          <w:p w14:paraId="4D11AD99"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FRED</w:t>
            </w:r>
          </w:p>
        </w:tc>
        <w:tc>
          <w:tcPr>
            <w:tcW w:w="2210" w:type="dxa"/>
          </w:tcPr>
          <w:p w14:paraId="3A3D9BA0"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DEXCHUS</w:t>
            </w:r>
          </w:p>
        </w:tc>
        <w:tc>
          <w:tcPr>
            <w:tcW w:w="2210" w:type="dxa"/>
          </w:tcPr>
          <w:p w14:paraId="6888292E"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Diaria</w:t>
            </w:r>
          </w:p>
        </w:tc>
      </w:tr>
      <w:tr w:rsidR="00DE3F5D" w14:paraId="63946F2F"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14A5B0BC" w14:textId="77777777" w:rsidR="00DE3F5D" w:rsidRDefault="00E96965">
            <w:r>
              <w:rPr>
                <w:sz w:val="20"/>
              </w:rPr>
              <w:t>Tasa local (proxy TPM)</w:t>
            </w:r>
          </w:p>
        </w:tc>
        <w:tc>
          <w:tcPr>
            <w:tcW w:w="2210" w:type="dxa"/>
          </w:tcPr>
          <w:p w14:paraId="3379E34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FRED (OCDE)</w:t>
            </w:r>
          </w:p>
        </w:tc>
        <w:tc>
          <w:tcPr>
            <w:tcW w:w="2210" w:type="dxa"/>
          </w:tcPr>
          <w:p w14:paraId="66100EFA"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IR3TIB01CLM156N</w:t>
            </w:r>
          </w:p>
        </w:tc>
        <w:tc>
          <w:tcPr>
            <w:tcW w:w="2210" w:type="dxa"/>
          </w:tcPr>
          <w:p w14:paraId="111B68E9"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Mensual</w:t>
            </w:r>
          </w:p>
        </w:tc>
      </w:tr>
      <w:tr w:rsidR="00DE3F5D" w14:paraId="0924F1C6"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507A5549" w14:textId="77777777" w:rsidR="00DE3F5D" w:rsidRDefault="00E96965">
            <w:r>
              <w:rPr>
                <w:sz w:val="20"/>
              </w:rPr>
              <w:t>Actividad local (proxy IMACEC)</w:t>
            </w:r>
          </w:p>
        </w:tc>
        <w:tc>
          <w:tcPr>
            <w:tcW w:w="2210" w:type="dxa"/>
          </w:tcPr>
          <w:p w14:paraId="0026AAF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FRED (OCDE)</w:t>
            </w:r>
          </w:p>
        </w:tc>
        <w:tc>
          <w:tcPr>
            <w:tcW w:w="2210" w:type="dxa"/>
          </w:tcPr>
          <w:p w14:paraId="667A5ABD"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CHLPROINDMISMEI</w:t>
            </w:r>
          </w:p>
        </w:tc>
        <w:tc>
          <w:tcPr>
            <w:tcW w:w="2210" w:type="dxa"/>
          </w:tcPr>
          <w:p w14:paraId="7EF7F2A7"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Mensual</w:t>
            </w:r>
          </w:p>
        </w:tc>
      </w:tr>
      <w:tr w:rsidR="00DE3F5D" w14:paraId="3770B1B3"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695BEB34" w14:textId="77777777" w:rsidR="00DE3F5D" w:rsidRDefault="00E96965">
            <w:r>
              <w:rPr>
                <w:sz w:val="20"/>
              </w:rPr>
              <w:t>Acciones (B)</w:t>
            </w:r>
          </w:p>
        </w:tc>
        <w:tc>
          <w:tcPr>
            <w:tcW w:w="2210" w:type="dxa"/>
          </w:tcPr>
          <w:p w14:paraId="065B258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Yahoo Finance</w:t>
            </w:r>
          </w:p>
        </w:tc>
        <w:tc>
          <w:tcPr>
            <w:tcW w:w="2210" w:type="dxa"/>
          </w:tcPr>
          <w:p w14:paraId="71BB5447"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ANTO.L, BHP, AAL.L, LUN.TO, TECK</w:t>
            </w:r>
          </w:p>
        </w:tc>
        <w:tc>
          <w:tcPr>
            <w:tcW w:w="2210" w:type="dxa"/>
          </w:tcPr>
          <w:p w14:paraId="3A9D1663"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Diaria</w:t>
            </w:r>
          </w:p>
        </w:tc>
      </w:tr>
      <w:tr w:rsidR="00DE3F5D" w14:paraId="036025BF" w14:textId="77777777" w:rsidTr="00DE3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95E02C8" w14:textId="77777777" w:rsidR="00DE3F5D" w:rsidRDefault="00E96965">
            <w:r>
              <w:rPr>
                <w:sz w:val="20"/>
              </w:rPr>
              <w:t>Acciones (A, C)</w:t>
            </w:r>
          </w:p>
        </w:tc>
        <w:tc>
          <w:tcPr>
            <w:tcW w:w="2210" w:type="dxa"/>
          </w:tcPr>
          <w:p w14:paraId="269D9BE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2210" w:type="dxa"/>
          </w:tcPr>
          <w:p w14:paraId="0773DB3F"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PUCOBRE.SN, CAP.SN, SQM-B.SN, MOLYMET.SN</w:t>
            </w:r>
          </w:p>
        </w:tc>
        <w:tc>
          <w:tcPr>
            <w:tcW w:w="2210" w:type="dxa"/>
          </w:tcPr>
          <w:p w14:paraId="02AEB4F1" w14:textId="77777777" w:rsidR="00DE3F5D" w:rsidRDefault="00E96965">
            <w:pPr>
              <w:cnfStyle w:val="000000100000" w:firstRow="0" w:lastRow="0" w:firstColumn="0" w:lastColumn="0" w:oddVBand="0" w:evenVBand="0" w:oddHBand="1" w:evenHBand="0" w:firstRowFirstColumn="0" w:firstRowLastColumn="0" w:lastRowFirstColumn="0" w:lastRowLastColumn="0"/>
            </w:pPr>
            <w:r>
              <w:rPr>
                <w:sz w:val="20"/>
              </w:rPr>
              <w:t>Diaria</w:t>
            </w:r>
          </w:p>
        </w:tc>
      </w:tr>
      <w:tr w:rsidR="00DE3F5D" w14:paraId="7684E118" w14:textId="77777777" w:rsidTr="00DE3F5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1A94B99A" w14:textId="77777777" w:rsidR="00DE3F5D" w:rsidRDefault="00E96965">
            <w:r>
              <w:rPr>
                <w:sz w:val="20"/>
              </w:rPr>
              <w:t>EMBI Chile (pendiente)</w:t>
            </w:r>
          </w:p>
        </w:tc>
        <w:tc>
          <w:tcPr>
            <w:tcW w:w="2210" w:type="dxa"/>
          </w:tcPr>
          <w:p w14:paraId="56A10FAB"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Banco Central de Chile</w:t>
            </w:r>
          </w:p>
        </w:tc>
        <w:tc>
          <w:tcPr>
            <w:tcW w:w="2210" w:type="dxa"/>
          </w:tcPr>
          <w:p w14:paraId="7BE2EFB1"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w:t>
            </w:r>
          </w:p>
        </w:tc>
        <w:tc>
          <w:tcPr>
            <w:tcW w:w="2210" w:type="dxa"/>
          </w:tcPr>
          <w:p w14:paraId="4C125648" w14:textId="77777777" w:rsidR="00DE3F5D" w:rsidRDefault="00E96965">
            <w:pPr>
              <w:cnfStyle w:val="000000010000" w:firstRow="0" w:lastRow="0" w:firstColumn="0" w:lastColumn="0" w:oddVBand="0" w:evenVBand="0" w:oddHBand="0" w:evenHBand="1" w:firstRowFirstColumn="0" w:firstRowLastColumn="0" w:lastRowFirstColumn="0" w:lastRowLastColumn="0"/>
            </w:pPr>
            <w:r>
              <w:rPr>
                <w:sz w:val="20"/>
              </w:rPr>
              <w:t>Diaria</w:t>
            </w:r>
          </w:p>
        </w:tc>
      </w:tr>
    </w:tbl>
    <w:p w14:paraId="62BC46DC" w14:textId="77777777" w:rsidR="00DE3F5D" w:rsidRDefault="00DE3F5D"/>
    <w:p w14:paraId="6BF74A8C" w14:textId="77777777" w:rsidR="00DE3F5D" w:rsidRDefault="00E96965">
      <w:pPr>
        <w:pStyle w:val="Ttulo2"/>
      </w:pPr>
      <w:bookmarkStart w:id="87" w:name="_Toc231081597"/>
      <w:r>
        <w:lastRenderedPageBreak/>
        <w:t>Anexo H. Disponibilidad del código</w:t>
      </w:r>
      <w:bookmarkEnd w:id="87"/>
    </w:p>
    <w:p w14:paraId="08F3DAE4" w14:textId="77777777" w:rsidR="00DE3F5D" w:rsidRDefault="00E96965">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0E212463" w14:textId="77777777" w:rsidR="00DE3F5D" w:rsidRDefault="00E96965">
      <w:r>
        <w:br w:type="page"/>
      </w:r>
    </w:p>
    <w:p w14:paraId="287DAF5A" w14:textId="77777777" w:rsidR="00DE3F5D" w:rsidRDefault="00E96965">
      <w:pPr>
        <w:pStyle w:val="Ttulo1"/>
      </w:pPr>
      <w:bookmarkStart w:id="88" w:name="_Toc231081598"/>
      <w:r>
        <w:lastRenderedPageBreak/>
        <w:t>Glosario de términos econométricos</w:t>
      </w:r>
      <w:bookmarkEnd w:id="88"/>
    </w:p>
    <w:p w14:paraId="78BCCAD0" w14:textId="77777777" w:rsidR="00DE3F5D" w:rsidRDefault="00E96965">
      <w:r>
        <w:rPr>
          <w:b/>
        </w:rPr>
        <w:t>Apalancamiento operativo.</w:t>
      </w:r>
      <w:r>
        <w:t xml:space="preserve"> Sensibilidad del resultado operativo de una empresa ante variaciones</w:t>
      </w:r>
    </w:p>
    <w:p w14:paraId="7DBD7376" w14:textId="77777777" w:rsidR="00DE3F5D" w:rsidRDefault="00E96965">
      <w:r>
        <w:t>de sus ingresos; en minería, amplifica el efecto del precio del commodity sobre el margen.</w:t>
      </w:r>
    </w:p>
    <w:p w14:paraId="68037744" w14:textId="77777777" w:rsidR="00DE3F5D" w:rsidRDefault="00E96965">
      <w:r>
        <w:rPr>
          <w:b/>
        </w:rPr>
        <w:t>Cointegración.</w:t>
      </w:r>
      <w:r>
        <w:t xml:space="preserve"> Existencia de una combinación lineal estacionaria entre series individualmente</w:t>
      </w:r>
    </w:p>
    <w:p w14:paraId="68036037" w14:textId="77777777" w:rsidR="00DE3F5D" w:rsidRDefault="00E96965">
      <w:r>
        <w:t>no estacionarias (I(1)), interpretada como una relación de equilibrio de largo plazo.</w:t>
      </w:r>
    </w:p>
    <w:p w14:paraId="648F0920" w14:textId="77777777" w:rsidR="00DE3F5D" w:rsidRDefault="00E96965">
      <w:r>
        <w:rPr>
          <w:b/>
        </w:rPr>
        <w:t>Dependencia de sección cruzada.</w:t>
      </w:r>
      <w:r>
        <w:t xml:space="preserve"> Correlación contemporánea entre los errores de distintas</w:t>
      </w:r>
    </w:p>
    <w:p w14:paraId="5E5E0716" w14:textId="77777777" w:rsidR="00DE3F5D" w:rsidRDefault="00E96965">
      <w:r>
        <w:t>unidades (empresas) de un panel, habitualmente por shocks comunes; invalida la inferencia estándar</w:t>
      </w:r>
    </w:p>
    <w:p w14:paraId="5842B780" w14:textId="77777777" w:rsidR="00DE3F5D" w:rsidRDefault="00E96965">
      <w:r>
        <w:t>si no se corrige.</w:t>
      </w:r>
    </w:p>
    <w:p w14:paraId="1286818B" w14:textId="77777777" w:rsidR="00DE3F5D" w:rsidRDefault="00E96965">
      <w:r>
        <w:rPr>
          <w:b/>
        </w:rPr>
        <w:t>Descomposición de varianza (FEVD).</w:t>
      </w:r>
      <w:r>
        <w:t xml:space="preserve"> Partición de la varianza del error de pronóstico de una</w:t>
      </w:r>
    </w:p>
    <w:p w14:paraId="4D247561" w14:textId="77777777" w:rsidR="00DE3F5D" w:rsidRDefault="00E96965">
      <w:r>
        <w:t>variable según la fuente (shock estructural) que la origina, a un horizonte dado.</w:t>
      </w:r>
    </w:p>
    <w:p w14:paraId="0AB7F9CF" w14:textId="77777777" w:rsidR="00DE3F5D" w:rsidRDefault="00E96965">
      <w:r>
        <w:rPr>
          <w:b/>
        </w:rPr>
        <w:t>Driscoll-Kraay.</w:t>
      </w:r>
      <w:r>
        <w:t xml:space="preserve"> Estimador de la matriz de covarianzas de un panel robusto a heterocedasticidad,</w:t>
      </w:r>
    </w:p>
    <w:p w14:paraId="4EF73F6F" w14:textId="77777777" w:rsidR="00DE3F5D" w:rsidRDefault="00E96965">
      <w:r>
        <w:t>autocorrelación y dependencia de sección cruzada.</w:t>
      </w:r>
    </w:p>
    <w:p w14:paraId="7E4958DE" w14:textId="77777777" w:rsidR="00DE3F5D" w:rsidRDefault="00E96965">
      <w:r>
        <w:rPr>
          <w:b/>
        </w:rPr>
        <w:t>Efectos fijos.</w:t>
      </w:r>
      <w:r>
        <w:t xml:space="preserve"> Especificación de panel que controla la heterogeneidad no observada y constante</w:t>
      </w:r>
    </w:p>
    <w:p w14:paraId="5EE32ACB" w14:textId="77777777" w:rsidR="00DE3F5D" w:rsidRDefault="00E96965">
      <w:r>
        <w:t>en el tiempo de cada unidad mediante interceptos específicos.</w:t>
      </w:r>
    </w:p>
    <w:p w14:paraId="4BED882F" w14:textId="77777777" w:rsidR="00DE3F5D" w:rsidRDefault="00E96965">
      <w:r>
        <w:rPr>
          <w:b/>
        </w:rPr>
        <w:t>Estacionariedad.</w:t>
      </w:r>
      <w:r>
        <w:t xml:space="preserve"> Propiedad de una serie cuya media, varianza y autocovarianzas no dependen del</w:t>
      </w:r>
    </w:p>
    <w:p w14:paraId="728E5620" w14:textId="77777777" w:rsidR="00DE3F5D" w:rsidRDefault="00E96965">
      <w:r>
        <w:t>tiempo; condición necesaria para una inferencia válida en series de tiempo.</w:t>
      </w:r>
    </w:p>
    <w:p w14:paraId="598B0EC5" w14:textId="77777777" w:rsidR="00DE3F5D" w:rsidRDefault="00E96965">
      <w:r>
        <w:rPr>
          <w:b/>
        </w:rPr>
        <w:t>Función impulso-respuesta (IRF).</w:t>
      </w:r>
      <w:r>
        <w:t xml:space="preserve"> Trayectoria de la respuesta de una variable del sistema ante</w:t>
      </w:r>
    </w:p>
    <w:p w14:paraId="46C2933A" w14:textId="77777777" w:rsidR="00DE3F5D" w:rsidRDefault="00E96965">
      <w:r>
        <w:t>un shock unitario en otra, a lo largo del horizonte.</w:t>
      </w:r>
    </w:p>
    <w:p w14:paraId="3196F4FC" w14:textId="77777777" w:rsidR="00DE3F5D" w:rsidRDefault="00E96965">
      <w:r>
        <w:rPr>
          <w:b/>
        </w:rPr>
        <w:lastRenderedPageBreak/>
        <w:t>Heterocedasticidad condicional (ARCH/GARCH).</w:t>
      </w:r>
      <w:r>
        <w:t xml:space="preserve"> Variabilidad de la varianza de los errores en el</w:t>
      </w:r>
    </w:p>
    <w:p w14:paraId="07412405" w14:textId="77777777" w:rsidR="00DE3F5D" w:rsidRDefault="00E96965">
      <w:r>
        <w:t>tiempo, con agrupamiento de la volatilidad; típica de los retornos financieros.</w:t>
      </w:r>
    </w:p>
    <w:p w14:paraId="690F7755" w14:textId="77777777" w:rsidR="00DE3F5D" w:rsidRDefault="00E96965">
      <w:r>
        <w:rPr>
          <w:b/>
        </w:rPr>
        <w:t>Mecanismo de corrección de error (α).</w:t>
      </w:r>
      <w:r>
        <w:t xml:space="preserve"> Velocidad a la que una variable retorna al equilibrio de</w:t>
      </w:r>
    </w:p>
    <w:p w14:paraId="1161D578" w14:textId="77777777" w:rsidR="00DE3F5D" w:rsidRDefault="00E96965">
      <w:r>
        <w:t>largo plazo tras una desviación, en un modelo VECM.</w:t>
      </w:r>
    </w:p>
    <w:p w14:paraId="71470B0C" w14:textId="77777777" w:rsidR="00DE3F5D" w:rsidRDefault="00E96965">
      <w:r>
        <w:rPr>
          <w:b/>
        </w:rPr>
        <w:t>Orden de integración I(d).</w:t>
      </w:r>
      <w:r>
        <w:t xml:space="preserve"> Número de diferenciaciones necesarias para volver estacionaria una</w:t>
      </w:r>
    </w:p>
    <w:p w14:paraId="4D7FBCE0" w14:textId="77777777" w:rsidR="00DE3F5D" w:rsidRDefault="00E96965">
      <w:r>
        <w:t>serie; I(0) es estacionaria, I(1) requiere una diferencia.</w:t>
      </w:r>
    </w:p>
    <w:p w14:paraId="387DBE68" w14:textId="77777777" w:rsidR="00DE3F5D" w:rsidRDefault="00E96965">
      <w:r>
        <w:rPr>
          <w:b/>
        </w:rPr>
        <w:t>Prueba de bordes (ARDL bounds).</w:t>
      </w:r>
      <w:r>
        <w:t xml:space="preserve"> Contraste de relación de nivel (cointegración) válido cuando</w:t>
      </w:r>
    </w:p>
    <w:p w14:paraId="4AFE7E3D" w14:textId="77777777" w:rsidR="00DE3F5D" w:rsidRDefault="00E96965">
      <w:r>
        <w:t>los regresores presentan órdenes de integración mixtos (I(0) e I(1)).</w:t>
      </w:r>
    </w:p>
    <w:p w14:paraId="203DB790" w14:textId="77777777" w:rsidR="00DE3F5D" w:rsidRDefault="00E96965">
      <w:r>
        <w:rPr>
          <w:b/>
        </w:rPr>
        <w:t>Quiebre estructural.</w:t>
      </w:r>
      <w:r>
        <w:t xml:space="preserve"> Cambio en los parámetros del proceso generador de datos en una fecha;</w:t>
      </w:r>
    </w:p>
    <w:p w14:paraId="7AB7DB23" w14:textId="77777777" w:rsidR="00DE3F5D" w:rsidRDefault="00E96965">
      <w:r>
        <w:t>reduce la potencia de las pruebas que lo ignoran.</w:t>
      </w:r>
    </w:p>
    <w:p w14:paraId="7A5EC705" w14:textId="77777777" w:rsidR="00DE3F5D" w:rsidRDefault="00E96965">
      <w:r>
        <w:rPr>
          <w:b/>
        </w:rPr>
        <w:t>Raíz unitaria.</w:t>
      </w:r>
      <w:r>
        <w:t xml:space="preserve"> Característica de un proceso no estacionario cuyo polinomio autorregresivo tiene</w:t>
      </w:r>
    </w:p>
    <w:p w14:paraId="21060E05" w14:textId="77777777" w:rsidR="00DE3F5D" w:rsidRDefault="00E96965">
      <w:r>
        <w:t>una raíz igual a uno; equivale a integración de orden uno o superior.</w:t>
      </w:r>
    </w:p>
    <w:p w14:paraId="00548B65" w14:textId="77777777" w:rsidR="00DE3F5D" w:rsidRDefault="00E96965">
      <w:r>
        <w:rPr>
          <w:b/>
        </w:rPr>
        <w:t>Segmentación de mercados.</w:t>
      </w:r>
      <w:r>
        <w:t xml:space="preserve"> Situación en que mercados financieros parcialmente aislados precian</w:t>
      </w:r>
    </w:p>
    <w:p w14:paraId="4674504C" w14:textId="77777777" w:rsidR="00DE3F5D" w:rsidRDefault="00E96965">
      <w:r>
        <w:t>de forma distinta un mismo riesgo subyacente, por barreras a la integración.</w:t>
      </w:r>
    </w:p>
    <w:p w14:paraId="77394CB3" w14:textId="77777777" w:rsidR="00DE3F5D" w:rsidRDefault="00E96965">
      <w:r>
        <w:rPr>
          <w:b/>
        </w:rPr>
        <w:t>Vector autorregresivo (VAR).</w:t>
      </w:r>
      <w:r>
        <w:t xml:space="preserve"> Sistema en que cada variable se modela como función de sus</w:t>
      </w:r>
    </w:p>
    <w:p w14:paraId="6C405620" w14:textId="77777777" w:rsidR="00DE3F5D" w:rsidRDefault="00E96965">
      <w:r>
        <w:t>rezagos y de los de las demás, sin imponer estructura teórica a priori.</w:t>
      </w:r>
    </w:p>
    <w:sectPr w:rsidR="00DE3F5D" w:rsidSect="00034616">
      <w:footerReference w:type="default" r:id="rId15"/>
      <w:pgSz w:w="12240" w:h="15840"/>
      <w:pgMar w:top="1440" w:right="1699" w:bottom="1440" w:left="1699"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98F696" w14:textId="77777777" w:rsidR="00E96965" w:rsidRDefault="00E96965">
      <w:pPr>
        <w:spacing w:after="0" w:line="240" w:lineRule="auto"/>
      </w:pPr>
      <w:r>
        <w:separator/>
      </w:r>
    </w:p>
  </w:endnote>
  <w:endnote w:type="continuationSeparator" w:id="0">
    <w:p w14:paraId="08D80B3D" w14:textId="77777777" w:rsidR="00E96965" w:rsidRDefault="00E969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69C7F" w14:textId="77777777" w:rsidR="00DE3F5D" w:rsidRDefault="00E96965">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DB564" w14:textId="77777777" w:rsidR="00DE3F5D" w:rsidRDefault="00E96965">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8AE8E4" w14:textId="77777777" w:rsidR="00E96965" w:rsidRDefault="00E96965">
      <w:pPr>
        <w:spacing w:after="0" w:line="240" w:lineRule="auto"/>
      </w:pPr>
      <w:r>
        <w:separator/>
      </w:r>
    </w:p>
  </w:footnote>
  <w:footnote w:type="continuationSeparator" w:id="0">
    <w:p w14:paraId="7DD27454" w14:textId="77777777" w:rsidR="00E96965" w:rsidRDefault="00E969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03126561">
    <w:abstractNumId w:val="8"/>
  </w:num>
  <w:num w:numId="2" w16cid:durableId="1244101367">
    <w:abstractNumId w:val="6"/>
  </w:num>
  <w:num w:numId="3" w16cid:durableId="369037244">
    <w:abstractNumId w:val="5"/>
  </w:num>
  <w:num w:numId="4" w16cid:durableId="1182865629">
    <w:abstractNumId w:val="4"/>
  </w:num>
  <w:num w:numId="5" w16cid:durableId="65692468">
    <w:abstractNumId w:val="7"/>
  </w:num>
  <w:num w:numId="6" w16cid:durableId="1650090300">
    <w:abstractNumId w:val="3"/>
  </w:num>
  <w:num w:numId="7" w16cid:durableId="817108351">
    <w:abstractNumId w:val="2"/>
  </w:num>
  <w:num w:numId="8" w16cid:durableId="915898363">
    <w:abstractNumId w:val="1"/>
  </w:num>
  <w:num w:numId="9" w16cid:durableId="70841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4049"/>
    <w:rsid w:val="00AA1D8D"/>
    <w:rsid w:val="00B47730"/>
    <w:rsid w:val="00CB0664"/>
    <w:rsid w:val="00DE3F5D"/>
    <w:rsid w:val="00E969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A1EFC6B"/>
  <w14:defaultImageDpi w14:val="300"/>
  <w15:docId w15:val="{85AB87E5-2FF4-4384-9321-59011AB91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A1A2E"/>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A1A2E"/>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96965"/>
    <w:pPr>
      <w:spacing w:after="100"/>
    </w:pPr>
  </w:style>
  <w:style w:type="paragraph" w:styleId="TDC2">
    <w:name w:val="toc 2"/>
    <w:basedOn w:val="Normal"/>
    <w:next w:val="Normal"/>
    <w:autoRedefine/>
    <w:uiPriority w:val="39"/>
    <w:unhideWhenUsed/>
    <w:rsid w:val="00E96965"/>
    <w:pPr>
      <w:spacing w:after="100"/>
      <w:ind w:left="240"/>
    </w:pPr>
  </w:style>
  <w:style w:type="paragraph" w:styleId="TDC3">
    <w:name w:val="toc 3"/>
    <w:basedOn w:val="Normal"/>
    <w:next w:val="Normal"/>
    <w:autoRedefine/>
    <w:uiPriority w:val="39"/>
    <w:unhideWhenUsed/>
    <w:rsid w:val="00E96965"/>
    <w:pPr>
      <w:spacing w:after="100"/>
      <w:ind w:left="480"/>
    </w:pPr>
  </w:style>
  <w:style w:type="character" w:styleId="Hipervnculo">
    <w:name w:val="Hyperlink"/>
    <w:basedOn w:val="Fuentedeprrafopredeter"/>
    <w:uiPriority w:val="99"/>
    <w:unhideWhenUsed/>
    <w:rsid w:val="00E96965"/>
    <w:rPr>
      <w:color w:val="0000FF" w:themeColor="hyperlink"/>
      <w:u w:val="single"/>
    </w:rPr>
  </w:style>
  <w:style w:type="paragraph" w:styleId="Tabladeilustraciones">
    <w:name w:val="table of figures"/>
    <w:basedOn w:val="Normal"/>
    <w:next w:val="Normal"/>
    <w:uiPriority w:val="99"/>
    <w:unhideWhenUsed/>
    <w:rsid w:val="00E9696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11220</Words>
  <Characters>62191</Characters>
  <Application>Microsoft Office Word</Application>
  <DocSecurity>0</DocSecurity>
  <Lines>1940</Lines>
  <Paragraphs>1425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2026-05-31T04:55:00Z</dcterms:modified>
  <cp:category/>
</cp:coreProperties>
</file>