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Generate Sepsis-3 Labels in BigQuery</w:t>
      </w:r>
    </w:p>
    <w:p>
      <w:pPr>
        <w:pStyle w:val="Heading1"/>
      </w:pPr>
      <w:r>
        <w:t>Part 1: The Technical Execution (How to do it)</w:t>
      </w:r>
    </w:p>
    <w:p>
      <w:r>
        <w:t>To generate the `sepsis3` table in your own BigQuery environment, you will use the official code provided by MIT-LCP (Laboratory for Computational Physiology).</w:t>
      </w:r>
    </w:p>
    <w:p>
      <w:r>
        <w:rPr>
          <w:b/>
        </w:rPr>
        <w:t>1. Access the Repository:</w:t>
        <w:br/>
      </w:r>
      <w:r>
        <w:t>Go to the official MIT-LCP MIMIC Code repository on GitHub: `https://github.com/MIT-LCP/mimic-code/tree/main/mimic-iv/concepts`.</w:t>
        <w:br/>
      </w:r>
    </w:p>
    <w:p>
      <w:r>
        <w:rPr>
          <w:b/>
        </w:rPr>
        <w:t>2. Understand the Dependencies:</w:t>
        <w:br/>
      </w:r>
      <w:r>
        <w:t>The Sepsis-3 definition is complex. It relies on a "SOFA score increase of ≥ 2". Therefore, before you can run `sepsis3.sql`, you actually need to run the SQL scripts that calculate the SOFA score and identify suspected infections first. These are located in folders like `concepts/organfailure/sofa.sql` and `concepts/sepsis/suspicion_of_infection.sql`.</w:t>
        <w:br/>
      </w:r>
    </w:p>
    <w:p>
      <w:r>
        <w:rPr>
          <w:b/>
        </w:rPr>
        <w:t>3. The BigQuery Execution:</w:t>
        <w:br/>
      </w:r>
      <w:r>
        <w:t>MIT provides a BigQuery specific folder. Copy the SQL queries from the repository and paste them into your Google Cloud BigQuery console.</w:t>
        <w:br/>
      </w:r>
      <w:r>
        <w:t>Make sure to change the schema mappings at the top of the scripts (e.g., replace `physionet-data.mimiciv_icu` with your actual project dataset names if you copied them locally, or just use the physionet ones if you have direct query access).</w:t>
        <w:br/>
      </w:r>
    </w:p>
    <w:p>
      <w:r>
        <w:rPr>
          <w:b/>
        </w:rPr>
        <w:t>4. The Output:</w:t>
        <w:br/>
      </w:r>
      <w:r>
        <w:t>Once you run `sepsis3.sql`, you will save the output as a new table in your own dataset (e.g., `your_project.your_dataset.sepsis3`). This table will contain the crucial columns: `stay_id`, `sepsis3` (boolean true/false), and `sepsis3_time` (the exact datetime the criteria were met).</w:t>
        <w:br/>
      </w:r>
    </w:p>
    <w:p>
      <w:pPr>
        <w:pStyle w:val="Heading1"/>
      </w:pPr>
      <w:r>
        <w:t>Part 2: How to write this in your Thesis</w:t>
      </w:r>
    </w:p>
    <w:p>
      <w:r>
        <w:t xml:space="preserve">You should document this explicitly in the </w:t>
      </w:r>
      <w:r>
        <w:rPr>
          <w:b/>
        </w:rPr>
        <w:t>Data Analysis -&gt; Mapping Target Variable</w:t>
      </w:r>
      <w:r>
        <w:t xml:space="preserve"> section of your paper. Here is an academic, DS/ML oriented draft you can use and adapt:</w:t>
      </w:r>
    </w:p>
    <w:p>
      <w:pPr>
        <w:pStyle w:val="Quote"/>
      </w:pPr>
      <w:r>
        <w:rPr>
          <w:b/>
        </w:rPr>
        <w:t>Defining the Ground Truth Target Variable: The Sepsis-3 Clinical Criteria</w:t>
        <w:br/>
        <w:br/>
      </w:r>
      <w:r>
        <w:t>In predictive modeling for healthcare, the validity of the algorithm is heavily dependent on the rigor of the ground truth labels. Previous research has frequently relied on International Classification of Diseases (ICD) billing codes to retrospectively identify sepsis patients. However, billing codes lack temporal granularity and are frequently subjected to systemic coding biases, rendering them unsuitable as a target variable for a time-series event prediction model.</w:t>
        <w:br/>
        <w:br/>
      </w:r>
      <w:r>
        <w:t>To establish a robust and clinically valid target variable, this study rejected ICD proxy labels and instead programmatically derived the Third International Consensus Definitions for Sepsis and Septic Shock (Sepsis-3). Sepsis-3 is clinically defined as a life-threatening organ dysfunction caused by a dysregulated host response to infection, objectified as an acute increase in the Sequential Organ Failure Assessment (SOFA) score of ≥ 2 points concurrent with the clinical suspicion of infection.</w:t>
        <w:br/>
        <w:br/>
      </w:r>
      <w:r>
        <w:t xml:space="preserve">To calculate this target dynamically across the MIMIC-IV cohort, the official, peer-reviewed SQL algorithms provided by the MIT Laboratory for Computational Physiology (MIT-LCP) repository were executed within the Google Cloud BigQuery environment. The execution of the `sepsis3.sql` script (and its dependent SOFA and infection suspicion sub-queries) yielded a binary classification feature (`sepsis3`) for every ICU stay, as well as the exact chronological timestamp of onset (`sepsis3_time`). </w:t>
        <w:br/>
        <w:br/>
      </w:r>
      <w:r>
        <w:t>This method effectively transformed a complex, evolving clinical state into a discrete, temporally anchored target variable. Consequently, the continuous vital sign data (`chartevents`) could be accurately truncated and aligned relative to the `sepsis3_time`, enabling the machine learning classifiers to evaluate varying windows of predictive opportunity prior to explicit clinical onset.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