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MIMIC-IV Data Features for V13b Pipeline</w:t>
      </w:r>
    </w:p>
    <w:p>
      <w:r>
        <w:t>This document outlines all of the variables and data features extracted from the MIMIC-IV database for the V13b pipeline, including the ground-truth target variables (like those for the SOFA score) not passed as training features.</w:t>
      </w:r>
    </w:p>
    <w:p>
      <w:pPr>
        <w:pStyle w:val="Heading2"/>
      </w:pPr>
      <w:r>
        <w:t>1. Variables Extracted Exclusively to Define Ground-Truth Targets (Not Fed to Model)</w:t>
      </w:r>
    </w:p>
    <w:p>
      <w:r>
        <w:t>These variables are extracted to determine physiological severity and exact clinical onset ("Time Zero"), but are expressly stripped from the training dataset to prevent data leakage.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MIMIC-IV Source Logic</w:t>
            </w:r>
          </w:p>
        </w:tc>
        <w:tc>
          <w:tcPr>
            <w:tcW w:type="dxa" w:w="2160"/>
          </w:tcPr>
          <w:p>
            <w:r>
              <w:t>Role in V13b</w:t>
            </w:r>
          </w:p>
        </w:tc>
      </w:tr>
      <w:tr>
        <w:tc>
          <w:tcPr>
            <w:tcW w:type="dxa" w:w="2160"/>
          </w:tcPr>
          <w:p>
            <w:r>
              <w:t>Suspected Infection Time</w:t>
            </w:r>
          </w:p>
        </w:tc>
        <w:tc>
          <w:tcPr>
            <w:tcW w:type="dxa" w:w="2160"/>
          </w:tcPr>
          <w:p>
            <w:r>
              <w:t>The proximal overlap of administering antibiotics alongside drawing a blood culture (within a 72h window).</w:t>
            </w:r>
          </w:p>
        </w:tc>
        <w:tc>
          <w:tcPr>
            <w:tcW w:type="dxa" w:w="2160"/>
          </w:tcPr>
          <w:p>
            <w:r>
              <w:t>Pre-computed mimic_derived.sepsis3 table.</w:t>
            </w:r>
          </w:p>
        </w:tc>
        <w:tc>
          <w:tcPr>
            <w:tcW w:type="dxa" w:w="2160"/>
          </w:tcPr>
          <w:p>
            <w:r>
              <w:t>Anchors the prediction window (e.g., used to define the 6-hour and 12-hour predictive horizons).</w:t>
            </w:r>
          </w:p>
        </w:tc>
      </w:tr>
      <w:tr>
        <w:tc>
          <w:tcPr>
            <w:tcW w:type="dxa" w:w="2160"/>
          </w:tcPr>
          <w:p>
            <w:r>
              <w:t>SOFA Score Delta (≥ 2)</w:t>
            </w:r>
          </w:p>
        </w:tc>
        <w:tc>
          <w:tcPr>
            <w:tcW w:type="dxa" w:w="2160"/>
          </w:tcPr>
          <w:p>
            <w:r>
              <w:t>Sequential Organ Failure Assessment. Consists of lab tests &amp; clinical signs: PaO2/FiO2, GCS, MAP/Vasopressors, Bilirubin, Platelets, Creatinine/Urine tracking.</w:t>
            </w:r>
          </w:p>
        </w:tc>
        <w:tc>
          <w:tcPr>
            <w:tcW w:type="dxa" w:w="2160"/>
          </w:tcPr>
          <w:p>
            <w:r>
              <w:t>Pre-computed mimic_derived.sepsis3 table.</w:t>
            </w:r>
          </w:p>
        </w:tc>
        <w:tc>
          <w:tcPr>
            <w:tcW w:type="dxa" w:w="2160"/>
          </w:tcPr>
          <w:p>
            <w:r>
              <w:t>Defines the absolute severity threshold for the Sepsis-3 label.</w:t>
            </w:r>
          </w:p>
        </w:tc>
      </w:tr>
      <w:tr>
        <w:tc>
          <w:tcPr>
            <w:tcW w:type="dxa" w:w="2160"/>
          </w:tcPr>
          <w:p>
            <w:r>
              <w:t>ICD Sepsis Etiologies</w:t>
            </w:r>
          </w:p>
        </w:tc>
        <w:tc>
          <w:tcPr>
            <w:tcW w:type="dxa" w:w="2160"/>
          </w:tcPr>
          <w:p>
            <w:r>
              <w:t>Categorical diagnostic billing codes documenting localized etiology origins.</w:t>
            </w:r>
          </w:p>
        </w:tc>
        <w:tc>
          <w:tcPr>
            <w:tcW w:type="dxa" w:w="2160"/>
          </w:tcPr>
          <w:p>
            <w:r>
              <w:t>Mapped ICD-9 and ICD-10 codes.</w:t>
            </w:r>
          </w:p>
        </w:tc>
        <w:tc>
          <w:tcPr>
            <w:tcW w:type="dxa" w:w="2160"/>
          </w:tcPr>
          <w:p>
            <w:r>
              <w:t>Used to define the independent multi-target sub-streams (target_resp, target_uri, target_other).</w:t>
            </w:r>
          </w:p>
        </w:tc>
      </w:tr>
      <w:tr>
        <w:tc>
          <w:tcPr>
            <w:tcW w:type="dxa" w:w="2160"/>
          </w:tcPr>
          <w:p>
            <w:r>
              <w:t>Sepsis Onset Timestamp</w:t>
            </w:r>
          </w:p>
        </w:tc>
        <w:tc>
          <w:tcPr>
            <w:tcW w:type="dxa" w:w="2160"/>
          </w:tcPr>
          <w:p>
            <w:r>
              <w:t>The exact timestamp where the SOFA ≥ 2 criteria aligns with infection suspicion.</w:t>
            </w:r>
          </w:p>
        </w:tc>
        <w:tc>
          <w:tcPr>
            <w:tcW w:type="dxa" w:w="2160"/>
          </w:tcPr>
          <w:p>
            <w:r>
              <w:t>Derived temporal intersection.</w:t>
            </w:r>
          </w:p>
        </w:tc>
        <w:tc>
          <w:tcPr>
            <w:tcW w:type="dxa" w:w="2160"/>
          </w:tcPr>
          <w:p>
            <w:r>
              <w:t>Acts as the operational cutoff limit; vitals after this point are dropped from training.</w:t>
            </w:r>
          </w:p>
        </w:tc>
      </w:tr>
    </w:tbl>
    <w:p>
      <w:pPr>
        <w:pStyle w:val="Heading2"/>
      </w:pPr>
      <w:r>
        <w:t>2. Raw Variables Extracted to Calculate the SOFA Score (Target Generation)</w:t>
      </w:r>
    </w:p>
    <w:p>
      <w:r>
        <w:t>The SOFA score algorithm in MIMIC-IV requires querying several underlying tables to evaluate the 6 target organ systems. These are essential for building the absolute, unbiased ground-truth labels. While the predictive models are designed to be entirely "lab-free" and rely purely on high-frequency vitals, the lab events and medication logs are fundamental in defining exactly when and if the patient became severely injured by an infection.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Organ System</w:t>
            </w:r>
          </w:p>
        </w:tc>
        <w:tc>
          <w:tcPr>
            <w:tcW w:type="dxa" w:w="2160"/>
          </w:tcPr>
          <w:p>
            <w:r>
              <w:t>Specific MIMIC-IV Variables Pulled</w:t>
            </w:r>
          </w:p>
        </w:tc>
        <w:tc>
          <w:tcPr>
            <w:tcW w:type="dxa" w:w="2160"/>
          </w:tcPr>
          <w:p>
            <w:r>
              <w:t>Data Source/Events in MIMIC</w:t>
            </w:r>
          </w:p>
        </w:tc>
        <w:tc>
          <w:tcPr>
            <w:tcW w:type="dxa" w:w="2160"/>
          </w:tcPr>
          <w:p>
            <w:r>
              <w:t>Purpose in SOFA Calculation</w:t>
            </w:r>
          </w:p>
        </w:tc>
      </w:tr>
      <w:tr>
        <w:tc>
          <w:tcPr>
            <w:tcW w:type="dxa" w:w="2160"/>
          </w:tcPr>
          <w:p>
            <w:r>
              <w:t>Respiration</w:t>
            </w:r>
          </w:p>
        </w:tc>
        <w:tc>
          <w:tcPr>
            <w:tcW w:type="dxa" w:w="2160"/>
          </w:tcPr>
          <w:p>
            <w:r>
              <w:t>PaO2 (Arterial Oxygen Partial Pressure)</w:t>
              <w:br/>
              <w:t>FiO2 (Fraction of Inspired Oxygen)</w:t>
              <w:br/>
              <w:t>Ventilation Status</w:t>
            </w:r>
          </w:p>
        </w:tc>
        <w:tc>
          <w:tcPr>
            <w:tcW w:type="dxa" w:w="2160"/>
          </w:tcPr>
          <w:p>
            <w:r>
              <w:t>labevents (Blood Gas)</w:t>
              <w:br/>
              <w:t>chartevents (Vents)</w:t>
            </w:r>
          </w:p>
        </w:tc>
        <w:tc>
          <w:tcPr>
            <w:tcW w:type="dxa" w:w="2160"/>
          </w:tcPr>
          <w:p>
            <w:r>
              <w:t>Used to calculate the P/F Ratio (PaO2/FiO2). Lower ratios indicate higher respiratory failure.</w:t>
            </w:r>
          </w:p>
        </w:tc>
      </w:tr>
      <w:tr>
        <w:tc>
          <w:tcPr>
            <w:tcW w:type="dxa" w:w="2160"/>
          </w:tcPr>
          <w:p>
            <w:r>
              <w:t>Coagulation</w:t>
            </w:r>
          </w:p>
        </w:tc>
        <w:tc>
          <w:tcPr>
            <w:tcW w:type="dxa" w:w="2160"/>
          </w:tcPr>
          <w:p>
            <w:r>
              <w:t>Platelets (Platelet Count)</w:t>
            </w:r>
          </w:p>
        </w:tc>
        <w:tc>
          <w:tcPr>
            <w:tcW w:type="dxa" w:w="2160"/>
          </w:tcPr>
          <w:p>
            <w:r>
              <w:t>labevents</w:t>
            </w:r>
          </w:p>
        </w:tc>
        <w:tc>
          <w:tcPr>
            <w:tcW w:type="dxa" w:w="2160"/>
          </w:tcPr>
          <w:p>
            <w:r>
              <w:t>Dropping platelet counts act as the primary marker for coagulation failure.</w:t>
            </w:r>
          </w:p>
        </w:tc>
      </w:tr>
      <w:tr>
        <w:tc>
          <w:tcPr>
            <w:tcW w:type="dxa" w:w="2160"/>
          </w:tcPr>
          <w:p>
            <w:r>
              <w:t>Liver</w:t>
            </w:r>
          </w:p>
        </w:tc>
        <w:tc>
          <w:tcPr>
            <w:tcW w:type="dxa" w:w="2160"/>
          </w:tcPr>
          <w:p>
            <w:r>
              <w:t>Bilirubin, Total</w:t>
            </w:r>
          </w:p>
        </w:tc>
        <w:tc>
          <w:tcPr>
            <w:tcW w:type="dxa" w:w="2160"/>
          </w:tcPr>
          <w:p>
            <w:r>
              <w:t>labevents</w:t>
            </w:r>
          </w:p>
        </w:tc>
        <w:tc>
          <w:tcPr>
            <w:tcW w:type="dxa" w:w="2160"/>
          </w:tcPr>
          <w:p>
            <w:r>
              <w:t>Elevated bilirubin levels precisely measure hepatic (liver) failure/dysfunction.</w:t>
            </w:r>
          </w:p>
        </w:tc>
      </w:tr>
      <w:tr>
        <w:tc>
          <w:tcPr>
            <w:tcW w:type="dxa" w:w="2160"/>
          </w:tcPr>
          <w:p>
            <w:r>
              <w:t>Cardiovascular</w:t>
            </w:r>
          </w:p>
        </w:tc>
        <w:tc>
          <w:tcPr>
            <w:tcW w:type="dxa" w:w="2160"/>
          </w:tcPr>
          <w:p>
            <w:r>
              <w:t>Mean Arterial Pressure (MAP)</w:t>
              <w:br/>
              <w:t>Dopamine (Rate/Dose)</w:t>
              <w:br/>
              <w:t>Epinephrine (Rate/Dose)</w:t>
              <w:br/>
              <w:t>Norepinephrine (Rate/Dose)</w:t>
              <w:br/>
              <w:t>Dobutamine (Rate/Dose)</w:t>
            </w:r>
          </w:p>
        </w:tc>
        <w:tc>
          <w:tcPr>
            <w:tcW w:type="dxa" w:w="2160"/>
          </w:tcPr>
          <w:p>
            <w:r>
              <w:t>chartevents (MAP)</w:t>
              <w:br/>
              <w:t>inputevents (Vasopressors)</w:t>
            </w:r>
          </w:p>
        </w:tc>
        <w:tc>
          <w:tcPr>
            <w:tcW w:type="dxa" w:w="2160"/>
          </w:tcPr>
          <w:p>
            <w:r>
              <w:t>MAP &lt; 70 mmHg flags initial cardiovascular failure. Vasopressors indicate severe shock.</w:t>
            </w:r>
          </w:p>
        </w:tc>
      </w:tr>
      <w:tr>
        <w:tc>
          <w:tcPr>
            <w:tcW w:type="dxa" w:w="2160"/>
          </w:tcPr>
          <w:p>
            <w:r>
              <w:t>Central Nervous System</w:t>
            </w:r>
          </w:p>
        </w:tc>
        <w:tc>
          <w:tcPr>
            <w:tcW w:type="dxa" w:w="2160"/>
          </w:tcPr>
          <w:p>
            <w:r>
              <w:t>Glasgow Coma Scale (GCS) - Motor</w:t>
              <w:br/>
              <w:t>GCS - Verbal</w:t>
              <w:br/>
              <w:t>GCS - Eyes</w:t>
            </w:r>
          </w:p>
        </w:tc>
        <w:tc>
          <w:tcPr>
            <w:tcW w:type="dxa" w:w="2160"/>
          </w:tcPr>
          <w:p>
            <w:r>
              <w:t>chartevents</w:t>
            </w:r>
          </w:p>
        </w:tc>
        <w:tc>
          <w:tcPr>
            <w:tcW w:type="dxa" w:w="2160"/>
          </w:tcPr>
          <w:p>
            <w:r>
              <w:t>A dropping GCS measures neurological degradation and brain dysfunction.</w:t>
            </w:r>
          </w:p>
        </w:tc>
      </w:tr>
      <w:tr>
        <w:tc>
          <w:tcPr>
            <w:tcW w:type="dxa" w:w="2160"/>
          </w:tcPr>
          <w:p>
            <w:r>
              <w:t>Renal (Kidneys)</w:t>
            </w:r>
          </w:p>
        </w:tc>
        <w:tc>
          <w:tcPr>
            <w:tcW w:type="dxa" w:w="2160"/>
          </w:tcPr>
          <w:p>
            <w:r>
              <w:t>Creatinine (Blood level)</w:t>
              <w:br/>
              <w:t>Urine Output (Cumulative volume)</w:t>
            </w:r>
          </w:p>
        </w:tc>
        <w:tc>
          <w:tcPr>
            <w:tcW w:type="dxa" w:w="2160"/>
          </w:tcPr>
          <w:p>
            <w:r>
              <w:t>labevents (Creatinine)</w:t>
              <w:br/>
              <w:t>outputevents (Urine)</w:t>
            </w:r>
          </w:p>
        </w:tc>
        <w:tc>
          <w:tcPr>
            <w:tcW w:type="dxa" w:w="2160"/>
          </w:tcPr>
          <w:p>
            <w:r>
              <w:t>High creatinine or severely depressed urine output indicates acute kidney injury (AKI).</w:t>
            </w:r>
          </w:p>
        </w:tc>
      </w:tr>
    </w:tbl>
    <w:p>
      <w:pPr>
        <w:pStyle w:val="Heading3"/>
      </w:pPr>
      <w:r>
        <w:t>Additional Operational Variables (For the Suspicion of Infection Anchors)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Specific MIMIC-IV Variables Pulled</w:t>
            </w:r>
          </w:p>
        </w:tc>
        <w:tc>
          <w:tcPr>
            <w:tcW w:type="dxa" w:w="2160"/>
          </w:tcPr>
          <w:p>
            <w:r>
              <w:t>Data Source in MIMIC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Antibiotics</w:t>
            </w:r>
          </w:p>
        </w:tc>
        <w:tc>
          <w:tcPr>
            <w:tcW w:type="dxa" w:w="2160"/>
          </w:tcPr>
          <w:p>
            <w:r>
              <w:t>Itemid / Route / Start &amp; End times</w:t>
            </w:r>
          </w:p>
        </w:tc>
        <w:tc>
          <w:tcPr>
            <w:tcW w:type="dxa" w:w="2160"/>
          </w:tcPr>
          <w:p>
            <w:r>
              <w:t>pharmacy, prescriptions, inputevents</w:t>
            </w:r>
          </w:p>
        </w:tc>
        <w:tc>
          <w:tcPr>
            <w:tcW w:type="dxa" w:w="2160"/>
          </w:tcPr>
          <w:p>
            <w:r>
              <w:t>To identify when therapeutic intervention for an infection began.</w:t>
            </w:r>
          </w:p>
        </w:tc>
      </w:tr>
      <w:tr>
        <w:tc>
          <w:tcPr>
            <w:tcW w:type="dxa" w:w="2160"/>
          </w:tcPr>
          <w:p>
            <w:r>
              <w:t>Blood Cultures</w:t>
            </w:r>
          </w:p>
        </w:tc>
        <w:tc>
          <w:tcPr>
            <w:tcW w:type="dxa" w:w="2160"/>
          </w:tcPr>
          <w:p>
            <w:r>
              <w:t>Specimen ID, Charttime, Specimen Type</w:t>
            </w:r>
          </w:p>
        </w:tc>
        <w:tc>
          <w:tcPr>
            <w:tcW w:type="dxa" w:w="2160"/>
          </w:tcPr>
          <w:p>
            <w:r>
              <w:t>microbiologyevents</w:t>
            </w:r>
          </w:p>
        </w:tc>
        <w:tc>
          <w:tcPr>
            <w:tcW w:type="dxa" w:w="2160"/>
          </w:tcPr>
          <w:p>
            <w:r>
              <w:t>To identify when physicians officially ordered a culture to test for systemic infection.</w:t>
            </w:r>
          </w:p>
        </w:tc>
      </w:tr>
    </w:tbl>
    <w:p>
      <w:pPr>
        <w:pStyle w:val="Heading2"/>
      </w:pPr>
      <w:r>
        <w:t>3. Static Demographics &amp; Context (Exposed to Model)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MIMIC-IV Source Logic</w:t>
            </w:r>
          </w:p>
        </w:tc>
        <w:tc>
          <w:tcPr>
            <w:tcW w:type="dxa" w:w="2160"/>
          </w:tcPr>
          <w:p>
            <w:r>
              <w:t>Role in V13b</w:t>
            </w:r>
          </w:p>
        </w:tc>
      </w:tr>
      <w:tr>
        <w:tc>
          <w:tcPr>
            <w:tcW w:type="dxa" w:w="2160"/>
          </w:tcPr>
          <w:p>
            <w:r>
              <w:t>Age</w:t>
            </w:r>
          </w:p>
        </w:tc>
        <w:tc>
          <w:tcPr>
            <w:tcW w:type="dxa" w:w="2160"/>
          </w:tcPr>
          <w:p>
            <w:r>
              <w:t>Patient's age at the time of admission.</w:t>
            </w:r>
          </w:p>
        </w:tc>
        <w:tc>
          <w:tcPr>
            <w:tcW w:type="dxa" w:w="2160"/>
          </w:tcPr>
          <w:p>
            <w:r>
              <w:t>patients.anchor_age + Admission Delta.</w:t>
            </w:r>
          </w:p>
        </w:tc>
        <w:tc>
          <w:tcPr>
            <w:tcW w:type="dxa" w:w="2160"/>
          </w:tcPr>
          <w:p>
            <w:r>
              <w:t>Anchors baseline physiological expectations.</w:t>
            </w:r>
          </w:p>
        </w:tc>
      </w:tr>
      <w:tr>
        <w:tc>
          <w:tcPr>
            <w:tcW w:type="dxa" w:w="2160"/>
          </w:tcPr>
          <w:p>
            <w:r>
              <w:t>Weight (kg)</w:t>
            </w:r>
          </w:p>
        </w:tc>
        <w:tc>
          <w:tcPr>
            <w:tcW w:type="dxa" w:w="2160"/>
          </w:tcPr>
          <w:p>
            <w:r>
              <w:t>Patient's admission or daily recorded weight.</w:t>
            </w:r>
          </w:p>
        </w:tc>
        <w:tc>
          <w:tcPr>
            <w:tcW w:type="dxa" w:w="2160"/>
          </w:tcPr>
          <w:p>
            <w:r>
              <w:t>chartevents (IDs: 226512, 224639).</w:t>
            </w:r>
          </w:p>
        </w:tc>
        <w:tc>
          <w:tcPr>
            <w:tcW w:type="dxa" w:w="2160"/>
          </w:tcPr>
          <w:p>
            <w:r>
              <w:t>Used to scale systemic physiological responses.</w:t>
            </w:r>
          </w:p>
        </w:tc>
      </w:tr>
      <w:tr>
        <w:tc>
          <w:tcPr>
            <w:tcW w:type="dxa" w:w="2160"/>
          </w:tcPr>
          <w:p>
            <w:r>
              <w:t>Time Since Admission</w:t>
            </w:r>
          </w:p>
        </w:tc>
        <w:tc>
          <w:tcPr>
            <w:tcW w:type="dxa" w:w="2160"/>
          </w:tcPr>
          <w:p>
            <w:r>
              <w:t>Cumulative temporal count tracking hours since the absolute ICU intime.</w:t>
            </w:r>
          </w:p>
        </w:tc>
        <w:tc>
          <w:tcPr>
            <w:tcW w:type="dxa" w:w="2160"/>
          </w:tcPr>
          <w:p>
            <w:r>
              <w:t>TIMESTAMP_DIFF(charttime, intime).</w:t>
            </w:r>
          </w:p>
        </w:tc>
        <w:tc>
          <w:tcPr>
            <w:tcW w:type="dxa" w:w="2160"/>
          </w:tcPr>
          <w:p>
            <w:r>
              <w:t>Provides sequence awareness to the independent model trees.</w:t>
            </w:r>
          </w:p>
        </w:tc>
      </w:tr>
    </w:tbl>
    <w:p>
      <w:pPr>
        <w:pStyle w:val="Heading2"/>
      </w:pPr>
      <w:r>
        <w:t>4. Primary Real-Time Vital Sensors (Exposed to Model)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MIMIC-IV Source Logic (chartevents)</w:t>
            </w:r>
          </w:p>
        </w:tc>
      </w:tr>
      <w:tr>
        <w:tc>
          <w:tcPr>
            <w:tcW w:type="dxa" w:w="2880"/>
          </w:tcPr>
          <w:p>
            <w:r>
              <w:t>Heart Rate</w:t>
            </w:r>
          </w:p>
        </w:tc>
        <w:tc>
          <w:tcPr>
            <w:tcW w:type="dxa" w:w="2880"/>
          </w:tcPr>
          <w:p>
            <w:r>
              <w:t>Cardiac rate sequence.</w:t>
            </w:r>
          </w:p>
        </w:tc>
        <w:tc>
          <w:tcPr>
            <w:tcW w:type="dxa" w:w="2880"/>
          </w:tcPr>
          <w:p>
            <w:r>
              <w:t>IDs: 220045</w:t>
            </w:r>
          </w:p>
        </w:tc>
      </w:tr>
      <w:tr>
        <w:tc>
          <w:tcPr>
            <w:tcW w:type="dxa" w:w="2880"/>
          </w:tcPr>
          <w:p>
            <w:r>
              <w:t>Respiratory Rate</w:t>
            </w:r>
          </w:p>
        </w:tc>
        <w:tc>
          <w:tcPr>
            <w:tcW w:type="dxa" w:w="2880"/>
          </w:tcPr>
          <w:p>
            <w:r>
              <w:t>Mechanical or spontaneous breath rate.</w:t>
            </w:r>
          </w:p>
        </w:tc>
        <w:tc>
          <w:tcPr>
            <w:tcW w:type="dxa" w:w="2880"/>
          </w:tcPr>
          <w:p>
            <w:r>
              <w:t>IDs: 220210, 224690</w:t>
            </w:r>
          </w:p>
        </w:tc>
      </w:tr>
      <w:tr>
        <w:tc>
          <w:tcPr>
            <w:tcW w:type="dxa" w:w="2880"/>
          </w:tcPr>
          <w:p>
            <w:r>
              <w:t>SpO2</w:t>
            </w:r>
          </w:p>
        </w:tc>
        <w:tc>
          <w:tcPr>
            <w:tcW w:type="dxa" w:w="2880"/>
          </w:tcPr>
          <w:p>
            <w:r>
              <w:t>Peripheral oxygen saturation percentage.</w:t>
            </w:r>
          </w:p>
        </w:tc>
        <w:tc>
          <w:tcPr>
            <w:tcW w:type="dxa" w:w="2880"/>
          </w:tcPr>
          <w:p>
            <w:r>
              <w:t>IDs: 220277</w:t>
            </w:r>
          </w:p>
        </w:tc>
      </w:tr>
      <w:tr>
        <w:tc>
          <w:tcPr>
            <w:tcW w:type="dxa" w:w="2880"/>
          </w:tcPr>
          <w:p>
            <w:r>
              <w:t>Temperature</w:t>
            </w:r>
          </w:p>
        </w:tc>
        <w:tc>
          <w:tcPr>
            <w:tcW w:type="dxa" w:w="2880"/>
          </w:tcPr>
          <w:p>
            <w:r>
              <w:t>Thermometric tracking (converted strictly to Celsius).</w:t>
            </w:r>
          </w:p>
        </w:tc>
        <w:tc>
          <w:tcPr>
            <w:tcW w:type="dxa" w:w="2880"/>
          </w:tcPr>
          <w:p>
            <w:r>
              <w:t>IDs: 223761, 223762</w:t>
            </w:r>
          </w:p>
        </w:tc>
      </w:tr>
      <w:tr>
        <w:tc>
          <w:tcPr>
            <w:tcW w:type="dxa" w:w="2880"/>
          </w:tcPr>
          <w:p>
            <w:r>
              <w:t>Systolic BP (SBP)</w:t>
            </w:r>
          </w:p>
        </w:tc>
        <w:tc>
          <w:tcPr>
            <w:tcW w:type="dxa" w:w="2880"/>
          </w:tcPr>
          <w:p>
            <w:r>
              <w:t>Maximum arterial exertion.</w:t>
            </w:r>
          </w:p>
        </w:tc>
        <w:tc>
          <w:tcPr>
            <w:tcW w:type="dxa" w:w="2880"/>
          </w:tcPr>
          <w:p>
            <w:r>
              <w:t>IDs: 220179, 220050</w:t>
            </w:r>
          </w:p>
        </w:tc>
      </w:tr>
      <w:tr>
        <w:tc>
          <w:tcPr>
            <w:tcW w:type="dxa" w:w="2880"/>
          </w:tcPr>
          <w:p>
            <w:r>
              <w:t>Diastolic BP (DBP)</w:t>
            </w:r>
          </w:p>
        </w:tc>
        <w:tc>
          <w:tcPr>
            <w:tcW w:type="dxa" w:w="2880"/>
          </w:tcPr>
          <w:p>
            <w:r>
              <w:t>Minimum arterial exertion.</w:t>
            </w:r>
          </w:p>
        </w:tc>
        <w:tc>
          <w:tcPr>
            <w:tcW w:type="dxa" w:w="2880"/>
          </w:tcPr>
          <w:p>
            <w:r>
              <w:t>IDs: 220180, 220051</w:t>
            </w:r>
          </w:p>
        </w:tc>
      </w:tr>
    </w:tbl>
    <w:p>
      <w:pPr>
        <w:pStyle w:val="Heading2"/>
      </w:pPr>
      <w:r>
        <w:t>5. Derived Clinical Scores (Exposed to Model)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Formula / Logic</w:t>
            </w:r>
          </w:p>
        </w:tc>
      </w:tr>
      <w:tr>
        <w:tc>
          <w:tcPr>
            <w:tcW w:type="dxa" w:w="2880"/>
          </w:tcPr>
          <w:p>
            <w:r>
              <w:t>MAP</w:t>
            </w:r>
          </w:p>
        </w:tc>
        <w:tc>
          <w:tcPr>
            <w:tcW w:type="dxa" w:w="2880"/>
          </w:tcPr>
          <w:p>
            <w:r>
              <w:t>Mean Arterial Pressure.</w:t>
            </w:r>
          </w:p>
        </w:tc>
        <w:tc>
          <w:tcPr>
            <w:tcW w:type="dxa" w:w="2880"/>
          </w:tcPr>
          <w:p>
            <w:r>
              <w:t>(SBP + 2 * DBP) / 3</w:t>
            </w:r>
          </w:p>
        </w:tc>
      </w:tr>
      <w:tr>
        <w:tc>
          <w:tcPr>
            <w:tcW w:type="dxa" w:w="2880"/>
          </w:tcPr>
          <w:p>
            <w:r>
              <w:t>Shock Index</w:t>
            </w:r>
          </w:p>
        </w:tc>
        <w:tc>
          <w:tcPr>
            <w:tcW w:type="dxa" w:w="2880"/>
          </w:tcPr>
          <w:p>
            <w:r>
              <w:t>Indicator of occult hemorrhagic or septic shock.</w:t>
            </w:r>
          </w:p>
        </w:tc>
        <w:tc>
          <w:tcPr>
            <w:tcW w:type="dxa" w:w="2880"/>
          </w:tcPr>
          <w:p>
            <w:r>
              <w:t>Heart Rate / SBP</w:t>
            </w:r>
          </w:p>
        </w:tc>
      </w:tr>
      <w:tr>
        <w:tc>
          <w:tcPr>
            <w:tcW w:type="dxa" w:w="2880"/>
          </w:tcPr>
          <w:p>
            <w:r>
              <w:t>NEWS Score</w:t>
            </w:r>
          </w:p>
        </w:tc>
        <w:tc>
          <w:tcPr>
            <w:tcW w:type="dxa" w:w="2880"/>
          </w:tcPr>
          <w:p>
            <w:r>
              <w:t>National Early Warning Score (sensor features only).</w:t>
            </w:r>
          </w:p>
        </w:tc>
        <w:tc>
          <w:tcPr>
            <w:tcW w:type="dxa" w:w="2880"/>
          </w:tcPr>
          <w:p>
            <w:r>
              <w:t>Point-based aggregation of deviation in vitals.</w:t>
            </w:r>
          </w:p>
        </w:tc>
      </w:tr>
      <w:tr>
        <w:tc>
          <w:tcPr>
            <w:tcW w:type="dxa" w:w="2880"/>
          </w:tcPr>
          <w:p>
            <w:r>
              <w:t>Partial qSOFA</w:t>
            </w:r>
          </w:p>
        </w:tc>
        <w:tc>
          <w:tcPr>
            <w:tcW w:type="dxa" w:w="2880"/>
          </w:tcPr>
          <w:p>
            <w:r>
              <w:t>Simplified early-warning logic.</w:t>
            </w:r>
          </w:p>
        </w:tc>
        <w:tc>
          <w:tcPr>
            <w:tcW w:type="dxa" w:w="2880"/>
          </w:tcPr>
          <w:p>
            <w:r>
              <w:t>Flags given mechanically if SBP &lt;= 100 or RespRate &gt;= 22.</w:t>
            </w:r>
          </w:p>
        </w:tc>
      </w:tr>
      <w:tr>
        <w:tc>
          <w:tcPr>
            <w:tcW w:type="dxa" w:w="2880"/>
          </w:tcPr>
          <w:p>
            <w:r>
              <w:t>Pulse Pressure</w:t>
            </w:r>
          </w:p>
        </w:tc>
        <w:tc>
          <w:tcPr>
            <w:tcW w:type="dxa" w:w="2880"/>
          </w:tcPr>
          <w:p>
            <w:r>
              <w:t>Rigidity or stroke volume indicator.</w:t>
            </w:r>
          </w:p>
        </w:tc>
        <w:tc>
          <w:tcPr>
            <w:tcW w:type="dxa" w:w="2880"/>
          </w:tcPr>
          <w:p>
            <w:r>
              <w:t>SBP - DBP</w:t>
            </w:r>
          </w:p>
        </w:tc>
      </w:tr>
      <w:tr>
        <w:tc>
          <w:tcPr>
            <w:tcW w:type="dxa" w:w="2880"/>
          </w:tcPr>
          <w:p>
            <w:r>
              <w:t>Rate Pressure Product (RPP)</w:t>
            </w:r>
          </w:p>
        </w:tc>
        <w:tc>
          <w:tcPr>
            <w:tcW w:type="dxa" w:w="2880"/>
          </w:tcPr>
          <w:p>
            <w:r>
              <w:t>Myocardial oxygen consumption index.</w:t>
            </w:r>
          </w:p>
        </w:tc>
        <w:tc>
          <w:tcPr>
            <w:tcW w:type="dxa" w:w="2880"/>
          </w:tcPr>
          <w:p>
            <w:r>
              <w:t>Heart Rate * SBP</w:t>
            </w:r>
          </w:p>
        </w:tc>
      </w:tr>
      <w:tr>
        <w:tc>
          <w:tcPr>
            <w:tcW w:type="dxa" w:w="2880"/>
          </w:tcPr>
          <w:p>
            <w:r>
              <w:t>Modified Shock Index (MSI)</w:t>
            </w:r>
          </w:p>
        </w:tc>
        <w:tc>
          <w:tcPr>
            <w:tcW w:type="dxa" w:w="2880"/>
          </w:tcPr>
          <w:p>
            <w:r>
              <w:t>Shock variance scaled against MAP.</w:t>
            </w:r>
          </w:p>
        </w:tc>
        <w:tc>
          <w:tcPr>
            <w:tcW w:type="dxa" w:w="2880"/>
          </w:tcPr>
          <w:p>
            <w:r>
              <w:t>Heart Rate / MAP</w:t>
            </w:r>
          </w:p>
        </w:tc>
      </w:tr>
      <w:tr>
        <w:tc>
          <w:tcPr>
            <w:tcW w:type="dxa" w:w="2880"/>
          </w:tcPr>
          <w:p>
            <w:r>
              <w:t>Fever-Tachycardia</w:t>
            </w:r>
          </w:p>
        </w:tc>
        <w:tc>
          <w:tcPr>
            <w:tcW w:type="dxa" w:w="2880"/>
          </w:tcPr>
          <w:p>
            <w:r>
              <w:t>Interactive flag targeting Uri/Infection spikes.</w:t>
            </w:r>
          </w:p>
        </w:tc>
        <w:tc>
          <w:tcPr>
            <w:tcW w:type="dxa" w:w="2880"/>
          </w:tcPr>
          <w:p>
            <w:r>
              <w:t>Heart Rate * max(Temp - 37, 0)</w:t>
            </w:r>
          </w:p>
        </w:tc>
      </w:tr>
      <w:tr>
        <w:tc>
          <w:tcPr>
            <w:tcW w:type="dxa" w:w="2880"/>
          </w:tcPr>
          <w:p>
            <w:r>
              <w:t>Respiratory Distress</w:t>
            </w:r>
          </w:p>
        </w:tc>
        <w:tc>
          <w:tcPr>
            <w:tcW w:type="dxa" w:w="2880"/>
          </w:tcPr>
          <w:p>
            <w:r>
              <w:t>Nonlinear penalty for fast breathing with low sat.</w:t>
            </w:r>
          </w:p>
        </w:tc>
        <w:tc>
          <w:tcPr>
            <w:tcW w:type="dxa" w:w="2880"/>
          </w:tcPr>
          <w:p>
            <w:r>
              <w:t>RespRate * (100 - SpO2)</w:t>
            </w:r>
          </w:p>
        </w:tc>
      </w:tr>
    </w:tbl>
    <w:p>
      <w:pPr>
        <w:pStyle w:val="Heading2"/>
      </w:pPr>
      <w:r>
        <w:t>6. Advanced Mathematical &amp; Temporal Kinematics (Exposed to Model)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 Pattern</w:t>
            </w:r>
          </w:p>
        </w:tc>
        <w:tc>
          <w:tcPr>
            <w:tcW w:type="dxa" w:w="2880"/>
          </w:tcPr>
          <w:p>
            <w:r>
              <w:t>Variables Created</w:t>
            </w:r>
          </w:p>
        </w:tc>
        <w:tc>
          <w:tcPr>
            <w:tcW w:type="dxa" w:w="2880"/>
          </w:tcPr>
          <w:p>
            <w:r>
              <w:t>Purpose in Architecture</w:t>
            </w:r>
          </w:p>
        </w:tc>
      </w:tr>
      <w:tr>
        <w:tc>
          <w:tcPr>
            <w:tcW w:type="dxa" w:w="2880"/>
          </w:tcPr>
          <w:p>
            <w:r>
              <w:t>Acceleration (accel_X)</w:t>
            </w:r>
          </w:p>
        </w:tc>
        <w:tc>
          <w:tcPr>
            <w:tcW w:type="dxa" w:w="2880"/>
          </w:tcPr>
          <w:p>
            <w:r>
              <w:t>accel_heart_rate, accel_resprate, accel_spo2 (etc. for all vitals)</w:t>
            </w:r>
          </w:p>
        </w:tc>
        <w:tc>
          <w:tcPr>
            <w:tcW w:type="dxa" w:w="2880"/>
          </w:tcPr>
          <w:p>
            <w:r>
              <w:t>Captures the absolute second derivative (the rate of change of the rate of change). Detects non-linear crashes.</w:t>
            </w:r>
          </w:p>
        </w:tc>
      </w:tr>
      <w:tr>
        <w:tc>
          <w:tcPr>
            <w:tcW w:type="dxa" w:w="2880"/>
          </w:tcPr>
          <w:p>
            <w:r>
              <w:t>CUSUM Offsets</w:t>
            </w:r>
          </w:p>
        </w:tc>
        <w:tc>
          <w:tcPr>
            <w:tcW w:type="dxa" w:w="2880"/>
          </w:tcPr>
          <w:p>
            <w:r>
              <w:t>cusum_pos_X, cusum_neg_X (applied to Temp, SBP, DBP)</w:t>
            </w:r>
          </w:p>
        </w:tc>
        <w:tc>
          <w:tcPr>
            <w:tcW w:type="dxa" w:w="2880"/>
          </w:tcPr>
          <w:p>
            <w:r>
              <w:t>Cumulative Sum logic tracks sustained structural deviation away from the patient personal historical baseline.</w:t>
            </w:r>
          </w:p>
        </w:tc>
      </w:tr>
      <w:tr>
        <w:tc>
          <w:tcPr>
            <w:tcW w:type="dxa" w:w="2880"/>
          </w:tcPr>
          <w:p>
            <w:r>
              <w:t>4H Slope Tracers</w:t>
            </w:r>
          </w:p>
        </w:tc>
        <w:tc>
          <w:tcPr>
            <w:tcW w:type="dxa" w:w="2880"/>
          </w:tcPr>
          <w:p>
            <w:r>
              <w:t>slope_4h_temp, slope_4h_sbp, slope_4h_dbp</w:t>
            </w:r>
          </w:p>
        </w:tc>
        <w:tc>
          <w:tcPr>
            <w:tcW w:type="dxa" w:w="2880"/>
          </w:tcPr>
          <w:p>
            <w:r>
              <w:t>Statically measures the overarching trajectory vector over a rolling 4-hour window, bypassing immediate noise.</w:t>
            </w:r>
          </w:p>
        </w:tc>
      </w:tr>
      <w:tr>
        <w:tc>
          <w:tcPr>
            <w:tcW w:type="dxa" w:w="2880"/>
          </w:tcPr>
          <w:p>
            <w:r>
              <w:t>Baseline Statistics</w:t>
            </w:r>
          </w:p>
        </w:tc>
        <w:tc>
          <w:tcPr>
            <w:tcW w:type="dxa" w:w="2880"/>
          </w:tcPr>
          <w:p>
            <w:r>
              <w:t>exp_std_X, X_sd, exp_max_X, exp_min_X</w:t>
            </w:r>
          </w:p>
        </w:tc>
        <w:tc>
          <w:tcPr>
            <w:tcW w:type="dxa" w:w="2880"/>
          </w:tcPr>
          <w:p>
            <w:r>
              <w:t>Rolling volatility monitors. Extracts the statistical unreliability/arrhythmic nature of a sensor feed.</w:t>
            </w:r>
          </w:p>
        </w:tc>
      </w:tr>
      <w:tr>
        <w:tc>
          <w:tcPr>
            <w:tcW w:type="dxa" w:w="2880"/>
          </w:tcPr>
          <w:p>
            <w:r>
              <w:t>Score Deltas</w:t>
            </w:r>
          </w:p>
        </w:tc>
        <w:tc>
          <w:tcPr>
            <w:tcW w:type="dxa" w:w="2880"/>
          </w:tcPr>
          <w:p>
            <w:r>
              <w:t>news_delta, qsofa_delta</w:t>
            </w:r>
          </w:p>
        </w:tc>
        <w:tc>
          <w:tcPr>
            <w:tcW w:type="dxa" w:w="2880"/>
          </w:tcPr>
          <w:p>
            <w:r>
              <w:t>Directly tracks if traditional medical scores are worsening sequentially.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