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24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86" w:type="dxa"/>
      </w:tblPr>
      <w:tblGrid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  <w:gridCol w:w="635"/>
      </w:tblGrid>
      <w:tr>
        <w:trPr>
          <w:trHeight w:hRule="exact" w:val="488"/>
          <w:trHeight w:hRule="auto"/>
        </w:trPr>
        <w:tc>
          <w:tcPr>
            <w:tcW w:type="dxa" w:w="17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52500" cy="3022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3022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34"/>
            <w:gridSpan w:val="15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0" w:after="0"/>
              <w:ind w:left="0" w:right="0" w:firstLine="0"/>
              <w:jc w:val="center"/>
            </w:pPr>
            <w:r>
              <w:rPr>
                <w:rFonts w:ascii="CIDFont+F2" w:hAnsi="CIDFont+F2"/>
                <w:b/>
                <w:i w:val="0"/>
                <w:sz w:val="20"/>
              </w:rPr>
              <w:t>INFORME DE PRUEBA DE MONTAJE – SISTEMAS DE MEDICIÓN</w:t>
            </w:r>
          </w:p>
        </w:tc>
        <w:tc>
          <w:tcPr>
            <w:tcW w:type="dxa" w:w="13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6" w:after="0"/>
              <w:ind w:left="66" w:right="576" w:firstLine="0"/>
              <w:jc w:val="left"/>
            </w:pPr>
            <w:r>
              <w:rPr>
                <w:rFonts w:ascii="CIDFont+F3" w:hAnsi="CIDFont+F3"/>
                <w:b w:val="0"/>
                <w:i w:val="0"/>
                <w:sz w:val="16"/>
              </w:rPr>
              <w:t xml:space="preserve">FR0061 </w:t>
              <w:br/>
              <w:t>Rev:08</w:t>
            </w:r>
          </w:p>
        </w:tc>
      </w:tr>
      <w:tr>
        <w:trPr>
          <w:trHeight w:hRule="exact" w:val="299"/>
          <w:trHeight w:hRule="auto"/>
        </w:trPr>
        <w:tc>
          <w:tcPr>
            <w:tcW w:type="dxa" w:w="10764"/>
            <w:gridSpan w:val="17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0" w:right="0" w:firstLine="0"/>
              <w:jc w:val="center"/>
            </w:pPr>
            <w:r>
              <w:rPr>
                <w:rFonts w:ascii="CIDFont+F3" w:hAnsi="CIDFont+F3"/>
                <w:b w:val="0"/>
                <w:i w:val="0"/>
                <w:sz w:val="18"/>
              </w:rPr>
              <w:t>REALIZACIÓN DE PRUEBAS</w:t>
            </w:r>
          </w:p>
        </w:tc>
      </w:tr>
      <w:tr>
        <w:trPr>
          <w:trHeight w:hRule="exact" w:val="295"/>
          <w:trHeight w:hRule="auto"/>
        </w:trPr>
        <w:tc>
          <w:tcPr>
            <w:tcW w:type="dxa" w:w="7456"/>
            <w:gridSpan w:val="13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112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Informe de prueba: RE25757 2025-01</w:t>
            </w:r>
          </w:p>
        </w:tc>
        <w:tc>
          <w:tcPr>
            <w:tcW w:type="dxa" w:w="3308"/>
            <w:gridSpan w:val="4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" w:after="0"/>
              <w:ind w:left="96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Número de páginas: 22</w:t>
            </w:r>
          </w:p>
        </w:tc>
      </w:tr>
      <w:tr>
        <w:trPr>
          <w:trHeight w:hRule="exact" w:val="290"/>
          <w:trHeight w:hRule="auto"/>
        </w:trPr>
        <w:tc>
          <w:tcPr>
            <w:tcW w:type="dxa" w:w="4792"/>
            <w:gridSpan w:val="6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112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Fecha de emisión: 19/06/2025</w:t>
            </w:r>
          </w:p>
        </w:tc>
        <w:tc>
          <w:tcPr>
            <w:tcW w:type="dxa" w:w="2664"/>
            <w:gridSpan w:val="7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CIDFont+F4" w:hAnsi="CIDFont+F4"/>
                <w:b/>
                <w:i w:val="0"/>
                <w:sz w:val="20"/>
              </w:rPr>
              <w:t>Orden de servicio: 25757/25</w:t>
            </w:r>
          </w:p>
        </w:tc>
        <w:tc>
          <w:tcPr>
            <w:tcW w:type="dxa" w:w="3308"/>
            <w:gridSpan w:val="4"/>
            <w:tcBorders>
              <w:start w:sz="4.0" w:val="single" w:color="#000000"/>
              <w:top w:sz="4.0" w:val="single" w:color="#000000"/>
              <w:end w:sz="3.2000000000007276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96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Orden: CI-2025</w:t>
            </w:r>
          </w:p>
        </w:tc>
      </w:tr>
      <w:tr>
        <w:trPr>
          <w:trHeight w:hRule="exact" w:val="292"/>
          <w:trHeight w:hRule="auto"/>
        </w:trPr>
        <w:tc>
          <w:tcPr>
            <w:tcW w:type="dxa" w:w="10764"/>
            <w:gridSpan w:val="17"/>
            <w:tcBorders>
              <w:start w:sz="3.1999999999999886" w:val="single" w:color="#000000"/>
              <w:top w:sz="3.2000000000000455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112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Números de serie de los equipos probados: 25757/25/0001 y 25757/25/0020</w:t>
            </w:r>
          </w:p>
        </w:tc>
      </w:tr>
      <w:tr>
        <w:trPr>
          <w:trHeight w:hRule="exact" w:val="288"/>
          <w:trHeight w:hRule="auto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112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Propósito: Prueba de rutina</w:t>
            </w:r>
          </w:p>
        </w:tc>
      </w:tr>
      <w:tr>
        <w:trPr>
          <w:trHeight w:hRule="exact" w:val="288"/>
          <w:trHeight w:hRule="auto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112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Cliente: COMERCIAL INGEOELECTRICA SAS</w:t>
            </w:r>
          </w:p>
        </w:tc>
      </w:tr>
      <w:tr>
        <w:trPr>
          <w:trHeight w:hRule="exact" w:val="290"/>
          <w:trHeight w:hRule="auto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112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Dirección: Carrera. 21, 169-7, Oficina 201, BOGOTÁ DC-CO</w:t>
            </w:r>
          </w:p>
        </w:tc>
      </w:tr>
      <w:tr>
        <w:trPr>
          <w:trHeight w:hRule="exact" w:val="318"/>
          <w:trHeight w:hRule="auto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112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Obs.:</w:t>
            </w:r>
          </w:p>
        </w:tc>
      </w:tr>
      <w:tr>
        <w:trPr>
          <w:trHeight w:hRule="exact" w:val="344"/>
          <w:trHeight w:hRule="auto"/>
        </w:trPr>
        <w:tc>
          <w:tcPr>
            <w:tcW w:type="dxa" w:w="10764"/>
            <w:gridSpan w:val="17"/>
            <w:tcBorders>
              <w:start w:sz="3.1999999999999886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0" w:firstLine="0"/>
              <w:jc w:val="center"/>
            </w:pPr>
            <w:r>
              <w:rPr>
                <w:rFonts w:ascii="CIDFont+F4" w:hAnsi="CIDFont+F4"/>
                <w:b/>
                <w:i w:val="0"/>
                <w:sz w:val="24"/>
              </w:rPr>
              <w:t>IDENTIFICACIÓN DEL MONTAJE / SISTEMA DE MEDICIÓN</w:t>
            </w:r>
          </w:p>
        </w:tc>
      </w:tr>
      <w:tr>
        <w:trPr>
          <w:trHeight w:hRule="exact" w:val="292"/>
          <w:trHeight w:hRule="auto"/>
        </w:trPr>
        <w:tc>
          <w:tcPr>
            <w:tcW w:type="dxa" w:w="5396"/>
            <w:gridSpan w:val="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112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Modelo: ANTENA</w:t>
            </w:r>
          </w:p>
        </w:tc>
        <w:tc>
          <w:tcPr>
            <w:tcW w:type="dxa" w:w="5368"/>
            <w:gridSpan w:val="9"/>
            <w:tcBorders>
              <w:start w:sz="4.0" w:val="single" w:color="#000000"/>
              <w:top w:sz="4.0" w:val="single" w:color="#000000"/>
              <w:end w:sz="3.2000000000007276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104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Número de elementos: 3</w:t>
            </w:r>
          </w:p>
        </w:tc>
      </w:tr>
      <w:tr>
        <w:trPr>
          <w:trHeight w:hRule="exact" w:val="290"/>
          <w:trHeight w:hRule="auto"/>
        </w:trPr>
        <w:tc>
          <w:tcPr>
            <w:tcW w:type="dxa" w:w="10764"/>
            <w:gridSpan w:val="17"/>
            <w:tcBorders>
              <w:start w:sz="3.1999999999999886" w:val="single" w:color="#000000"/>
              <w:top w:sz="3.2000000000000455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112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Tipo: CMT17110</w:t>
            </w:r>
          </w:p>
        </w:tc>
      </w:tr>
      <w:tr>
        <w:trPr>
          <w:trHeight w:hRule="exact" w:val="290"/>
          <w:trHeight w:hRule="auto"/>
        </w:trPr>
        <w:tc>
          <w:tcPr>
            <w:tcW w:type="dxa" w:w="4032"/>
            <w:gridSpan w:val="4"/>
            <w:tcBorders>
              <w:start w:sz="3.1999999999999886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112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Manual: MICM-17</w:t>
            </w:r>
          </w:p>
        </w:tc>
        <w:tc>
          <w:tcPr>
            <w:tcW w:type="dxa" w:w="2804"/>
            <w:gridSpan w:val="8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106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Mes/Año:11/2025</w:t>
            </w:r>
          </w:p>
        </w:tc>
        <w:tc>
          <w:tcPr>
            <w:tcW w:type="dxa" w:w="3928"/>
            <w:gridSpan w:val="5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94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Voltaje máximo: 17,5 kV</w:t>
            </w:r>
          </w:p>
        </w:tc>
      </w:tr>
      <w:tr>
        <w:trPr>
          <w:trHeight w:hRule="exact" w:val="288"/>
          <w:trHeight w:hRule="auto"/>
        </w:trPr>
        <w:tc>
          <w:tcPr>
            <w:tcW w:type="dxa" w:w="4982"/>
            <w:gridSpan w:val="7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112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Nivel de aislamiento: 38 / 95 / --kV</w:t>
            </w:r>
          </w:p>
        </w:tc>
        <w:tc>
          <w:tcPr>
            <w:tcW w:type="dxa" w:w="2754"/>
            <w:gridSpan w:val="7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104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Frecuencia: 60Hz</w:t>
            </w:r>
          </w:p>
        </w:tc>
        <w:tc>
          <w:tcPr>
            <w:tcW w:type="dxa" w:w="3028"/>
            <w:gridSpan w:val="3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96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Uso: EXTERIOR</w:t>
            </w:r>
          </w:p>
        </w:tc>
      </w:tr>
      <w:tr>
        <w:trPr>
          <w:trHeight w:hRule="exact" w:val="292"/>
          <w:trHeight w:hRule="auto"/>
        </w:trPr>
        <w:tc>
          <w:tcPr>
            <w:tcW w:type="dxa" w:w="6306"/>
            <w:gridSpan w:val="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112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Material aislante: EPOXI CICLOALIFÁTICO</w:t>
            </w:r>
          </w:p>
        </w:tc>
        <w:tc>
          <w:tcPr>
            <w:tcW w:type="dxa" w:w="4458"/>
            <w:gridSpan w:val="7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98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Peso: 110 kg</w:t>
            </w:r>
          </w:p>
        </w:tc>
      </w:tr>
      <w:tr>
        <w:trPr>
          <w:trHeight w:hRule="exact" w:val="286"/>
          <w:trHeight w:hRule="auto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112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Normas: NTC 5933:2012 - (IEC 81689-1:2007) - IEC 61869-2:2012 - IEC 61869-3:2011 - IEC 61869-2:2013</w:t>
            </w:r>
          </w:p>
        </w:tc>
      </w:tr>
      <w:tr>
        <w:trPr>
          <w:trHeight w:hRule="exact" w:val="350"/>
          <w:trHeight w:hRule="auto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0" w:firstLine="0"/>
              <w:jc w:val="center"/>
            </w:pPr>
            <w:r>
              <w:rPr>
                <w:rFonts w:ascii="CIDFont+F4" w:hAnsi="CIDFont+F4"/>
                <w:b/>
                <w:i w:val="0"/>
                <w:sz w:val="24"/>
              </w:rPr>
              <w:t>IDENTIFICACIÓN DE TRANSFORMADORES DE CORRIENTE</w:t>
            </w:r>
          </w:p>
        </w:tc>
      </w:tr>
      <w:tr>
        <w:trPr>
          <w:trHeight w:hRule="exact" w:val="290"/>
          <w:trHeight w:hRule="auto"/>
        </w:trPr>
        <w:tc>
          <w:tcPr>
            <w:tcW w:type="dxa" w:w="5662"/>
            <w:gridSpan w:val="9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112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Corriente térmica: 1,8</w:t>
            </w:r>
          </w:p>
        </w:tc>
        <w:tc>
          <w:tcPr>
            <w:tcW w:type="dxa" w:w="5102"/>
            <w:gridSpan w:val="8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96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Corriente dinámica: 4,5 kA</w:t>
            </w:r>
          </w:p>
        </w:tc>
      </w:tr>
      <w:tr>
        <w:trPr>
          <w:trHeight w:hRule="exact" w:val="286"/>
          <w:trHeight w:hRule="auto"/>
        </w:trPr>
        <w:tc>
          <w:tcPr>
            <w:tcW w:type="dxa" w:w="1868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CIDFont+F4" w:hAnsi="CIDFont+F4"/>
                <w:b/>
                <w:i w:val="0"/>
                <w:sz w:val="20"/>
              </w:rPr>
              <w:t>Terminales</w:t>
            </w:r>
          </w:p>
        </w:tc>
        <w:tc>
          <w:tcPr>
            <w:tcW w:type="dxa" w:w="2532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CIDFont+F4" w:hAnsi="CIDFont+F4"/>
                <w:b/>
                <w:i w:val="0"/>
                <w:sz w:val="20"/>
              </w:rPr>
              <w:t>Corriente nominal</w:t>
            </w:r>
          </w:p>
        </w:tc>
        <w:tc>
          <w:tcPr>
            <w:tcW w:type="dxa" w:w="2044"/>
            <w:gridSpan w:val="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CIDFont+F4" w:hAnsi="CIDFont+F4"/>
                <w:b/>
                <w:i w:val="0"/>
                <w:sz w:val="20"/>
              </w:rPr>
              <w:t>Exactitud</w:t>
            </w:r>
          </w:p>
        </w:tc>
        <w:tc>
          <w:tcPr>
            <w:tcW w:type="dxa" w:w="1792"/>
            <w:gridSpan w:val="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CIDFont+F4" w:hAnsi="CIDFont+F4"/>
                <w:b/>
                <w:i w:val="0"/>
                <w:sz w:val="20"/>
              </w:rPr>
              <w:t>Relación nominal</w:t>
            </w:r>
          </w:p>
        </w:tc>
        <w:tc>
          <w:tcPr>
            <w:tcW w:type="dxa" w:w="2528"/>
            <w:gridSpan w:val="2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CIDFont+F4" w:hAnsi="CIDFont+F4"/>
                <w:b/>
                <w:i w:val="0"/>
                <w:sz w:val="20"/>
              </w:rPr>
              <w:t>Carga</w:t>
            </w:r>
          </w:p>
        </w:tc>
      </w:tr>
      <w:tr>
        <w:trPr>
          <w:trHeight w:hRule="exact" w:val="292"/>
          <w:trHeight w:hRule="auto"/>
        </w:trPr>
        <w:tc>
          <w:tcPr>
            <w:tcW w:type="dxa" w:w="1868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0" w:firstLine="0"/>
              <w:jc w:val="center"/>
            </w:pPr>
            <w:r>
              <w:rPr>
                <w:rFonts w:ascii="CIDFont+F4" w:hAnsi="CIDFont+F4"/>
                <w:b/>
                <w:i w:val="0"/>
                <w:sz w:val="20"/>
              </w:rPr>
              <w:t>1P1 – 1P2</w:t>
            </w:r>
          </w:p>
        </w:tc>
        <w:tc>
          <w:tcPr>
            <w:tcW w:type="dxa" w:w="2532"/>
            <w:gridSpan w:val="3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008" w:right="864" w:firstLine="0"/>
              <w:jc w:val="center"/>
            </w:pPr>
            <w:r>
              <w:rPr>
                <w:rFonts w:ascii="CIDFont+F5" w:hAnsi="CIDFont+F5"/>
                <w:b w:val="0"/>
                <w:i w:val="0"/>
                <w:sz w:val="20"/>
              </w:rPr>
              <w:t xml:space="preserve">10 - 5 </w:t>
              <w:br/>
              <w:t>20 - 5</w:t>
            </w:r>
          </w:p>
        </w:tc>
        <w:tc>
          <w:tcPr>
            <w:tcW w:type="dxa" w:w="2044"/>
            <w:gridSpan w:val="6"/>
            <w:vMerge w:val="restart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12" w:after="0"/>
              <w:ind w:left="0" w:right="758" w:firstLine="0"/>
              <w:jc w:val="right"/>
            </w:pPr>
            <w:r>
              <w:rPr>
                <w:rFonts w:ascii="CIDFont+F5" w:hAnsi="CIDFont+F5"/>
                <w:b w:val="0"/>
                <w:i w:val="0"/>
                <w:sz w:val="20"/>
              </w:rPr>
              <w:t>0,5S</w:t>
            </w:r>
          </w:p>
        </w:tc>
        <w:tc>
          <w:tcPr>
            <w:tcW w:type="dxa" w:w="1792"/>
            <w:gridSpan w:val="4"/>
            <w:vMerge w:val="restart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720" w:right="720" w:firstLine="0"/>
              <w:jc w:val="center"/>
            </w:pPr>
            <w:r>
              <w:rPr>
                <w:rFonts w:ascii="CIDFont+F5" w:hAnsi="CIDFont+F5"/>
                <w:b w:val="0"/>
                <w:i w:val="0"/>
                <w:sz w:val="20"/>
              </w:rPr>
              <w:t xml:space="preserve">2:1 </w:t>
              <w:br/>
              <w:t>4:1</w:t>
            </w:r>
          </w:p>
        </w:tc>
        <w:tc>
          <w:tcPr>
            <w:tcW w:type="dxa" w:w="2528"/>
            <w:gridSpan w:val="2"/>
            <w:vMerge w:val="restart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12" w:after="0"/>
              <w:ind w:left="270" w:right="0" w:firstLine="0"/>
              <w:jc w:val="left"/>
            </w:pPr>
            <w:r>
              <w:rPr>
                <w:rFonts w:ascii="CIDFont+F5" w:hAnsi="CIDFont+F5"/>
                <w:b w:val="0"/>
                <w:i w:val="0"/>
                <w:sz w:val="20"/>
              </w:rPr>
              <w:t>Clase 5VA. 0.5S exactamente 150%</w:t>
            </w:r>
          </w:p>
        </w:tc>
      </w:tr>
      <w:tr>
        <w:trPr>
          <w:trHeight w:hRule="exact" w:val="288"/>
          <w:trHeight w:hRule="auto"/>
        </w:trPr>
        <w:tc>
          <w:tcPr>
            <w:tcW w:type="dxa" w:w="1868"/>
            <w:gridSpan w:val="2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CIDFont+F4" w:hAnsi="CIDFont+F4"/>
                <w:b/>
                <w:i w:val="0"/>
                <w:sz w:val="20"/>
              </w:rPr>
              <w:t>2P1 – 2P2</w:t>
            </w:r>
          </w:p>
        </w:tc>
        <w:tc>
          <w:tcPr>
            <w:tcW w:type="dxa" w:w="1905"/>
            <w:gridSpan w:val="3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3810"/>
            <w:gridSpan w:val="6"/>
            <w:vMerge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</w:tcPr>
          <w:p/>
        </w:tc>
        <w:tc>
          <w:tcPr>
            <w:tcW w:type="dxa" w:w="2540"/>
            <w:gridSpan w:val="4"/>
            <w:vMerge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70"/>
            <w:gridSpan w:val="2"/>
            <w:vMerge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</w:tcPr>
          <w:p/>
        </w:tc>
      </w:tr>
      <w:tr>
        <w:trPr>
          <w:trHeight w:hRule="exact" w:val="290"/>
          <w:trHeight w:hRule="auto"/>
        </w:trPr>
        <w:tc>
          <w:tcPr>
            <w:tcW w:type="dxa" w:w="1868"/>
            <w:gridSpan w:val="2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0" w:firstLine="0"/>
              <w:jc w:val="center"/>
            </w:pPr>
            <w:r>
              <w:rPr>
                <w:rFonts w:ascii="CIDFont+F4" w:hAnsi="CIDFont+F4"/>
                <w:b/>
                <w:i w:val="0"/>
                <w:sz w:val="20"/>
              </w:rPr>
              <w:t>3P1 – 3P2</w:t>
            </w:r>
          </w:p>
        </w:tc>
        <w:tc>
          <w:tcPr>
            <w:tcW w:type="dxa" w:w="1905"/>
            <w:gridSpan w:val="3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3810"/>
            <w:gridSpan w:val="6"/>
            <w:vMerge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</w:tcPr>
          <w:p/>
        </w:tc>
        <w:tc>
          <w:tcPr>
            <w:tcW w:type="dxa" w:w="2540"/>
            <w:gridSpan w:val="4"/>
            <w:vMerge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70"/>
            <w:gridSpan w:val="2"/>
            <w:vMerge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</w:tcPr>
          <w:p/>
        </w:tc>
      </w:tr>
      <w:tr>
        <w:trPr>
          <w:trHeight w:hRule="exact" w:val="346"/>
          <w:trHeight w:hRule="auto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0" w:firstLine="0"/>
              <w:jc w:val="center"/>
            </w:pPr>
            <w:r>
              <w:rPr>
                <w:rFonts w:ascii="CIDFont+F4" w:hAnsi="CIDFont+F4"/>
                <w:b/>
                <w:i w:val="0"/>
                <w:sz w:val="24"/>
              </w:rPr>
              <w:t>IDENTIFICACIÓN DE POTENCIALES TRANSFORMADORES</w:t>
            </w:r>
          </w:p>
        </w:tc>
      </w:tr>
      <w:tr>
        <w:trPr>
          <w:trHeight w:hRule="exact" w:val="292"/>
          <w:trHeight w:hRule="auto"/>
        </w:trPr>
        <w:tc>
          <w:tcPr>
            <w:tcW w:type="dxa" w:w="3536"/>
            <w:gridSpan w:val="3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112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Clase de temperatura: B</w:t>
            </w:r>
          </w:p>
        </w:tc>
        <w:tc>
          <w:tcPr>
            <w:tcW w:type="dxa" w:w="4700"/>
            <w:gridSpan w:val="1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108" w:right="0" w:firstLine="0"/>
              <w:jc w:val="left"/>
            </w:pPr>
            <w:r>
              <w:rPr>
                <w:rFonts w:ascii="CIDFont+F5" w:hAnsi="CIDFont+F5"/>
                <w:b w:val="0"/>
                <w:i w:val="0"/>
                <w:sz w:val="20"/>
              </w:rPr>
              <w:t>Categoría de temperatura: -540ºC</w:t>
            </w:r>
          </w:p>
        </w:tc>
        <w:tc>
          <w:tcPr>
            <w:tcW w:type="dxa" w:w="2528"/>
            <w:gridSpan w:val="2"/>
            <w:tcBorders>
              <w:start w:sz="4.0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76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Potencia Térmica: 400VA</w:t>
            </w:r>
          </w:p>
        </w:tc>
      </w:tr>
      <w:tr>
        <w:trPr>
          <w:trHeight w:hRule="exact" w:val="286"/>
          <w:trHeight w:hRule="auto"/>
        </w:trPr>
        <w:tc>
          <w:tcPr>
            <w:tcW w:type="dxa" w:w="4400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112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Primero. Cont.: 120%</w:t>
            </w:r>
          </w:p>
        </w:tc>
        <w:tc>
          <w:tcPr>
            <w:tcW w:type="dxa" w:w="6364"/>
            <w:gridSpan w:val="12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104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Primero. 30 años: 150%</w:t>
            </w:r>
          </w:p>
        </w:tc>
      </w:tr>
      <w:tr>
        <w:trPr>
          <w:trHeight w:hRule="exact" w:val="290"/>
          <w:trHeight w:hRule="auto"/>
        </w:trPr>
        <w:tc>
          <w:tcPr>
            <w:tcW w:type="dxa" w:w="1868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CIDFont+F4" w:hAnsi="CIDFont+F4"/>
                <w:b/>
                <w:i w:val="0"/>
                <w:sz w:val="20"/>
              </w:rPr>
              <w:t>Terminales</w:t>
            </w:r>
          </w:p>
        </w:tc>
        <w:tc>
          <w:tcPr>
            <w:tcW w:type="dxa" w:w="2532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CIDFont+F4" w:hAnsi="CIDFont+F4"/>
                <w:b/>
                <w:i w:val="0"/>
                <w:sz w:val="20"/>
              </w:rPr>
              <w:t>Tensión nominal</w:t>
            </w:r>
          </w:p>
        </w:tc>
        <w:tc>
          <w:tcPr>
            <w:tcW w:type="dxa" w:w="2044"/>
            <w:gridSpan w:val="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CIDFont+F4" w:hAnsi="CIDFont+F4"/>
                <w:b/>
                <w:i w:val="0"/>
                <w:sz w:val="20"/>
              </w:rPr>
              <w:t>Exactitud</w:t>
            </w:r>
          </w:p>
        </w:tc>
        <w:tc>
          <w:tcPr>
            <w:tcW w:type="dxa" w:w="1792"/>
            <w:gridSpan w:val="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CIDFont+F4" w:hAnsi="CIDFont+F4"/>
                <w:b/>
                <w:i w:val="0"/>
                <w:sz w:val="20"/>
              </w:rPr>
              <w:t>Relación nominal</w:t>
            </w:r>
          </w:p>
        </w:tc>
        <w:tc>
          <w:tcPr>
            <w:tcW w:type="dxa" w:w="2528"/>
            <w:gridSpan w:val="2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906" w:firstLine="0"/>
              <w:jc w:val="right"/>
            </w:pPr>
            <w:r>
              <w:rPr>
                <w:rFonts w:ascii="CIDFont+F4" w:hAnsi="CIDFont+F4"/>
                <w:b/>
                <w:i w:val="0"/>
                <w:sz w:val="20"/>
              </w:rPr>
              <w:t>Carga (VA)</w:t>
            </w:r>
          </w:p>
        </w:tc>
      </w:tr>
      <w:tr>
        <w:trPr>
          <w:trHeight w:hRule="exact" w:val="290"/>
          <w:trHeight w:hRule="auto"/>
        </w:trPr>
        <w:tc>
          <w:tcPr>
            <w:tcW w:type="dxa" w:w="1868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0" w:firstLine="0"/>
              <w:jc w:val="center"/>
            </w:pPr>
            <w:r>
              <w:rPr>
                <w:rFonts w:ascii="CIDFont+F4" w:hAnsi="CIDFont+F4"/>
                <w:b/>
                <w:i w:val="0"/>
                <w:sz w:val="20"/>
              </w:rPr>
              <w:t>1H1 – 1H2</w:t>
            </w:r>
          </w:p>
        </w:tc>
        <w:tc>
          <w:tcPr>
            <w:tcW w:type="dxa" w:w="2532"/>
            <w:gridSpan w:val="3"/>
            <w:vMerge w:val="restart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10" w:after="0"/>
              <w:ind w:left="0" w:right="0" w:firstLine="0"/>
              <w:jc w:val="center"/>
            </w:pPr>
            <w:r>
              <w:rPr>
                <w:rFonts w:ascii="CIDFont+F5" w:hAnsi="CIDFont+F5"/>
                <w:b w:val="0"/>
                <w:i w:val="0"/>
                <w:sz w:val="20"/>
              </w:rPr>
              <w:t>13200/√3-120/√3</w:t>
            </w:r>
          </w:p>
        </w:tc>
        <w:tc>
          <w:tcPr>
            <w:tcW w:type="dxa" w:w="2044"/>
            <w:gridSpan w:val="6"/>
            <w:vMerge w:val="restart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10" w:after="0"/>
              <w:ind w:left="0" w:right="0" w:firstLine="0"/>
              <w:jc w:val="center"/>
            </w:pPr>
            <w:r>
              <w:rPr>
                <w:rFonts w:ascii="CIDFont+F5" w:hAnsi="CIDFont+F5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1792"/>
            <w:gridSpan w:val="4"/>
            <w:vMerge w:val="restart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10" w:after="0"/>
              <w:ind w:left="0" w:right="572" w:firstLine="0"/>
              <w:jc w:val="right"/>
            </w:pPr>
            <w:r>
              <w:rPr>
                <w:rFonts w:ascii="CIDFont+F5" w:hAnsi="CIDFont+F5"/>
                <w:b w:val="0"/>
                <w:i w:val="0"/>
                <w:sz w:val="20"/>
              </w:rPr>
              <w:t>110:1</w:t>
            </w:r>
          </w:p>
        </w:tc>
        <w:tc>
          <w:tcPr>
            <w:tcW w:type="dxa" w:w="2528"/>
            <w:gridSpan w:val="2"/>
            <w:vMerge w:val="restart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10" w:after="0"/>
              <w:ind w:left="0" w:right="0" w:firstLine="0"/>
              <w:jc w:val="center"/>
            </w:pPr>
            <w:r>
              <w:rPr>
                <w:rFonts w:ascii="CIDFont+F5" w:hAnsi="CIDFont+F5"/>
                <w:b w:val="0"/>
                <w:i w:val="0"/>
                <w:sz w:val="20"/>
              </w:rPr>
              <w:t>15</w:t>
            </w:r>
          </w:p>
        </w:tc>
      </w:tr>
      <w:tr>
        <w:trPr>
          <w:trHeight w:hRule="exact" w:val="290"/>
          <w:trHeight w:hRule="auto"/>
        </w:trPr>
        <w:tc>
          <w:tcPr>
            <w:tcW w:type="dxa" w:w="1868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0" w:firstLine="0"/>
              <w:jc w:val="center"/>
            </w:pPr>
            <w:r>
              <w:rPr>
                <w:rFonts w:ascii="CIDFont+F4" w:hAnsi="CIDFont+F4"/>
                <w:b/>
                <w:i w:val="0"/>
                <w:sz w:val="20"/>
              </w:rPr>
              <w:t>2H1 – 2H2</w:t>
            </w:r>
          </w:p>
        </w:tc>
        <w:tc>
          <w:tcPr>
            <w:tcW w:type="dxa" w:w="1905"/>
            <w:gridSpan w:val="3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3810"/>
            <w:gridSpan w:val="6"/>
            <w:vMerge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</w:tcPr>
          <w:p/>
        </w:tc>
        <w:tc>
          <w:tcPr>
            <w:tcW w:type="dxa" w:w="2540"/>
            <w:gridSpan w:val="4"/>
            <w:vMerge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70"/>
            <w:gridSpan w:val="2"/>
            <w:vMerge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</w:tcPr>
          <w:p/>
        </w:tc>
      </w:tr>
      <w:tr>
        <w:trPr>
          <w:trHeight w:hRule="exact" w:val="290"/>
          <w:trHeight w:hRule="auto"/>
        </w:trPr>
        <w:tc>
          <w:tcPr>
            <w:tcW w:type="dxa" w:w="1868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CIDFont+F4" w:hAnsi="CIDFont+F4"/>
                <w:b/>
                <w:i w:val="0"/>
                <w:sz w:val="20"/>
              </w:rPr>
              <w:t>3H1 – 3H2</w:t>
            </w:r>
          </w:p>
        </w:tc>
        <w:tc>
          <w:tcPr>
            <w:tcW w:type="dxa" w:w="1905"/>
            <w:gridSpan w:val="3"/>
            <w:vMerge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3810"/>
            <w:gridSpan w:val="6"/>
            <w:vMerge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</w:tcPr>
          <w:p/>
        </w:tc>
        <w:tc>
          <w:tcPr>
            <w:tcW w:type="dxa" w:w="2540"/>
            <w:gridSpan w:val="4"/>
            <w:vMerge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270"/>
            <w:gridSpan w:val="2"/>
            <w:vMerge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</w:tcPr>
          <w:p/>
        </w:tc>
      </w:tr>
      <w:tr>
        <w:trPr>
          <w:trHeight w:hRule="exact" w:val="346"/>
          <w:trHeight w:hRule="auto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" w:after="0"/>
              <w:ind w:left="0" w:right="0" w:firstLine="0"/>
              <w:jc w:val="center"/>
            </w:pPr>
            <w:r>
              <w:rPr>
                <w:rFonts w:ascii="CIDFont+F4" w:hAnsi="CIDFont+F4"/>
                <w:b/>
                <w:i w:val="0"/>
                <w:sz w:val="24"/>
              </w:rPr>
              <w:t>Pruebas realizadas en los Laboratorios de Ensayos SERTA:</w:t>
            </w:r>
          </w:p>
        </w:tc>
      </w:tr>
      <w:tr>
        <w:trPr>
          <w:trHeight w:hRule="exact" w:val="982"/>
          <w:trHeight w:hRule="auto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" w:after="0"/>
              <w:ind w:left="288" w:right="288" w:firstLine="0"/>
              <w:jc w:val="center"/>
            </w:pPr>
            <w:r>
              <w:rPr>
                <w:rFonts w:ascii="CIDFont+F5" w:hAnsi="CIDFont+F5"/>
                <w:b w:val="0"/>
                <w:i w:val="0"/>
                <w:sz w:val="20"/>
              </w:rPr>
              <w:t>Tensión soportada a frecuencia industrial en los devanados secundarios y entre secciones - TP inducida y Sobretensión entre espiras - TC inducida / Tensión soportada a frecuencia industrial en los devanados primarios - TP aplicada y tensión soportada a frecuencia industrial seca en el primario - TC aplicada / Descargas parciales / Polaridad y Precisión de TP's / Polaridad y Precisión de TC'S ´</w:t>
            </w:r>
          </w:p>
        </w:tc>
      </w:tr>
      <w:tr>
        <w:trPr>
          <w:trHeight w:hRule="exact" w:val="348"/>
          <w:trHeight w:hRule="auto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" w:after="0"/>
              <w:ind w:left="0" w:right="0" w:firstLine="0"/>
              <w:jc w:val="center"/>
            </w:pPr>
            <w:r>
              <w:rPr>
                <w:rFonts w:ascii="CIDFont+F4" w:hAnsi="CIDFont+F4"/>
                <w:b/>
                <w:i w:val="0"/>
                <w:sz w:val="24"/>
              </w:rPr>
              <w:t>EQUIPO TÉCNICO DE LABORATORIO:</w:t>
            </w:r>
          </w:p>
        </w:tc>
      </w:tr>
      <w:tr>
        <w:trPr>
          <w:trHeight w:hRule="exact" w:val="742"/>
          <w:trHeight w:hRule="auto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834" w:val="left"/>
                <w:tab w:pos="3196" w:val="left"/>
              </w:tabs>
              <w:autoSpaceDE w:val="0"/>
              <w:widowControl/>
              <w:spacing w:line="240" w:lineRule="auto" w:before="0" w:after="0"/>
              <w:ind w:left="1450" w:right="1296" w:firstLine="0"/>
              <w:jc w:val="left"/>
            </w:pPr>
            <w:r>
              <w:rPr>
                <w:rFonts w:ascii="CIDFont+F5" w:hAnsi="CIDFont+F5"/>
                <w:b w:val="0"/>
                <w:i w:val="0"/>
                <w:sz w:val="20"/>
              </w:rPr>
              <w:t>DANIEL COSTA MONTEIRO, BERNARDO MALAQUIAS DE LIMA, GLAUBER ANTÔNIO PIRES SOARES, KELVIN CÂNDIDO DE CARVALHO, JEAN FELIPE ANTUNES, LEANDRO MACEDO GONÇALVES, LUIZ PAULO DA COSTA PEREIRA, TIAGO PINHEIRO SILVA</w:t>
            </w:r>
          </w:p>
        </w:tc>
      </w:tr>
      <w:tr>
        <w:trPr>
          <w:trHeight w:hRule="exact" w:val="348"/>
          <w:trHeight w:hRule="auto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0" w:firstLine="0"/>
              <w:jc w:val="center"/>
            </w:pPr>
            <w:r>
              <w:rPr>
                <w:rFonts w:ascii="CIDFont+F4" w:hAnsi="CIDFont+F4"/>
                <w:b/>
                <w:i w:val="0"/>
                <w:sz w:val="24"/>
              </w:rPr>
              <w:t>CONCLUSIÓN</w:t>
            </w:r>
          </w:p>
        </w:tc>
      </w:tr>
      <w:tr>
        <w:trPr>
          <w:trHeight w:hRule="exact" w:val="290"/>
          <w:trHeight w:hRule="auto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" w:after="0"/>
              <w:ind w:left="776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Los resultados de las pruebas se consideran satisfactorios, según lo especificado en las Normas Pertinentes.</w:t>
            </w:r>
          </w:p>
        </w:tc>
      </w:tr>
      <w:tr>
        <w:trPr>
          <w:trHeight w:hRule="exact" w:val="284"/>
          <w:trHeight w:hRule="auto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8" w:after="0"/>
              <w:ind w:left="328" w:right="0" w:firstLine="0"/>
              <w:jc w:val="left"/>
            </w:pPr>
            <w:r>
              <w:rPr>
                <w:rFonts w:ascii="CIDFont+F4" w:hAnsi="CIDFont+F4"/>
                <w:b/>
                <w:i w:val="0"/>
                <w:sz w:val="20"/>
              </w:rPr>
              <w:t>El informe de la prueba deberá reproducirse íntegramente. La reproducción de piezas requiere la aprobación por escrito del laboratorio.</w:t>
            </w:r>
          </w:p>
        </w:tc>
      </w:tr>
      <w:tr>
        <w:trPr>
          <w:trHeight w:hRule="exact" w:val="2048"/>
          <w:trHeight w:hRule="auto"/>
        </w:trPr>
        <w:tc>
          <w:tcPr>
            <w:tcW w:type="dxa" w:w="10764"/>
            <w:gridSpan w:val="17"/>
            <w:tcBorders>
              <w:start w:sz="3.1999999999999886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36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828790" cy="7277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28790" cy="7277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454" w:bottom="283" w:left="45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