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description: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countypops_2013 - county populations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commute_flow_counts - population adjusted counts as reported through ACS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total_commute_flow_counts - including the non-commute population to self-edges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total_commute_flow_matrix - source normalized version of total_commute_flow_counts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state_county_FIPS - key for county FIPS to name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