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sz w:val="56"/>
          <w:szCs w:val="56"/>
        </w:rPr>
        <w:t xml:space="preserve">Iowa Legal Corpus MCP</w:t>
      </w:r>
    </w:p>
    <w:p>
      <w:pPr>
        <w:spacing w:after="600"/>
        <w:jc w:val="center"/>
      </w:pPr>
      <w:r>
        <w:rPr>
          <w:rFonts w:ascii="Arial" w:cs="Arial" w:eastAsia="Arial" w:hAnsi="Arial"/>
          <w:sz w:val="32"/>
          <w:szCs w:val="32"/>
        </w:rPr>
        <w:t xml:space="preserve">Project Brief &amp; Architecture Plan</w:t>
      </w:r>
    </w:p>
    <w:p>
      <w:pPr>
        <w:spacing w:after="120"/>
        <w:jc w:val="center"/>
      </w:pPr>
      <w:r>
        <w:rPr>
          <w:rFonts w:ascii="Arial" w:cs="Arial" w:eastAsia="Arial" w:hAnsi="Arial"/>
          <w:i/>
          <w:iCs/>
          <w:color w:val="666666"/>
          <w:sz w:val="24"/>
          <w:szCs w:val="24"/>
        </w:rPr>
        <w:t xml:space="preserve">A jurisdiction-aware MCP server for legal research</w:t>
      </w:r>
    </w:p>
    <w:p>
      <w:pPr>
        <w:spacing w:after="120" w:before="1200"/>
        <w:jc w:val="center"/>
      </w:pPr>
      <w:r>
        <w:rPr>
          <w:rFonts w:ascii="Arial" w:cs="Arial" w:eastAsia="Arial" w:hAnsi="Arial"/>
          <w:color w:val="666666"/>
          <w:sz w:val="22"/>
          <w:szCs w:val="22"/>
        </w:rPr>
        <w:t xml:space="preserve">Draft v0.1</w:t>
      </w:r>
    </w:p>
    <w:p>
      <w:pPr>
        <w:jc w:val="center"/>
      </w:pPr>
      <w:r>
        <w:rPr>
          <w:rFonts w:ascii="Arial" w:cs="Arial" w:eastAsia="Arial" w:hAnsi="Arial"/>
          <w:color w:val="666666"/>
          <w:sz w:val="22"/>
          <w:szCs w:val="22"/>
        </w:rPr>
        <w:t xml:space="preserve">April 2026</w:t>
      </w:r>
    </w:p>
    <w:p>
      <w:pPr>
        <w:pageBreakBefore/>
      </w:pPr>
      <w:r>
        <w:br/>
        <w:t xml:space="preserve"/>
      </w:r>
    </w:p>
    <w:p>
      <w:pPr>
        <w:pStyle w:val="Heading1"/>
        <w:spacing w:after="200" w:before="360"/>
      </w:pPr>
      <w:r>
        <w:rPr>
          <w:rFonts w:ascii="Arial" w:cs="Arial" w:eastAsia="Arial" w:hAnsi="Arial"/>
          <w:b/>
          <w:bCs/>
          <w:sz w:val="32"/>
          <w:szCs w:val="32"/>
        </w:rPr>
        <w:t xml:space="preserve">Executive summary</w:t>
      </w:r>
    </w:p>
    <w:p>
      <w:pPr>
        <w:spacing w:after="120" w:line="300"/>
      </w:pPr>
      <w:r>
        <w:rPr>
          <w:rFonts w:ascii="Arial" w:cs="Arial" w:eastAsia="Arial" w:hAnsi="Arial"/>
          <w:sz w:val="22"/>
          <w:szCs w:val="22"/>
        </w:rPr>
        <w:t xml:space="preserve">A Model Context Protocol (MCP) server that gives attorneys conversational access to the Iowa Code, Iowa Court Rules, and Iowa Administrative Code from inside Claude, ChatGPT, and other LLM clients. The product targets the segment underserved by Westlaw and Lexis: solo and small-firm attorneys in Iowa who pay disproportionately for general-purpose research tools.</w:t>
      </w:r>
    </w:p>
    <w:p>
      <w:pPr>
        <w:spacing w:after="120" w:line="300"/>
      </w:pPr>
      <w:r>
        <w:rPr>
          <w:rFonts w:ascii="Arial" w:cs="Arial" w:eastAsia="Arial" w:hAnsi="Arial"/>
          <w:b/>
          <w:bCs/>
          <w:sz w:val="22"/>
          <w:szCs w:val="22"/>
        </w:rPr>
        <w:t xml:space="preserve">Core value proposition. </w:t>
      </w:r>
      <w:r>
        <w:rPr>
          <w:rFonts w:ascii="Arial" w:cs="Arial" w:eastAsia="Arial" w:hAnsi="Arial"/>
          <w:sz w:val="22"/>
          <w:szCs w:val="22"/>
        </w:rPr>
        <w:t xml:space="preserve">Attorneys can ask their existing AI tool jurisdiction-specific legal questions and receive answers grounded in current, authoritative statutory text — with verifiable citations and effective-date awareness — without leaving their workflow.</w:t>
      </w:r>
    </w:p>
    <w:p>
      <w:pPr>
        <w:spacing w:after="120" w:line="300"/>
      </w:pPr>
      <w:r>
        <w:rPr>
          <w:rFonts w:ascii="Arial" w:cs="Arial" w:eastAsia="Arial" w:hAnsi="Arial"/>
          <w:b/>
          <w:bCs/>
          <w:sz w:val="22"/>
          <w:szCs w:val="22"/>
        </w:rPr>
        <w:t xml:space="preserve">Strategic moat. </w:t>
      </w:r>
      <w:r>
        <w:rPr>
          <w:rFonts w:ascii="Arial" w:cs="Arial" w:eastAsia="Arial" w:hAnsi="Arial"/>
          <w:sz w:val="22"/>
          <w:szCs w:val="22"/>
        </w:rPr>
        <w:t xml:space="preserve">The Iowa Code itself is public domain (Georgia v. Public.Resource.Org, 2020) and not defensible as data. The moat is operational: freshness of the update pipeline, retrieval quality (especially conceptual search), version history, the surrounding context of court rules and administrative code, and the trust earned through consistent reliability.</w:t>
      </w:r>
    </w:p>
    <w:p>
      <w:pPr>
        <w:pStyle w:val="Heading1"/>
        <w:spacing w:after="200" w:before="360"/>
      </w:pPr>
      <w:r>
        <w:rPr>
          <w:rFonts w:ascii="Arial" w:cs="Arial" w:eastAsia="Arial" w:hAnsi="Arial"/>
          <w:b/>
          <w:bCs/>
          <w:sz w:val="32"/>
          <w:szCs w:val="32"/>
        </w:rPr>
        <w:t xml:space="preserve">Market and positioning</w:t>
      </w:r>
    </w:p>
    <w:p>
      <w:pPr>
        <w:pStyle w:val="Heading2"/>
        <w:spacing w:after="160" w:before="280"/>
      </w:pPr>
      <w:r>
        <w:rPr>
          <w:rFonts w:ascii="Arial" w:cs="Arial" w:eastAsia="Arial" w:hAnsi="Arial"/>
          <w:b/>
          <w:bCs/>
          <w:sz w:val="28"/>
          <w:szCs w:val="28"/>
        </w:rPr>
        <w:t xml:space="preserve">Target segments</w:t>
      </w:r>
    </w:p>
    <w:p>
      <w:pPr>
        <w:pStyle w:val="ListParagraph"/>
        <w:numPr>
          <w:ilvl w:val="0"/>
          <w:numId w:val="2"/>
        </w:numPr>
        <w:spacing w:after="80" w:line="300"/>
      </w:pPr>
      <w:r>
        <w:rPr>
          <w:rFonts w:ascii="Arial" w:cs="Arial" w:eastAsia="Arial" w:hAnsi="Arial"/>
          <w:b/>
          <w:bCs/>
          <w:sz w:val="22"/>
          <w:szCs w:val="22"/>
        </w:rPr>
        <w:t xml:space="preserve">Primary: </w:t>
      </w:r>
      <w:r>
        <w:rPr>
          <w:rFonts w:ascii="Arial" w:cs="Arial" w:eastAsia="Arial" w:hAnsi="Arial"/>
          <w:sz w:val="22"/>
          <w:szCs w:val="22"/>
        </w:rPr>
        <w:t xml:space="preserve">Solo and small-firm Iowa attorneys (1–10 attorneys). Iowa has roughly 9,000 licensed attorneys; this segment is the most price-sensitive and underserved by the incumbents.</w:t>
      </w:r>
    </w:p>
    <w:p>
      <w:pPr>
        <w:pStyle w:val="ListParagraph"/>
        <w:numPr>
          <w:ilvl w:val="0"/>
          <w:numId w:val="2"/>
        </w:numPr>
        <w:spacing w:after="80" w:line="300"/>
      </w:pPr>
      <w:r>
        <w:rPr>
          <w:rFonts w:ascii="Arial" w:cs="Arial" w:eastAsia="Arial" w:hAnsi="Arial"/>
          <w:b/>
          <w:bCs/>
          <w:sz w:val="22"/>
          <w:szCs w:val="22"/>
        </w:rPr>
        <w:t xml:space="preserve">Secondary: </w:t>
      </w:r>
      <w:r>
        <w:rPr>
          <w:rFonts w:ascii="Arial" w:cs="Arial" w:eastAsia="Arial" w:hAnsi="Arial"/>
          <w:sz w:val="22"/>
          <w:szCs w:val="22"/>
        </w:rPr>
        <w:t xml:space="preserve">Mid-size Iowa firms (10–50 attorneys) using AI tools alongside their existing research subscriptions.</w:t>
      </w:r>
    </w:p>
    <w:p>
      <w:pPr>
        <w:pStyle w:val="ListParagraph"/>
        <w:numPr>
          <w:ilvl w:val="0"/>
          <w:numId w:val="2"/>
        </w:numPr>
        <w:spacing w:after="80" w:line="300"/>
      </w:pPr>
      <w:r>
        <w:rPr>
          <w:rFonts w:ascii="Arial" w:cs="Arial" w:eastAsia="Arial" w:hAnsi="Arial"/>
          <w:b/>
          <w:bCs/>
          <w:sz w:val="22"/>
          <w:szCs w:val="22"/>
        </w:rPr>
        <w:t xml:space="preserve">Tertiary: </w:t>
      </w:r>
      <w:r>
        <w:rPr>
          <w:rFonts w:ascii="Arial" w:cs="Arial" w:eastAsia="Arial" w:hAnsi="Arial"/>
          <w:sz w:val="22"/>
          <w:szCs w:val="22"/>
        </w:rPr>
        <w:t xml:space="preserve">Iowa-focused practice areas at out-of-state firms (insurance, agribusiness, biotech).</w:t>
      </w:r>
    </w:p>
    <w:p>
      <w:pPr>
        <w:pStyle w:val="Heading2"/>
        <w:spacing w:after="160" w:before="280"/>
      </w:pPr>
      <w:r>
        <w:rPr>
          <w:rFonts w:ascii="Arial" w:cs="Arial" w:eastAsia="Arial" w:hAnsi="Arial"/>
          <w:b/>
          <w:bCs/>
          <w:sz w:val="28"/>
          <w:szCs w:val="28"/>
        </w:rPr>
        <w:t xml:space="preserve">Pricing hypothesis</w:t>
      </w:r>
    </w:p>
    <w:p>
      <w:pPr>
        <w:spacing w:after="120" w:line="300"/>
      </w:pPr>
      <w:r>
        <w:rPr>
          <w:rFonts w:ascii="Arial" w:cs="Arial" w:eastAsia="Arial" w:hAnsi="Arial"/>
          <w:sz w:val="22"/>
          <w:szCs w:val="22"/>
        </w:rPr>
        <w:t xml:space="preserve">A solo/small-firm price point of roughly $25–50/month per attorney sits well below Westlaw and Lexis ($200–500+/month) and addresses the segment those vendors price-gouge. A free tier limited to current statute lookup, with paid tiers unlocking version history, administrative code, court rules, and annotations, lets attorneys try before buying.</w:t>
      </w:r>
    </w:p>
    <w:p>
      <w:pPr>
        <w:pStyle w:val="Heading2"/>
        <w:spacing w:after="160" w:before="280"/>
      </w:pPr>
      <w:r>
        <w:rPr>
          <w:rFonts w:ascii="Arial" w:cs="Arial" w:eastAsia="Arial" w:hAnsi="Arial"/>
          <w:b/>
          <w:bCs/>
          <w:sz w:val="28"/>
          <w:szCs w:val="28"/>
        </w:rPr>
        <w:t xml:space="preserve">Distribution channels</w:t>
      </w:r>
    </w:p>
    <w:p>
      <w:pPr>
        <w:pStyle w:val="ListParagraph"/>
        <w:numPr>
          <w:ilvl w:val="0"/>
          <w:numId w:val="2"/>
        </w:numPr>
        <w:spacing w:after="80" w:line="300"/>
      </w:pPr>
      <w:r>
        <w:rPr>
          <w:rFonts w:ascii="Arial" w:cs="Arial" w:eastAsia="Arial" w:hAnsi="Arial"/>
          <w:sz w:val="22"/>
          <w:szCs w:val="22"/>
        </w:rPr>
        <w:t xml:space="preserve">Iowa State Bar Association partnerships and CLE sponsorships</w:t>
      </w:r>
    </w:p>
    <w:p>
      <w:pPr>
        <w:pStyle w:val="ListParagraph"/>
        <w:numPr>
          <w:ilvl w:val="0"/>
          <w:numId w:val="2"/>
        </w:numPr>
        <w:spacing w:after="80" w:line="300"/>
      </w:pPr>
      <w:r>
        <w:rPr>
          <w:rFonts w:ascii="Arial" w:cs="Arial" w:eastAsia="Arial" w:hAnsi="Arial"/>
          <w:sz w:val="22"/>
          <w:szCs w:val="22"/>
        </w:rPr>
        <w:t xml:space="preserve">County bar associations (Polk, Linn, Scott, Johnson)</w:t>
      </w:r>
    </w:p>
    <w:p>
      <w:pPr>
        <w:pStyle w:val="ListParagraph"/>
        <w:numPr>
          <w:ilvl w:val="0"/>
          <w:numId w:val="2"/>
        </w:numPr>
        <w:spacing w:after="80" w:line="300"/>
      </w:pPr>
      <w:r>
        <w:rPr>
          <w:rFonts w:ascii="Arial" w:cs="Arial" w:eastAsia="Arial" w:hAnsi="Arial"/>
          <w:sz w:val="22"/>
          <w:szCs w:val="22"/>
        </w:rPr>
        <w:t xml:space="preserve">CLE providers and legal technology newsletters</w:t>
      </w:r>
    </w:p>
    <w:p>
      <w:pPr>
        <w:pStyle w:val="ListParagraph"/>
        <w:numPr>
          <w:ilvl w:val="0"/>
          <w:numId w:val="2"/>
        </w:numPr>
        <w:spacing w:after="80" w:line="300"/>
      </w:pPr>
      <w:r>
        <w:rPr>
          <w:rFonts w:ascii="Arial" w:cs="Arial" w:eastAsia="Arial" w:hAnsi="Arial"/>
          <w:sz w:val="22"/>
          <w:szCs w:val="22"/>
        </w:rPr>
        <w:t xml:space="preserve">Direct content marketing aimed at "AI for solo attorneys" search intent</w:t>
      </w:r>
    </w:p>
    <w:p>
      <w:pPr>
        <w:pStyle w:val="Heading1"/>
        <w:spacing w:after="200" w:before="360"/>
      </w:pPr>
      <w:r>
        <w:rPr>
          <w:rFonts w:ascii="Arial" w:cs="Arial" w:eastAsia="Arial" w:hAnsi="Arial"/>
          <w:b/>
          <w:bCs/>
          <w:sz w:val="32"/>
          <w:szCs w:val="32"/>
        </w:rPr>
        <w:t xml:space="preserve">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CCCCC" w:sz="4"/>
              <w:left w:val="single" w:color="CCCCCC" w:sz="4"/>
              <w:bottom w:val="single" w:color="CCCCCC" w:sz="4"/>
              <w:right w:val="single" w:color="CCCCCC" w:sz="4"/>
            </w:tcBorders>
            <w:shd w:fill="E8E4D8" w:val="clear"/>
            <w:tcMar>
              <w:top w:type="dxa" w:w="100"/>
              <w:left w:type="dxa" w:w="140"/>
              <w:bottom w:type="dxa" w:w="100"/>
              <w:right w:type="dxa" w:w="140"/>
            </w:tcMar>
          </w:tcPr>
          <w:p>
            <w:r>
              <w:rPr>
                <w:rFonts w:ascii="Arial" w:cs="Arial" w:eastAsia="Arial" w:hAnsi="Arial"/>
                <w:b/>
                <w:bCs/>
                <w:sz w:val="22"/>
                <w:szCs w:val="22"/>
              </w:rPr>
              <w:t xml:space="preserve">Layer</w:t>
            </w:r>
          </w:p>
        </w:tc>
        <w:tc>
          <w:tcPr>
            <w:tcW w:type="dxa" w:w="2200"/>
            <w:tcBorders>
              <w:top w:val="single" w:color="CCCCCC" w:sz="4"/>
              <w:left w:val="single" w:color="CCCCCC" w:sz="4"/>
              <w:bottom w:val="single" w:color="CCCCCC" w:sz="4"/>
              <w:right w:val="single" w:color="CCCCCC" w:sz="4"/>
            </w:tcBorders>
            <w:shd w:fill="E8E4D8" w:val="clear"/>
            <w:tcMar>
              <w:top w:type="dxa" w:w="100"/>
              <w:left w:type="dxa" w:w="140"/>
              <w:bottom w:type="dxa" w:w="100"/>
              <w:right w:type="dxa" w:w="140"/>
            </w:tcMar>
          </w:tcPr>
          <w:p>
            <w:r>
              <w:rPr>
                <w:rFonts w:ascii="Arial" w:cs="Arial" w:eastAsia="Arial" w:hAnsi="Arial"/>
                <w:b/>
                <w:bCs/>
                <w:sz w:val="22"/>
                <w:szCs w:val="22"/>
              </w:rPr>
              <w:t xml:space="preserve">Choice</w:t>
            </w:r>
          </w:p>
        </w:tc>
        <w:tc>
          <w:tcPr>
            <w:tcW w:type="dxa" w:w="5360"/>
            <w:tcBorders>
              <w:top w:val="single" w:color="CCCCCC" w:sz="4"/>
              <w:left w:val="single" w:color="CCCCCC" w:sz="4"/>
              <w:bottom w:val="single" w:color="CCCCCC" w:sz="4"/>
              <w:right w:val="single" w:color="CCCCCC" w:sz="4"/>
            </w:tcBorders>
            <w:shd w:fill="E8E4D8" w:val="clear"/>
            <w:tcMar>
              <w:top w:type="dxa" w:w="100"/>
              <w:left w:type="dxa" w:w="140"/>
              <w:bottom w:type="dxa" w:w="100"/>
              <w:right w:type="dxa" w:w="140"/>
            </w:tcMar>
          </w:tcPr>
          <w:p>
            <w:r>
              <w:rPr>
                <w:rFonts w:ascii="Arial" w:cs="Arial" w:eastAsia="Arial" w:hAnsi="Arial"/>
                <w:b/>
                <w:bCs/>
                <w:sz w:val="22"/>
                <w:szCs w:val="22"/>
              </w:rPr>
              <w:t xml:space="preserve">Rationale</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Web framework</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Django 5.x</w:t>
            </w:r>
          </w:p>
        </w:tc>
        <w:tc>
          <w:tcPr>
            <w:tcW w:type="dxa" w:w="5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Free admin for human-in-the-loop content review; mature ORM; migrations</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REST API</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Django Ninja</w:t>
            </w:r>
          </w:p>
        </w:tc>
        <w:tc>
          <w:tcPr>
            <w:tcW w:type="dxa" w:w="5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Pydantic-style validation, async support, auto-generated OpenAPI docs</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MCP server</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Python MCP SDK (mcp on PyPI)</w:t>
            </w:r>
          </w:p>
        </w:tc>
        <w:tc>
          <w:tcPr>
            <w:tcW w:type="dxa" w:w="5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Official SDK; runs as separate ASGI process importing Django models</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Database</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PostgreSQL 16+</w:t>
            </w:r>
          </w:p>
        </w:tc>
        <w:tc>
          <w:tcPr>
            <w:tcW w:type="dxa" w:w="5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JSONB, full-text search, pg_trgm for fuzzy match, pgvector for semantic search</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Vector search</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pgvector</w:t>
            </w:r>
          </w:p>
        </w:tc>
        <w:tc>
          <w:tcPr>
            <w:tcW w:type="dxa" w:w="5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Avoid separate vector DB; transactional consistency on publish</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Embeddings</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voyage-law-2 (Voyage AI)</w:t>
            </w:r>
          </w:p>
        </w:tc>
        <w:tc>
          <w:tcPr>
            <w:tcW w:type="dxa" w:w="5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Legal-domain fine-tuned; outperforms general-purpose models on legal retrieval</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Async / scheduling</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Celery + Redis (or Django-Q2)</w:t>
            </w:r>
          </w:p>
        </w:tc>
        <w:tc>
          <w:tcPr>
            <w:tcW w:type="dxa" w:w="5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Scrape pipelines, embedding jobs, scheduled diffs</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Cache</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Redis</w:t>
            </w:r>
          </w:p>
        </w:tc>
        <w:tc>
          <w:tcPr>
            <w:tcW w:type="dxa" w:w="5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Content-hash keyed; clean invalidation on publish</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Deployment</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Docker + managed Postgres</w:t>
            </w:r>
          </w:p>
        </w:tc>
        <w:tc>
          <w:tcPr>
            <w:tcW w:type="dxa" w:w="5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Render / Fly.io / Railway suitable for early stage</w:t>
            </w:r>
          </w:p>
        </w:tc>
      </w:tr>
    </w:tbl>
    <w:p>
      <w:pPr>
        <w:spacing w:after="120" w:line="300"/>
      </w:pPr>
      <w:r>
        <w:rPr>
          <w:rFonts w:ascii="Arial" w:cs="Arial" w:eastAsia="Arial" w:hAnsi="Arial"/>
          <w:sz w:val="22"/>
          <w:szCs w:val="22"/>
        </w:rPr>
        <w:t xml:space="preserve"> </w:t>
      </w:r>
    </w:p>
    <w:p>
      <w:pPr>
        <w:spacing w:after="120" w:line="300"/>
      </w:pPr>
      <w:r>
        <w:rPr>
          <w:rFonts w:ascii="Arial" w:cs="Arial" w:eastAsia="Arial" w:hAnsi="Arial"/>
          <w:b/>
          <w:bCs/>
          <w:sz w:val="22"/>
          <w:szCs w:val="22"/>
        </w:rPr>
        <w:t xml:space="preserve">Why Django over a lighter stack. </w:t>
      </w:r>
      <w:r>
        <w:rPr>
          <w:rFonts w:ascii="Arial" w:cs="Arial" w:eastAsia="Arial" w:hAnsi="Arial"/>
          <w:sz w:val="22"/>
          <w:szCs w:val="22"/>
        </w:rPr>
        <w:t xml:space="preserve">The free admin alone justifies the choice. Operating this product means continuously reviewing scrape diffs, approving updates, and patching edge cases. The Django admin handles all of that with no custom UI work.</w:t>
      </w:r>
    </w:p>
    <w:p>
      <w:pPr>
        <w:spacing w:after="120" w:line="300"/>
      </w:pPr>
      <w:r>
        <w:rPr>
          <w:rFonts w:ascii="Arial" w:cs="Arial" w:eastAsia="Arial" w:hAnsi="Arial"/>
          <w:b/>
          <w:bCs/>
          <w:sz w:val="22"/>
          <w:szCs w:val="22"/>
        </w:rPr>
        <w:t xml:space="preserve">Why Django Ninja over DRF. </w:t>
      </w:r>
      <w:r>
        <w:rPr>
          <w:rFonts w:ascii="Arial" w:cs="Arial" w:eastAsia="Arial" w:hAnsi="Arial"/>
          <w:sz w:val="22"/>
          <w:szCs w:val="22"/>
        </w:rPr>
        <w:t xml:space="preserve">Faster, cleaner validation, async-friendly, and OpenAPI for free. The async support matters when the MCP server is fanning out to multiple lookups per query.</w:t>
      </w:r>
    </w:p>
    <w:p>
      <w:pPr>
        <w:pStyle w:val="Heading1"/>
        <w:spacing w:after="200" w:before="360"/>
      </w:pPr>
      <w:r>
        <w:rPr>
          <w:rFonts w:ascii="Arial" w:cs="Arial" w:eastAsia="Arial" w:hAnsi="Arial"/>
          <w:b/>
          <w:bCs/>
          <w:sz w:val="32"/>
          <w:szCs w:val="32"/>
        </w:rPr>
        <w:t xml:space="preserve">Application architecture</w:t>
      </w:r>
    </w:p>
    <w:p>
      <w:pPr>
        <w:pStyle w:val="Heading2"/>
        <w:spacing w:after="160" w:before="280"/>
      </w:pPr>
      <w:r>
        <w:rPr>
          <w:rFonts w:ascii="Arial" w:cs="Arial" w:eastAsia="Arial" w:hAnsi="Arial"/>
          <w:b/>
          <w:bCs/>
          <w:sz w:val="28"/>
          <w:szCs w:val="28"/>
        </w:rPr>
        <w:t xml:space="preserve">The shared-corpus principle</w:t>
      </w:r>
    </w:p>
    <w:p>
      <w:pPr>
        <w:spacing w:after="120" w:line="300"/>
      </w:pPr>
      <w:r>
        <w:rPr>
          <w:rFonts w:ascii="Arial" w:cs="Arial" w:eastAsia="Arial" w:hAnsi="Arial"/>
          <w:sz w:val="22"/>
          <w:szCs w:val="22"/>
        </w:rPr>
        <w:t xml:space="preserve">Iowa Code, Iowa Court Rules, Iowa Administrative Code, and Nebraska Revised Statutes share roughly 90% of the same data shape: hierarchical legal documents with versioned text, citations, cross-references, and effective dates. The differences (chapter vs. title vs. rule, what level has what name) are data, not code.</w:t>
      </w:r>
    </w:p>
    <w:p>
      <w:pPr>
        <w:spacing w:after="120" w:line="300"/>
      </w:pPr>
      <w:r>
        <w:rPr>
          <w:rFonts w:ascii="Arial" w:cs="Arial" w:eastAsia="Arial" w:hAnsi="Arial"/>
          <w:sz w:val="22"/>
          <w:szCs w:val="22"/>
        </w:rPr>
        <w:t xml:space="preserve">Per-source Django apps would duplicate versioning logic, search logic, and MCP retrieval logic across every jurisdiction. A single shared corpus app, with hierarchy described as data per source, is the right shape.</w:t>
      </w:r>
    </w:p>
    <w:p>
      <w:pPr>
        <w:pStyle w:val="Heading2"/>
        <w:spacing w:after="160" w:before="280"/>
      </w:pPr>
      <w:r>
        <w:rPr>
          <w:rFonts w:ascii="Arial" w:cs="Arial" w:eastAsia="Arial" w:hAnsi="Arial"/>
          <w:b/>
          <w:bCs/>
          <w:sz w:val="28"/>
          <w:szCs w:val="28"/>
        </w:rPr>
        <w:t xml:space="preserve">App layout</w:t>
      </w:r>
    </w:p>
    <w:p>
      <w:pPr>
        <w:shd w:fill="F2F1EB" w:val="clear"/>
        <w:spacing w:after="0" w:line="260"/>
        <w:ind w:left="360" w:right="360"/>
      </w:pPr>
      <w:r>
        <w:rPr>
          <w:rFonts w:ascii="Consolas" w:cs="Consolas" w:eastAsia="Consolas" w:hAnsi="Consolas"/>
          <w:sz w:val="18"/>
          <w:szCs w:val="18"/>
        </w:rPr>
        <w:t xml:space="preserve">apps/</w:t>
      </w:r>
    </w:p>
    <w:p>
      <w:pPr>
        <w:shd w:fill="F2F1EB" w:val="clear"/>
        <w:spacing w:after="0" w:line="260"/>
        <w:ind w:left="360" w:right="360"/>
      </w:pPr>
      <w:r>
        <w:rPr>
          <w:rFonts w:ascii="Consolas" w:cs="Consolas" w:eastAsia="Consolas" w:hAnsi="Consolas"/>
          <w:sz w:val="18"/>
          <w:szCs w:val="18"/>
        </w:rPr>
        <w:t xml:space="preserve">    corpus/                       # shared models, search, versioning, services</w:t>
      </w:r>
    </w:p>
    <w:p>
      <w:pPr>
        <w:shd w:fill="F2F1EB" w:val="clear"/>
        <w:spacing w:after="0" w:line="260"/>
        <w:ind w:left="360" w:right="360"/>
      </w:pPr>
      <w:r>
        <w:rPr>
          <w:rFonts w:ascii="Consolas" w:cs="Consolas" w:eastAsia="Consolas" w:hAnsi="Consolas"/>
          <w:sz w:val="18"/>
          <w:szCs w:val="18"/>
        </w:rPr>
        <w:t xml:space="preserve">    citations/                    # shared citation parsing/formatting</w:t>
      </w:r>
    </w:p>
    <w:p>
      <w:pPr>
        <w:shd w:fill="F2F1EB" w:val="clear"/>
        <w:spacing w:after="0" w:line="260"/>
        <w:ind w:left="360" w:right="360"/>
      </w:pPr>
      <w:r>
        <w:rPr>
          <w:rFonts w:ascii="Consolas" w:cs="Consolas" w:eastAsia="Consolas" w:hAnsi="Consolas"/>
          <w:sz w:val="18"/>
          <w:szCs w:val="18"/>
        </w:rPr>
        <w:t xml:space="preserve">    ingestion_iowa_code/          # scraper for legis.iowa.gov</w:t>
      </w:r>
    </w:p>
    <w:p>
      <w:pPr>
        <w:shd w:fill="F2F1EB" w:val="clear"/>
        <w:spacing w:after="0" w:line="260"/>
        <w:ind w:left="360" w:right="360"/>
      </w:pPr>
      <w:r>
        <w:rPr>
          <w:rFonts w:ascii="Consolas" w:cs="Consolas" w:eastAsia="Consolas" w:hAnsi="Consolas"/>
          <w:sz w:val="18"/>
          <w:szCs w:val="18"/>
        </w:rPr>
        <w:t xml:space="preserve">    ingestion_iowa_rules/         # scraper for iowacourts.gov</w:t>
      </w:r>
    </w:p>
    <w:p>
      <w:pPr>
        <w:shd w:fill="F2F1EB" w:val="clear"/>
        <w:spacing w:after="0" w:line="260"/>
        <w:ind w:left="360" w:right="360"/>
      </w:pPr>
      <w:r>
        <w:rPr>
          <w:rFonts w:ascii="Consolas" w:cs="Consolas" w:eastAsia="Consolas" w:hAnsi="Consolas"/>
          <w:sz w:val="18"/>
          <w:szCs w:val="18"/>
        </w:rPr>
        <w:t xml:space="preserve">    ingestion_iowa_admin/         # scraper for IAC</w:t>
      </w:r>
    </w:p>
    <w:p>
      <w:pPr>
        <w:shd w:fill="F2F1EB" w:val="clear"/>
        <w:spacing w:after="0" w:line="260"/>
        <w:ind w:left="360" w:right="360"/>
      </w:pPr>
      <w:r>
        <w:rPr>
          <w:rFonts w:ascii="Consolas" w:cs="Consolas" w:eastAsia="Consolas" w:hAnsi="Consolas"/>
          <w:sz w:val="18"/>
          <w:szCs w:val="18"/>
        </w:rPr>
        <w:t xml:space="preserve">    ingestion_nebraska/           # future: nebraskalegislature.gov</w:t>
      </w:r>
    </w:p>
    <w:p>
      <w:pPr>
        <w:shd w:fill="F2F1EB" w:val="clear"/>
        <w:spacing w:after="0" w:line="260"/>
        <w:ind w:left="360" w:right="360"/>
      </w:pPr>
      <w:r>
        <w:rPr>
          <w:rFonts w:ascii="Consolas" w:cs="Consolas" w:eastAsia="Consolas" w:hAnsi="Consolas"/>
          <w:sz w:val="18"/>
          <w:szCs w:val="18"/>
        </w:rPr>
        <w:t xml:space="preserve">    api/                          # Django Ninja routes</w:t>
      </w:r>
    </w:p>
    <w:p>
      <w:pPr>
        <w:shd w:fill="F2F1EB" w:val="clear"/>
        <w:spacing w:after="0" w:line="260"/>
        <w:ind w:left="360" w:right="360"/>
      </w:pPr>
      <w:r>
        <w:rPr>
          <w:rFonts w:ascii="Consolas" w:cs="Consolas" w:eastAsia="Consolas" w:hAnsi="Consolas"/>
          <w:sz w:val="18"/>
          <w:szCs w:val="18"/>
        </w:rPr>
        <w:t xml:space="preserve">    mcp_server/                   # MCP adapter (separate ASGI process)</w:t>
      </w:r>
    </w:p>
    <w:p>
      <w:pPr>
        <w:shd w:fill="F2F1EB" w:val="clear"/>
        <w:spacing w:after="0" w:line="260"/>
        <w:ind w:left="360" w:right="360"/>
      </w:pPr>
      <w:r>
        <w:rPr>
          <w:rFonts w:ascii="Consolas" w:cs="Consolas" w:eastAsia="Consolas" w:hAnsi="Consolas"/>
          <w:sz w:val="18"/>
          <w:szCs w:val="18"/>
        </w:rPr>
        <w:t xml:space="preserve">    accounts/                     # subscriptions, API keys, audit logs</w:t>
      </w:r>
    </w:p>
    <w:p>
      <w:pPr>
        <w:spacing w:after="120" w:line="300"/>
      </w:pPr>
      <w:r>
        <w:rPr>
          <w:rFonts w:ascii="Arial" w:cs="Arial" w:eastAsia="Arial" w:hAnsi="Arial"/>
          <w:sz w:val="22"/>
          <w:szCs w:val="22"/>
        </w:rPr>
        <w:t xml:space="preserve">The ingestion apps are deliberately separate: each source has a unique scraper, parser, and quirks that do not share code. They write into the shared corpus models through a service layer, never directly through the ORM.</w:t>
      </w:r>
    </w:p>
    <w:p>
      <w:pPr>
        <w:pStyle w:val="Heading1"/>
        <w:spacing w:after="200" w:before="360"/>
      </w:pPr>
      <w:r>
        <w:rPr>
          <w:rFonts w:ascii="Arial" w:cs="Arial" w:eastAsia="Arial" w:hAnsi="Arial"/>
          <w:b/>
          <w:bCs/>
          <w:sz w:val="32"/>
          <w:szCs w:val="32"/>
        </w:rPr>
        <w:t xml:space="preserve">Data model</w:t>
      </w:r>
    </w:p>
    <w:p>
      <w:pPr>
        <w:pStyle w:val="Heading2"/>
        <w:spacing w:after="160" w:before="280"/>
      </w:pPr>
      <w:r>
        <w:rPr>
          <w:rFonts w:ascii="Arial" w:cs="Arial" w:eastAsia="Arial" w:hAnsi="Arial"/>
          <w:b/>
          <w:bCs/>
          <w:sz w:val="28"/>
          <w:szCs w:val="28"/>
        </w:rPr>
        <w:t xml:space="preserve">Core entities</w:t>
      </w:r>
    </w:p>
    <w:p>
      <w:pPr>
        <w:pStyle w:val="ListParagraph"/>
        <w:numPr>
          <w:ilvl w:val="0"/>
          <w:numId w:val="2"/>
        </w:numPr>
        <w:spacing w:after="80" w:line="300"/>
      </w:pPr>
      <w:r>
        <w:rPr>
          <w:rFonts w:ascii="Arial" w:cs="Arial" w:eastAsia="Arial" w:hAnsi="Arial"/>
          <w:b/>
          <w:bCs/>
          <w:sz w:val="22"/>
          <w:szCs w:val="22"/>
        </w:rPr>
        <w:t xml:space="preserve">Jurisdiction. </w:t>
      </w:r>
      <w:r>
        <w:rPr>
          <w:rFonts w:ascii="Arial" w:cs="Arial" w:eastAsia="Arial" w:hAnsi="Arial"/>
          <w:sz w:val="22"/>
          <w:szCs w:val="22"/>
        </w:rPr>
        <w:t xml:space="preserve">Iowa, Nebraska, US Federal. Slug, name, abbreviation.</w:t>
      </w:r>
    </w:p>
    <w:p>
      <w:pPr>
        <w:pStyle w:val="ListParagraph"/>
        <w:numPr>
          <w:ilvl w:val="0"/>
          <w:numId w:val="2"/>
        </w:numPr>
        <w:spacing w:after="80" w:line="300"/>
      </w:pPr>
      <w:r>
        <w:rPr>
          <w:rFonts w:ascii="Arial" w:cs="Arial" w:eastAsia="Arial" w:hAnsi="Arial"/>
          <w:b/>
          <w:bCs/>
          <w:sz w:val="22"/>
          <w:szCs w:val="22"/>
        </w:rPr>
        <w:t xml:space="preserve">Source. </w:t>
      </w:r>
      <w:r>
        <w:rPr>
          <w:rFonts w:ascii="Arial" w:cs="Arial" w:eastAsia="Arial" w:hAnsi="Arial"/>
          <w:sz w:val="22"/>
          <w:szCs w:val="22"/>
        </w:rPr>
        <w:t xml:space="preserve">A specific body of law within a jurisdiction. Iowa Code, Iowa Court Rules, etc. Owns its citation format and update cadence.</w:t>
      </w:r>
    </w:p>
    <w:p>
      <w:pPr>
        <w:pStyle w:val="ListParagraph"/>
        <w:numPr>
          <w:ilvl w:val="0"/>
          <w:numId w:val="2"/>
        </w:numPr>
        <w:spacing w:after="80" w:line="300"/>
      </w:pPr>
      <w:r>
        <w:rPr>
          <w:rFonts w:ascii="Arial" w:cs="Arial" w:eastAsia="Arial" w:hAnsi="Arial"/>
          <w:b/>
          <w:bCs/>
          <w:sz w:val="22"/>
          <w:szCs w:val="22"/>
        </w:rPr>
        <w:t xml:space="preserve">NodeType. </w:t>
      </w:r>
      <w:r>
        <w:rPr>
          <w:rFonts w:ascii="Arial" w:cs="Arial" w:eastAsia="Arial" w:hAnsi="Arial"/>
          <w:sz w:val="22"/>
          <w:szCs w:val="22"/>
        </w:rPr>
        <w:t xml:space="preserve">Defines a level in a Source's hierarchy. Iowa Code declares title → chapter → section → subsection → paragraph. Iowa Court Rules declares chapter → rule → subdivision. Each level has a label, abbreviation, and citation segment template.</w:t>
      </w:r>
    </w:p>
    <w:p>
      <w:pPr>
        <w:pStyle w:val="ListParagraph"/>
        <w:numPr>
          <w:ilvl w:val="0"/>
          <w:numId w:val="2"/>
        </w:numPr>
        <w:spacing w:after="80" w:line="300"/>
      </w:pPr>
      <w:r>
        <w:rPr>
          <w:rFonts w:ascii="Arial" w:cs="Arial" w:eastAsia="Arial" w:hAnsi="Arial"/>
          <w:b/>
          <w:bCs/>
          <w:sz w:val="22"/>
          <w:szCs w:val="22"/>
        </w:rPr>
        <w:t xml:space="preserve">Node. </w:t>
      </w:r>
      <w:r>
        <w:rPr>
          <w:rFonts w:ascii="Arial" w:cs="Arial" w:eastAsia="Arial" w:hAnsi="Arial"/>
          <w:sz w:val="22"/>
          <w:szCs w:val="22"/>
        </w:rPr>
        <w:t xml:space="preserve">A unit in the legal hierarchy. Recursive (parent foreign key to self). Identity-only — the actual text lives in NodeVersion. Carries an ordinal ("714"), a materialized path ("iowa-code/714/16/2/a"), and a heading.</w:t>
      </w:r>
    </w:p>
    <w:p>
      <w:pPr>
        <w:pStyle w:val="ListParagraph"/>
        <w:numPr>
          <w:ilvl w:val="0"/>
          <w:numId w:val="2"/>
        </w:numPr>
        <w:spacing w:after="80" w:line="300"/>
      </w:pPr>
      <w:r>
        <w:rPr>
          <w:rFonts w:ascii="Arial" w:cs="Arial" w:eastAsia="Arial" w:hAnsi="Arial"/>
          <w:b/>
          <w:bCs/>
          <w:sz w:val="22"/>
          <w:szCs w:val="22"/>
        </w:rPr>
        <w:t xml:space="preserve">NodeVersion. </w:t>
      </w:r>
      <w:r>
        <w:rPr>
          <w:rFonts w:ascii="Arial" w:cs="Arial" w:eastAsia="Arial" w:hAnsi="Arial"/>
          <w:sz w:val="22"/>
          <w:szCs w:val="22"/>
        </w:rPr>
        <w:t xml:space="preserve">The text of a Node for a specific date range. Append-only by convention. Holds body_text, effective_from / effective_to, the session law that enacted it, content hash, search vector, and embedding.</w:t>
      </w:r>
    </w:p>
    <w:p>
      <w:pPr>
        <w:pStyle w:val="ListParagraph"/>
        <w:numPr>
          <w:ilvl w:val="0"/>
          <w:numId w:val="2"/>
        </w:numPr>
        <w:spacing w:after="80" w:line="300"/>
      </w:pPr>
      <w:r>
        <w:rPr>
          <w:rFonts w:ascii="Arial" w:cs="Arial" w:eastAsia="Arial" w:hAnsi="Arial"/>
          <w:b/>
          <w:bCs/>
          <w:sz w:val="22"/>
          <w:szCs w:val="22"/>
        </w:rPr>
        <w:t xml:space="preserve">CitationFormat. </w:t>
      </w:r>
      <w:r>
        <w:rPr>
          <w:rFonts w:ascii="Arial" w:cs="Arial" w:eastAsia="Arial" w:hAnsi="Arial"/>
          <w:sz w:val="22"/>
          <w:szCs w:val="22"/>
        </w:rPr>
        <w:t xml:space="preserve">Per-source display templates. Held separately from Source so iteration does not require migrations.</w:t>
      </w:r>
    </w:p>
    <w:p>
      <w:pPr>
        <w:pStyle w:val="ListParagraph"/>
        <w:numPr>
          <w:ilvl w:val="0"/>
          <w:numId w:val="2"/>
        </w:numPr>
        <w:spacing w:after="80" w:line="300"/>
      </w:pPr>
      <w:r>
        <w:rPr>
          <w:rFonts w:ascii="Arial" w:cs="Arial" w:eastAsia="Arial" w:hAnsi="Arial"/>
          <w:b/>
          <w:bCs/>
          <w:sz w:val="22"/>
          <w:szCs w:val="22"/>
        </w:rPr>
        <w:t xml:space="preserve">CrossReference. </w:t>
      </w:r>
      <w:r>
        <w:rPr>
          <w:rFonts w:ascii="Arial" w:cs="Arial" w:eastAsia="Arial" w:hAnsi="Arial"/>
          <w:sz w:val="22"/>
          <w:szCs w:val="22"/>
        </w:rPr>
        <w:t xml:space="preserve">A reference from one node version to another node (or to external text when the target is outside the corpus).</w:t>
      </w:r>
    </w:p>
    <w:p>
      <w:pPr>
        <w:pStyle w:val="Heading2"/>
        <w:spacing w:after="160" w:before="280"/>
      </w:pPr>
      <w:r>
        <w:rPr>
          <w:rFonts w:ascii="Arial" w:cs="Arial" w:eastAsia="Arial" w:hAnsi="Arial"/>
          <w:b/>
          <w:bCs/>
          <w:sz w:val="28"/>
          <w:szCs w:val="28"/>
        </w:rPr>
        <w:t xml:space="preserve">Key design choices</w:t>
      </w:r>
    </w:p>
    <w:p>
      <w:pPr>
        <w:spacing w:after="120" w:line="300"/>
      </w:pPr>
      <w:r>
        <w:rPr>
          <w:rFonts w:ascii="Arial" w:cs="Arial" w:eastAsia="Arial" w:hAnsi="Arial"/>
          <w:b/>
          <w:bCs/>
          <w:sz w:val="22"/>
          <w:szCs w:val="22"/>
        </w:rPr>
        <w:t xml:space="preserve">Hierarchy as data. </w:t>
      </w:r>
      <w:r>
        <w:rPr>
          <w:rFonts w:ascii="Arial" w:cs="Arial" w:eastAsia="Arial" w:hAnsi="Arial"/>
          <w:sz w:val="22"/>
          <w:szCs w:val="22"/>
        </w:rPr>
        <w:t xml:space="preserve">NodeType rows describe each source's structure rather than hardcoding it in the schema. The same Node table holds Iowa Code sections and Iowa Court Rules subdivisions.</w:t>
      </w:r>
    </w:p>
    <w:p>
      <w:pPr>
        <w:spacing w:after="120" w:line="300"/>
      </w:pPr>
      <w:r>
        <w:rPr>
          <w:rFonts w:ascii="Arial" w:cs="Arial" w:eastAsia="Arial" w:hAnsi="Arial"/>
          <w:b/>
          <w:bCs/>
          <w:sz w:val="22"/>
          <w:szCs w:val="22"/>
        </w:rPr>
        <w:t xml:space="preserve">Materialized path for fast lookup. </w:t>
      </w:r>
      <w:r>
        <w:rPr>
          <w:rFonts w:ascii="Arial" w:cs="Arial" w:eastAsia="Arial" w:hAnsi="Arial"/>
          <w:sz w:val="22"/>
          <w:szCs w:val="22"/>
        </w:rPr>
        <w:t xml:space="preserve">When a query parses "714.16(2)(a)" the path "iowa-code/714/16/2/a" is built once and resolved with a single indexed lookup. Without it, every citation requires recursive joins.</w:t>
      </w:r>
    </w:p>
    <w:p>
      <w:pPr>
        <w:spacing w:after="120" w:line="300"/>
      </w:pPr>
      <w:r>
        <w:rPr>
          <w:rFonts w:ascii="Arial" w:cs="Arial" w:eastAsia="Arial" w:hAnsi="Arial"/>
          <w:b/>
          <w:bCs/>
          <w:sz w:val="22"/>
          <w:szCs w:val="22"/>
        </w:rPr>
        <w:t xml:space="preserve">Append-only versioning. </w:t>
      </w:r>
      <w:r>
        <w:rPr>
          <w:rFonts w:ascii="Arial" w:cs="Arial" w:eastAsia="Arial" w:hAnsi="Arial"/>
          <w:sz w:val="22"/>
          <w:szCs w:val="22"/>
        </w:rPr>
        <w:t xml:space="preserve">Never mutate NodeVersion in place. When a section is amended, close the current version (set effective_to) and insert a new row. Storage is cheap; audit trails are priceless. When an attorney says "your tool gave me wrong text on March 14," the system can reconstruct exactly what was returned that day.</w:t>
      </w:r>
    </w:p>
    <w:p>
      <w:pPr>
        <w:spacing w:after="120" w:line="300"/>
      </w:pPr>
      <w:r>
        <w:rPr>
          <w:rFonts w:ascii="Arial" w:cs="Arial" w:eastAsia="Arial" w:hAnsi="Arial"/>
          <w:b/>
          <w:bCs/>
          <w:sz w:val="22"/>
          <w:szCs w:val="22"/>
        </w:rPr>
        <w:t xml:space="preserve">Source-specific metadata via JSONField. </w:t>
      </w:r>
      <w:r>
        <w:rPr>
          <w:rFonts w:ascii="Arial" w:cs="Arial" w:eastAsia="Arial" w:hAnsi="Arial"/>
          <w:sz w:val="22"/>
          <w:szCs w:val="22"/>
        </w:rPr>
        <w:t xml:space="preserve">source_metadata holds bits like uniform act designators or session references that one source needs and others do not. If a key starts being queried often, migrate it to a real column.</w:t>
      </w:r>
    </w:p>
    <w:p>
      <w:pPr>
        <w:spacing w:after="120" w:line="300"/>
      </w:pPr>
      <w:r>
        <w:rPr>
          <w:rFonts w:ascii="Arial" w:cs="Arial" w:eastAsia="Arial" w:hAnsi="Arial"/>
          <w:b/>
          <w:bCs/>
          <w:sz w:val="22"/>
          <w:szCs w:val="22"/>
        </w:rPr>
        <w:t xml:space="preserve">Service layer between callers and ORM. </w:t>
      </w:r>
      <w:r>
        <w:rPr>
          <w:rFonts w:ascii="Arial" w:cs="Arial" w:eastAsia="Arial" w:hAnsi="Arial"/>
          <w:sz w:val="22"/>
          <w:szCs w:val="22"/>
        </w:rPr>
        <w:t xml:space="preserve">Views, MCP handlers, and ingestion code call apps.corpus.services functions — never the ORM directly. Cache layers, audit logging, and access controls slot in cleanly.</w:t>
      </w:r>
    </w:p>
    <w:p>
      <w:pPr>
        <w:pStyle w:val="Heading2"/>
        <w:spacing w:after="160" w:before="280"/>
      </w:pPr>
      <w:r>
        <w:rPr>
          <w:rFonts w:ascii="Arial" w:cs="Arial" w:eastAsia="Arial" w:hAnsi="Arial"/>
          <w:b/>
          <w:bCs/>
          <w:sz w:val="28"/>
          <w:szCs w:val="28"/>
        </w:rPr>
        <w:t xml:space="preserve">Sketched models</w:t>
      </w:r>
    </w:p>
    <w:p>
      <w:pPr>
        <w:spacing w:after="120" w:line="300"/>
      </w:pPr>
      <w:r>
        <w:rPr>
          <w:rFonts w:ascii="Arial" w:cs="Arial" w:eastAsia="Arial" w:hAnsi="Arial"/>
          <w:sz w:val="22"/>
          <w:szCs w:val="22"/>
        </w:rPr>
        <w:t xml:space="preserve">The full model definitions are in the project repository. Abbreviated shape:</w:t>
      </w:r>
    </w:p>
    <w:p>
      <w:pPr>
        <w:shd w:fill="F2F1EB" w:val="clear"/>
        <w:spacing w:after="0" w:line="260"/>
        <w:ind w:left="360" w:right="360"/>
      </w:pPr>
      <w:r>
        <w:rPr>
          <w:rFonts w:ascii="Consolas" w:cs="Consolas" w:eastAsia="Consolas" w:hAnsi="Consolas"/>
          <w:sz w:val="18"/>
          <w:szCs w:val="18"/>
        </w:rPr>
        <w:t xml:space="preserve">class Jurisdiction(models.Model):</w:t>
      </w:r>
    </w:p>
    <w:p>
      <w:pPr>
        <w:shd w:fill="F2F1EB" w:val="clear"/>
        <w:spacing w:after="0" w:line="260"/>
        <w:ind w:left="360" w:right="360"/>
      </w:pPr>
      <w:r>
        <w:rPr>
          <w:rFonts w:ascii="Consolas" w:cs="Consolas" w:eastAsia="Consolas" w:hAnsi="Consolas"/>
          <w:sz w:val="18"/>
          <w:szCs w:val="18"/>
        </w:rPr>
        <w:t xml:space="preserve">    slug = models.SlugField(unique=True)</w:t>
      </w:r>
    </w:p>
    <w:p>
      <w:pPr>
        <w:shd w:fill="F2F1EB" w:val="clear"/>
        <w:spacing w:after="0" w:line="260"/>
        <w:ind w:left="360" w:right="360"/>
      </w:pPr>
      <w:r>
        <w:rPr>
          <w:rFonts w:ascii="Consolas" w:cs="Consolas" w:eastAsia="Consolas" w:hAnsi="Consolas"/>
          <w:sz w:val="18"/>
          <w:szCs w:val="18"/>
        </w:rPr>
        <w:t xml:space="preserve">    name = models.CharField(max_length=100)</w:t>
      </w:r>
    </w:p>
    <w:p>
      <w:pPr>
        <w:shd w:fill="F2F1EB" w:val="clear"/>
        <w:spacing w:after="0" w:line="260"/>
        <w:ind w:left="360" w:right="360"/>
      </w:pPr>
      <w:r>
        <w:rPr>
          <w:rFonts w:ascii="Consolas" w:cs="Consolas" w:eastAsia="Consolas" w:hAnsi="Consolas"/>
          <w:sz w:val="18"/>
          <w:szCs w:val="18"/>
        </w:rPr>
        <w:t xml:space="preserve">    abbreviation = models.CharField(max_length=20)</w:t>
      </w:r>
    </w:p>
    <w:p>
      <w:pPr>
        <w:shd w:fill="F2F1EB" w:val="clear"/>
        <w:spacing w:after="0" w:line="260"/>
        <w:ind w:left="360" w:right="360"/>
      </w:pPr>
      <w:r>
        <w:rPr>
          <w:rFonts w:ascii="Consolas" w:cs="Consolas" w:eastAsia="Consolas" w:hAnsi="Consolas"/>
          <w:sz w:val="18"/>
          <w:szCs w:val="18"/>
        </w:rPr>
        <w:t xml:space="preserve"> </w:t>
      </w:r>
    </w:p>
    <w:p>
      <w:pPr>
        <w:shd w:fill="F2F1EB" w:val="clear"/>
        <w:spacing w:after="0" w:line="260"/>
        <w:ind w:left="360" w:right="360"/>
      </w:pPr>
      <w:r>
        <w:rPr>
          <w:rFonts w:ascii="Consolas" w:cs="Consolas" w:eastAsia="Consolas" w:hAnsi="Consolas"/>
          <w:sz w:val="18"/>
          <w:szCs w:val="18"/>
        </w:rPr>
        <w:t xml:space="preserve">class Source(models.Model):</w:t>
      </w:r>
    </w:p>
    <w:p>
      <w:pPr>
        <w:shd w:fill="F2F1EB" w:val="clear"/>
        <w:spacing w:after="0" w:line="260"/>
        <w:ind w:left="360" w:right="360"/>
      </w:pPr>
      <w:r>
        <w:rPr>
          <w:rFonts w:ascii="Consolas" w:cs="Consolas" w:eastAsia="Consolas" w:hAnsi="Consolas"/>
          <w:sz w:val="18"/>
          <w:szCs w:val="18"/>
        </w:rPr>
        <w:t xml:space="preserve">    jurisdiction = models.ForeignKey(Jurisdiction, ...)</w:t>
      </w:r>
    </w:p>
    <w:p>
      <w:pPr>
        <w:shd w:fill="F2F1EB" w:val="clear"/>
        <w:spacing w:after="0" w:line="260"/>
        <w:ind w:left="360" w:right="360"/>
      </w:pPr>
      <w:r>
        <w:rPr>
          <w:rFonts w:ascii="Consolas" w:cs="Consolas" w:eastAsia="Consolas" w:hAnsi="Consolas"/>
          <w:sz w:val="18"/>
          <w:szCs w:val="18"/>
        </w:rPr>
        <w:t xml:space="preserve">    slug = models.SlugField()</w:t>
      </w:r>
    </w:p>
    <w:p>
      <w:pPr>
        <w:shd w:fill="F2F1EB" w:val="clear"/>
        <w:spacing w:after="0" w:line="260"/>
        <w:ind w:left="360" w:right="360"/>
      </w:pPr>
      <w:r>
        <w:rPr>
          <w:rFonts w:ascii="Consolas" w:cs="Consolas" w:eastAsia="Consolas" w:hAnsi="Consolas"/>
          <w:sz w:val="18"/>
          <w:szCs w:val="18"/>
        </w:rPr>
        <w:t xml:space="preserve">    name = models.CharField(max_length=200)</w:t>
      </w:r>
    </w:p>
    <w:p>
      <w:pPr>
        <w:shd w:fill="F2F1EB" w:val="clear"/>
        <w:spacing w:after="0" w:line="260"/>
        <w:ind w:left="360" w:right="360"/>
      </w:pPr>
      <w:r>
        <w:rPr>
          <w:rFonts w:ascii="Consolas" w:cs="Consolas" w:eastAsia="Consolas" w:hAnsi="Consolas"/>
          <w:sz w:val="18"/>
          <w:szCs w:val="18"/>
        </w:rPr>
        <w:t xml:space="preserve">    citation_abbreviation = models.CharField(max_length=50)</w:t>
      </w:r>
    </w:p>
    <w:p>
      <w:pPr>
        <w:shd w:fill="F2F1EB" w:val="clear"/>
        <w:spacing w:after="0" w:line="260"/>
        <w:ind w:left="360" w:right="360"/>
      </w:pPr>
      <w:r>
        <w:rPr>
          <w:rFonts w:ascii="Consolas" w:cs="Consolas" w:eastAsia="Consolas" w:hAnsi="Consolas"/>
          <w:sz w:val="18"/>
          <w:szCs w:val="18"/>
        </w:rPr>
        <w:t xml:space="preserve">    official_url_template = models.CharField(max_length=500)</w:t>
      </w:r>
    </w:p>
    <w:p>
      <w:pPr>
        <w:shd w:fill="F2F1EB" w:val="clear"/>
        <w:spacing w:after="0" w:line="260"/>
        <w:ind w:left="360" w:right="360"/>
      </w:pPr>
      <w:r>
        <w:rPr>
          <w:rFonts w:ascii="Consolas" w:cs="Consolas" w:eastAsia="Consolas" w:hAnsi="Consolas"/>
          <w:sz w:val="18"/>
          <w:szCs w:val="18"/>
        </w:rPr>
        <w:t xml:space="preserve"> </w:t>
      </w:r>
    </w:p>
    <w:p>
      <w:pPr>
        <w:shd w:fill="F2F1EB" w:val="clear"/>
        <w:spacing w:after="0" w:line="260"/>
        <w:ind w:left="360" w:right="360"/>
      </w:pPr>
      <w:r>
        <w:rPr>
          <w:rFonts w:ascii="Consolas" w:cs="Consolas" w:eastAsia="Consolas" w:hAnsi="Consolas"/>
          <w:sz w:val="18"/>
          <w:szCs w:val="18"/>
        </w:rPr>
        <w:t xml:space="preserve">class NodeType(models.Model):</w:t>
      </w:r>
    </w:p>
    <w:p>
      <w:pPr>
        <w:shd w:fill="F2F1EB" w:val="clear"/>
        <w:spacing w:after="0" w:line="260"/>
        <w:ind w:left="360" w:right="360"/>
      </w:pPr>
      <w:r>
        <w:rPr>
          <w:rFonts w:ascii="Consolas" w:cs="Consolas" w:eastAsia="Consolas" w:hAnsi="Consolas"/>
          <w:sz w:val="18"/>
          <w:szCs w:val="18"/>
        </w:rPr>
        <w:t xml:space="preserve">    source = models.ForeignKey(Source, ...)</w:t>
      </w:r>
    </w:p>
    <w:p>
      <w:pPr>
        <w:shd w:fill="F2F1EB" w:val="clear"/>
        <w:spacing w:after="0" w:line="260"/>
        <w:ind w:left="360" w:right="360"/>
      </w:pPr>
      <w:r>
        <w:rPr>
          <w:rFonts w:ascii="Consolas" w:cs="Consolas" w:eastAsia="Consolas" w:hAnsi="Consolas"/>
          <w:sz w:val="18"/>
          <w:szCs w:val="18"/>
        </w:rPr>
        <w:t xml:space="preserve">    key = models.CharField(max_length=50)        # "section", "rule"</w:t>
      </w:r>
    </w:p>
    <w:p>
      <w:pPr>
        <w:shd w:fill="F2F1EB" w:val="clear"/>
        <w:spacing w:after="0" w:line="260"/>
        <w:ind w:left="360" w:right="360"/>
      </w:pPr>
      <w:r>
        <w:rPr>
          <w:rFonts w:ascii="Consolas" w:cs="Consolas" w:eastAsia="Consolas" w:hAnsi="Consolas"/>
          <w:sz w:val="18"/>
          <w:szCs w:val="18"/>
        </w:rPr>
        <w:t xml:space="preserve">    label_singular = models.CharField(max_length=50)</w:t>
      </w:r>
    </w:p>
    <w:p>
      <w:pPr>
        <w:shd w:fill="F2F1EB" w:val="clear"/>
        <w:spacing w:after="0" w:line="260"/>
        <w:ind w:left="360" w:right="360"/>
      </w:pPr>
      <w:r>
        <w:rPr>
          <w:rFonts w:ascii="Consolas" w:cs="Consolas" w:eastAsia="Consolas" w:hAnsi="Consolas"/>
          <w:sz w:val="18"/>
          <w:szCs w:val="18"/>
        </w:rPr>
        <w:t xml:space="preserve">    abbreviation = models.CharField(max_length=20)</w:t>
      </w:r>
    </w:p>
    <w:p>
      <w:pPr>
        <w:shd w:fill="F2F1EB" w:val="clear"/>
        <w:spacing w:after="0" w:line="260"/>
        <w:ind w:left="360" w:right="360"/>
      </w:pPr>
      <w:r>
        <w:rPr>
          <w:rFonts w:ascii="Consolas" w:cs="Consolas" w:eastAsia="Consolas" w:hAnsi="Consolas"/>
          <w:sz w:val="18"/>
          <w:szCs w:val="18"/>
        </w:rPr>
        <w:t xml:space="preserve">    level = models.PositiveSmallIntegerField()</w:t>
      </w:r>
    </w:p>
    <w:p>
      <w:pPr>
        <w:shd w:fill="F2F1EB" w:val="clear"/>
        <w:spacing w:after="0" w:line="260"/>
        <w:ind w:left="360" w:right="360"/>
      </w:pPr>
      <w:r>
        <w:rPr>
          <w:rFonts w:ascii="Consolas" w:cs="Consolas" w:eastAsia="Consolas" w:hAnsi="Consolas"/>
          <w:sz w:val="18"/>
          <w:szCs w:val="18"/>
        </w:rPr>
        <w:t xml:space="preserve">    citation_segment_template = models.CharField(...)</w:t>
      </w:r>
    </w:p>
    <w:p>
      <w:pPr>
        <w:shd w:fill="F2F1EB" w:val="clear"/>
        <w:spacing w:after="0" w:line="260"/>
        <w:ind w:left="360" w:right="360"/>
      </w:pPr>
      <w:r>
        <w:rPr>
          <w:rFonts w:ascii="Consolas" w:cs="Consolas" w:eastAsia="Consolas" w:hAnsi="Consolas"/>
          <w:sz w:val="18"/>
          <w:szCs w:val="18"/>
        </w:rPr>
        <w:t xml:space="preserve"> </w:t>
      </w:r>
    </w:p>
    <w:p>
      <w:pPr>
        <w:shd w:fill="F2F1EB" w:val="clear"/>
        <w:spacing w:after="0" w:line="260"/>
        <w:ind w:left="360" w:right="360"/>
      </w:pPr>
      <w:r>
        <w:rPr>
          <w:rFonts w:ascii="Consolas" w:cs="Consolas" w:eastAsia="Consolas" w:hAnsi="Consolas"/>
          <w:sz w:val="18"/>
          <w:szCs w:val="18"/>
        </w:rPr>
        <w:t xml:space="preserve">class Node(models.Model):</w:t>
      </w:r>
    </w:p>
    <w:p>
      <w:pPr>
        <w:shd w:fill="F2F1EB" w:val="clear"/>
        <w:spacing w:after="0" w:line="260"/>
        <w:ind w:left="360" w:right="360"/>
      </w:pPr>
      <w:r>
        <w:rPr>
          <w:rFonts w:ascii="Consolas" w:cs="Consolas" w:eastAsia="Consolas" w:hAnsi="Consolas"/>
          <w:sz w:val="18"/>
          <w:szCs w:val="18"/>
        </w:rPr>
        <w:t xml:space="preserve">    source = models.ForeignKey(Source, ...)</w:t>
      </w:r>
    </w:p>
    <w:p>
      <w:pPr>
        <w:shd w:fill="F2F1EB" w:val="clear"/>
        <w:spacing w:after="0" w:line="260"/>
        <w:ind w:left="360" w:right="360"/>
      </w:pPr>
      <w:r>
        <w:rPr>
          <w:rFonts w:ascii="Consolas" w:cs="Consolas" w:eastAsia="Consolas" w:hAnsi="Consolas"/>
          <w:sz w:val="18"/>
          <w:szCs w:val="18"/>
        </w:rPr>
        <w:t xml:space="preserve">    node_type = models.ForeignKey(NodeType, ...)</w:t>
      </w:r>
    </w:p>
    <w:p>
      <w:pPr>
        <w:shd w:fill="F2F1EB" w:val="clear"/>
        <w:spacing w:after="0" w:line="260"/>
        <w:ind w:left="360" w:right="360"/>
      </w:pPr>
      <w:r>
        <w:rPr>
          <w:rFonts w:ascii="Consolas" w:cs="Consolas" w:eastAsia="Consolas" w:hAnsi="Consolas"/>
          <w:sz w:val="18"/>
          <w:szCs w:val="18"/>
        </w:rPr>
        <w:t xml:space="preserve">    parent = models.ForeignKey("self", null=True, ...)</w:t>
      </w:r>
    </w:p>
    <w:p>
      <w:pPr>
        <w:shd w:fill="F2F1EB" w:val="clear"/>
        <w:spacing w:after="0" w:line="260"/>
        <w:ind w:left="360" w:right="360"/>
      </w:pPr>
      <w:r>
        <w:rPr>
          <w:rFonts w:ascii="Consolas" w:cs="Consolas" w:eastAsia="Consolas" w:hAnsi="Consolas"/>
          <w:sz w:val="18"/>
          <w:szCs w:val="18"/>
        </w:rPr>
        <w:t xml:space="preserve">    ordinal = models.CharField(max_length=50)</w:t>
      </w:r>
    </w:p>
    <w:p>
      <w:pPr>
        <w:shd w:fill="F2F1EB" w:val="clear"/>
        <w:spacing w:after="0" w:line="260"/>
        <w:ind w:left="360" w:right="360"/>
      </w:pPr>
      <w:r>
        <w:rPr>
          <w:rFonts w:ascii="Consolas" w:cs="Consolas" w:eastAsia="Consolas" w:hAnsi="Consolas"/>
          <w:sz w:val="18"/>
          <w:szCs w:val="18"/>
        </w:rPr>
        <w:t xml:space="preserve">    path = models.CharField(max_length=500, db_index=True)</w:t>
      </w:r>
    </w:p>
    <w:p>
      <w:pPr>
        <w:shd w:fill="F2F1EB" w:val="clear"/>
        <w:spacing w:after="0" w:line="260"/>
        <w:ind w:left="360" w:right="360"/>
      </w:pPr>
      <w:r>
        <w:rPr>
          <w:rFonts w:ascii="Consolas" w:cs="Consolas" w:eastAsia="Consolas" w:hAnsi="Consolas"/>
          <w:sz w:val="18"/>
          <w:szCs w:val="18"/>
        </w:rPr>
        <w:t xml:space="preserve">    heading = models.CharField(max_length=500)</w:t>
      </w:r>
    </w:p>
    <w:p>
      <w:pPr>
        <w:shd w:fill="F2F1EB" w:val="clear"/>
        <w:spacing w:after="0" w:line="260"/>
        <w:ind w:left="360" w:right="360"/>
      </w:pPr>
      <w:r>
        <w:rPr>
          <w:rFonts w:ascii="Consolas" w:cs="Consolas" w:eastAsia="Consolas" w:hAnsi="Consolas"/>
          <w:sz w:val="18"/>
          <w:szCs w:val="18"/>
        </w:rPr>
        <w:t xml:space="preserve">    source_metadata = models.JSONField(default=dict)</w:t>
      </w:r>
    </w:p>
    <w:p>
      <w:pPr>
        <w:shd w:fill="F2F1EB" w:val="clear"/>
        <w:spacing w:after="0" w:line="260"/>
        <w:ind w:left="360" w:right="360"/>
      </w:pPr>
      <w:r>
        <w:rPr>
          <w:rFonts w:ascii="Consolas" w:cs="Consolas" w:eastAsia="Consolas" w:hAnsi="Consolas"/>
          <w:sz w:val="18"/>
          <w:szCs w:val="18"/>
        </w:rPr>
        <w:t xml:space="preserve">    is_repealed = models.BooleanField(default=False)</w:t>
      </w:r>
    </w:p>
    <w:p>
      <w:pPr>
        <w:shd w:fill="F2F1EB" w:val="clear"/>
        <w:spacing w:after="0" w:line="260"/>
        <w:ind w:left="360" w:right="360"/>
      </w:pPr>
      <w:r>
        <w:rPr>
          <w:rFonts w:ascii="Consolas" w:cs="Consolas" w:eastAsia="Consolas" w:hAnsi="Consolas"/>
          <w:sz w:val="18"/>
          <w:szCs w:val="18"/>
        </w:rPr>
        <w:t xml:space="preserve"> </w:t>
      </w:r>
    </w:p>
    <w:p>
      <w:pPr>
        <w:shd w:fill="F2F1EB" w:val="clear"/>
        <w:spacing w:after="0" w:line="260"/>
        <w:ind w:left="360" w:right="360"/>
      </w:pPr>
      <w:r>
        <w:rPr>
          <w:rFonts w:ascii="Consolas" w:cs="Consolas" w:eastAsia="Consolas" w:hAnsi="Consolas"/>
          <w:sz w:val="18"/>
          <w:szCs w:val="18"/>
        </w:rPr>
        <w:t xml:space="preserve">class NodeVersion(models.Model):</w:t>
      </w:r>
    </w:p>
    <w:p>
      <w:pPr>
        <w:shd w:fill="F2F1EB" w:val="clear"/>
        <w:spacing w:after="0" w:line="260"/>
        <w:ind w:left="360" w:right="360"/>
      </w:pPr>
      <w:r>
        <w:rPr>
          <w:rFonts w:ascii="Consolas" w:cs="Consolas" w:eastAsia="Consolas" w:hAnsi="Consolas"/>
          <w:sz w:val="18"/>
          <w:szCs w:val="18"/>
        </w:rPr>
        <w:t xml:space="preserve">    node = models.ForeignKey(Node, related_name="versions")</w:t>
      </w:r>
    </w:p>
    <w:p>
      <w:pPr>
        <w:shd w:fill="F2F1EB" w:val="clear"/>
        <w:spacing w:after="0" w:line="260"/>
        <w:ind w:left="360" w:right="360"/>
      </w:pPr>
      <w:r>
        <w:rPr>
          <w:rFonts w:ascii="Consolas" w:cs="Consolas" w:eastAsia="Consolas" w:hAnsi="Consolas"/>
          <w:sz w:val="18"/>
          <w:szCs w:val="18"/>
        </w:rPr>
        <w:t xml:space="preserve">    body_text = models.TextField()</w:t>
      </w:r>
    </w:p>
    <w:p>
      <w:pPr>
        <w:shd w:fill="F2F1EB" w:val="clear"/>
        <w:spacing w:after="0" w:line="260"/>
        <w:ind w:left="360" w:right="360"/>
      </w:pPr>
      <w:r>
        <w:rPr>
          <w:rFonts w:ascii="Consolas" w:cs="Consolas" w:eastAsia="Consolas" w:hAnsi="Consolas"/>
          <w:sz w:val="18"/>
          <w:szCs w:val="18"/>
        </w:rPr>
        <w:t xml:space="preserve">    effective_from = models.DateField()</w:t>
      </w:r>
    </w:p>
    <w:p>
      <w:pPr>
        <w:shd w:fill="F2F1EB" w:val="clear"/>
        <w:spacing w:after="0" w:line="260"/>
        <w:ind w:left="360" w:right="360"/>
      </w:pPr>
      <w:r>
        <w:rPr>
          <w:rFonts w:ascii="Consolas" w:cs="Consolas" w:eastAsia="Consolas" w:hAnsi="Consolas"/>
          <w:sz w:val="18"/>
          <w:szCs w:val="18"/>
        </w:rPr>
        <w:t xml:space="preserve">    effective_to = models.DateField(null=True)</w:t>
      </w:r>
    </w:p>
    <w:p>
      <w:pPr>
        <w:shd w:fill="F2F1EB" w:val="clear"/>
        <w:spacing w:after="0" w:line="260"/>
        <w:ind w:left="360" w:right="360"/>
      </w:pPr>
      <w:r>
        <w:rPr>
          <w:rFonts w:ascii="Consolas" w:cs="Consolas" w:eastAsia="Consolas" w:hAnsi="Consolas"/>
          <w:sz w:val="18"/>
          <w:szCs w:val="18"/>
        </w:rPr>
        <w:t xml:space="preserve">    enacted_by = models.CharField(max_length=200)</w:t>
      </w:r>
    </w:p>
    <w:p>
      <w:pPr>
        <w:shd w:fill="F2F1EB" w:val="clear"/>
        <w:spacing w:after="0" w:line="260"/>
        <w:ind w:left="360" w:right="360"/>
      </w:pPr>
      <w:r>
        <w:rPr>
          <w:rFonts w:ascii="Consolas" w:cs="Consolas" w:eastAsia="Consolas" w:hAnsi="Consolas"/>
          <w:sz w:val="18"/>
          <w:szCs w:val="18"/>
        </w:rPr>
        <w:t xml:space="preserve">    content_hash = models.CharField(max_length=64)</w:t>
      </w:r>
    </w:p>
    <w:p>
      <w:pPr>
        <w:shd w:fill="F2F1EB" w:val="clear"/>
        <w:spacing w:after="0" w:line="260"/>
        <w:ind w:left="360" w:right="360"/>
      </w:pPr>
      <w:r>
        <w:rPr>
          <w:rFonts w:ascii="Consolas" w:cs="Consolas" w:eastAsia="Consolas" w:hAnsi="Consolas"/>
          <w:sz w:val="18"/>
          <w:szCs w:val="18"/>
        </w:rPr>
        <w:t xml:space="preserve">    search_vector = SearchVectorField(null=True)</w:t>
      </w:r>
    </w:p>
    <w:p>
      <w:pPr>
        <w:shd w:fill="F2F1EB" w:val="clear"/>
        <w:spacing w:after="0" w:line="260"/>
        <w:ind w:left="360" w:right="360"/>
      </w:pPr>
      <w:r>
        <w:rPr>
          <w:rFonts w:ascii="Consolas" w:cs="Consolas" w:eastAsia="Consolas" w:hAnsi="Consolas"/>
          <w:sz w:val="18"/>
          <w:szCs w:val="18"/>
        </w:rPr>
        <w:t xml:space="preserve">    embedding = VectorField(dimensions=1024, null=True)</w:t>
      </w:r>
    </w:p>
    <w:p>
      <w:pPr>
        <w:shd w:fill="F2F1EB" w:val="clear"/>
        <w:spacing w:after="0" w:line="260"/>
        <w:ind w:left="360" w:right="360"/>
      </w:pPr>
      <w:r>
        <w:rPr>
          <w:rFonts w:ascii="Consolas" w:cs="Consolas" w:eastAsia="Consolas" w:hAnsi="Consolas"/>
          <w:sz w:val="18"/>
          <w:szCs w:val="18"/>
        </w:rPr>
        <w:t xml:space="preserve">    review_status = models.CharField(...)  # pending/approved/rejected</w:t>
      </w:r>
    </w:p>
    <w:p>
      <w:pPr>
        <w:pStyle w:val="Heading1"/>
        <w:spacing w:after="200" w:before="360"/>
      </w:pPr>
      <w:r>
        <w:rPr>
          <w:rFonts w:ascii="Arial" w:cs="Arial" w:eastAsia="Arial" w:hAnsi="Arial"/>
          <w:b/>
          <w:bCs/>
          <w:sz w:val="32"/>
          <w:szCs w:val="32"/>
        </w:rPr>
        <w:t xml:space="preserve">Search architecture</w:t>
      </w:r>
    </w:p>
    <w:p>
      <w:pPr>
        <w:pStyle w:val="Heading2"/>
        <w:spacing w:after="160" w:before="280"/>
      </w:pPr>
      <w:r>
        <w:rPr>
          <w:rFonts w:ascii="Arial" w:cs="Arial" w:eastAsia="Arial" w:hAnsi="Arial"/>
          <w:b/>
          <w:bCs/>
          <w:sz w:val="28"/>
          <w:szCs w:val="28"/>
        </w:rPr>
        <w:t xml:space="preserve">The recall problem</w:t>
      </w:r>
    </w:p>
    <w:p>
      <w:pPr>
        <w:spacing w:after="120" w:line="300"/>
      </w:pPr>
      <w:r>
        <w:rPr>
          <w:rFonts w:ascii="Arial" w:cs="Arial" w:eastAsia="Arial" w:hAnsi="Arial"/>
          <w:sz w:val="22"/>
          <w:szCs w:val="22"/>
        </w:rPr>
        <w:t xml:space="preserve">Iowa Code § 562A.15 is titled "Landlord to maintain fit premises." If an attorney asks "what statutes require a landlord to maintain habitable premises," the section must come back at the top — even though it uses the word "fit," not "habitable." Lexical search alone misses this; semantic search alone is overconfident on near-misses. Hybrid search wins.</w:t>
      </w:r>
    </w:p>
    <w:p>
      <w:pPr>
        <w:pStyle w:val="Heading2"/>
        <w:spacing w:after="160" w:before="280"/>
      </w:pPr>
      <w:r>
        <w:rPr>
          <w:rFonts w:ascii="Arial" w:cs="Arial" w:eastAsia="Arial" w:hAnsi="Arial"/>
          <w:b/>
          <w:bCs/>
          <w:sz w:val="28"/>
          <w:szCs w:val="28"/>
        </w:rPr>
        <w:t xml:space="preserve">Three retrievers, fused</w:t>
      </w:r>
    </w:p>
    <w:p>
      <w:pPr>
        <w:pStyle w:val="ListParagraph"/>
        <w:numPr>
          <w:ilvl w:val="0"/>
          <w:numId w:val="2"/>
        </w:numPr>
        <w:spacing w:after="80" w:line="300"/>
      </w:pPr>
      <w:r>
        <w:rPr>
          <w:rFonts w:ascii="Arial" w:cs="Arial" w:eastAsia="Arial" w:hAnsi="Arial"/>
          <w:b/>
          <w:bCs/>
          <w:sz w:val="22"/>
          <w:szCs w:val="22"/>
        </w:rPr>
        <w:t xml:space="preserve">Postgres full-text search </w:t>
      </w:r>
      <w:r>
        <w:rPr>
          <w:rFonts w:ascii="Arial" w:cs="Arial" w:eastAsia="Arial" w:hAnsi="Arial"/>
          <w:sz w:val="22"/>
          <w:szCs w:val="22"/>
        </w:rPr>
        <w:t xml:space="preserve">on the tsvector field. Catches exact terminology and stems ("maintain"/"maintains"). Fastest and most precise when the user types language that appears in the statute.</w:t>
      </w:r>
    </w:p>
    <w:p>
      <w:pPr>
        <w:pStyle w:val="ListParagraph"/>
        <w:numPr>
          <w:ilvl w:val="0"/>
          <w:numId w:val="2"/>
        </w:numPr>
        <w:spacing w:after="80" w:line="300"/>
      </w:pPr>
      <w:r>
        <w:rPr>
          <w:rFonts w:ascii="Arial" w:cs="Arial" w:eastAsia="Arial" w:hAnsi="Arial"/>
          <w:b/>
          <w:bCs/>
          <w:sz w:val="22"/>
          <w:szCs w:val="22"/>
        </w:rPr>
        <w:t xml:space="preserve">Trigram fuzzy match </w:t>
      </w:r>
      <w:r>
        <w:rPr>
          <w:rFonts w:ascii="Arial" w:cs="Arial" w:eastAsia="Arial" w:hAnsi="Arial"/>
          <w:sz w:val="22"/>
          <w:szCs w:val="22"/>
        </w:rPr>
        <w:t xml:space="preserve">via pg_trgm on headings and body text. Catches typos, citation variants, and near-misses.</w:t>
      </w:r>
    </w:p>
    <w:p>
      <w:pPr>
        <w:pStyle w:val="ListParagraph"/>
        <w:numPr>
          <w:ilvl w:val="0"/>
          <w:numId w:val="2"/>
        </w:numPr>
        <w:spacing w:after="80" w:line="300"/>
      </w:pPr>
      <w:r>
        <w:rPr>
          <w:rFonts w:ascii="Arial" w:cs="Arial" w:eastAsia="Arial" w:hAnsi="Arial"/>
          <w:b/>
          <w:bCs/>
          <w:sz w:val="22"/>
          <w:szCs w:val="22"/>
        </w:rPr>
        <w:t xml:space="preserve">Vector semantic search </w:t>
      </w:r>
      <w:r>
        <w:rPr>
          <w:rFonts w:ascii="Arial" w:cs="Arial" w:eastAsia="Arial" w:hAnsi="Arial"/>
          <w:sz w:val="22"/>
          <w:szCs w:val="22"/>
        </w:rPr>
        <w:t xml:space="preserve">via pgvector on embeddings of each section. Catches conceptual matches like "habitable" → "fit," "tenant" → "occupant," "right of entry" → "access to dwelling unit."</w:t>
      </w:r>
    </w:p>
    <w:p>
      <w:pPr>
        <w:spacing w:after="120" w:line="300"/>
      </w:pPr>
      <w:r>
        <w:rPr>
          <w:rFonts w:ascii="Arial" w:cs="Arial" w:eastAsia="Arial" w:hAnsi="Arial"/>
          <w:sz w:val="22"/>
          <w:szCs w:val="22"/>
        </w:rPr>
        <w:t xml:space="preserve">Results from all three are fused via Reciprocal Rank Fusion (simple to implement, holds up well in practice) and returned with relevance scores. Always return multiple candidates — never let the system collapse to a single answer.</w:t>
      </w:r>
    </w:p>
    <w:p>
      <w:pPr>
        <w:pStyle w:val="Heading2"/>
        <w:spacing w:after="160" w:before="280"/>
      </w:pPr>
      <w:r>
        <w:rPr>
          <w:rFonts w:ascii="Arial" w:cs="Arial" w:eastAsia="Arial" w:hAnsi="Arial"/>
          <w:b/>
          <w:bCs/>
          <w:sz w:val="28"/>
          <w:szCs w:val="28"/>
        </w:rPr>
        <w:t xml:space="preserve">Embedding strategy</w:t>
      </w:r>
    </w:p>
    <w:p>
      <w:pPr>
        <w:spacing w:after="120" w:line="300"/>
      </w:pPr>
      <w:r>
        <w:rPr>
          <w:rFonts w:ascii="Arial" w:cs="Arial" w:eastAsia="Arial" w:hAnsi="Arial"/>
          <w:b/>
          <w:bCs/>
          <w:sz w:val="22"/>
          <w:szCs w:val="22"/>
        </w:rPr>
        <w:t xml:space="preserve">Model. </w:t>
      </w:r>
      <w:r>
        <w:rPr>
          <w:rFonts w:ascii="Arial" w:cs="Arial" w:eastAsia="Arial" w:hAnsi="Arial"/>
          <w:sz w:val="22"/>
          <w:szCs w:val="22"/>
        </w:rPr>
        <w:t xml:space="preserve">voyage-law-2 from Voyage AI. Legal-domain fine-tuned and meaningfully outperforms general-purpose embeddings on legal retrieval. Cohere's embed-v3 legal variant is a viable runner-up.</w:t>
      </w:r>
    </w:p>
    <w:p>
      <w:pPr>
        <w:spacing w:after="120" w:line="300"/>
      </w:pPr>
      <w:r>
        <w:rPr>
          <w:rFonts w:ascii="Arial" w:cs="Arial" w:eastAsia="Arial" w:hAnsi="Arial"/>
          <w:b/>
          <w:bCs/>
          <w:sz w:val="22"/>
          <w:szCs w:val="22"/>
        </w:rPr>
        <w:t xml:space="preserve">Chunk shape. </w:t>
      </w:r>
      <w:r>
        <w:rPr>
          <w:rFonts w:ascii="Arial" w:cs="Arial" w:eastAsia="Arial" w:hAnsi="Arial"/>
          <w:sz w:val="22"/>
          <w:szCs w:val="22"/>
        </w:rPr>
        <w:t xml:space="preserve">Each embedded chunk starts with the full citation and heading before the body text, e.g. "Iowa Code § 562A.15 — Landlord to maintain fit premises\n[body text]". The heading often contains the conceptual hook the user is searching for.</w:t>
      </w:r>
    </w:p>
    <w:p>
      <w:pPr>
        <w:spacing w:after="120" w:line="300"/>
      </w:pPr>
      <w:r>
        <w:rPr>
          <w:rFonts w:ascii="Arial" w:cs="Arial" w:eastAsia="Arial" w:hAnsi="Arial"/>
          <w:b/>
          <w:bCs/>
          <w:sz w:val="22"/>
          <w:szCs w:val="22"/>
        </w:rPr>
        <w:t xml:space="preserve">Chunk granularity. </w:t>
      </w:r>
      <w:r>
        <w:rPr>
          <w:rFonts w:ascii="Arial" w:cs="Arial" w:eastAsia="Arial" w:hAnsi="Arial"/>
          <w:sz w:val="22"/>
          <w:szCs w:val="22"/>
        </w:rPr>
        <w:t xml:space="preserve">Embed at the section level by default. For long sections, split on subsection boundaries and embed each subsection separately, but keep the parent citation in the chunk header so context is preserved.</w:t>
      </w:r>
    </w:p>
    <w:p>
      <w:pPr>
        <w:spacing w:after="120" w:line="300"/>
      </w:pPr>
      <w:r>
        <w:rPr>
          <w:rFonts w:ascii="Arial" w:cs="Arial" w:eastAsia="Arial" w:hAnsi="Arial"/>
          <w:b/>
          <w:bCs/>
          <w:sz w:val="22"/>
          <w:szCs w:val="22"/>
        </w:rPr>
        <w:t xml:space="preserve">Re-embedding. </w:t>
      </w:r>
      <w:r>
        <w:rPr>
          <w:rFonts w:ascii="Arial" w:cs="Arial" w:eastAsia="Arial" w:hAnsi="Arial"/>
          <w:sz w:val="22"/>
          <w:szCs w:val="22"/>
        </w:rPr>
        <w:t xml:space="preserve">Track embedding_source_hash on NodeVersion. When it diverges from content_hash, queue a re-embedding job. Batch embedding requests to control cost.</w:t>
      </w:r>
    </w:p>
    <w:p>
      <w:pPr>
        <w:pStyle w:val="Heading2"/>
        <w:spacing w:after="160" w:before="280"/>
      </w:pPr>
      <w:r>
        <w:rPr>
          <w:rFonts w:ascii="Arial" w:cs="Arial" w:eastAsia="Arial" w:hAnsi="Arial"/>
          <w:b/>
          <w:bCs/>
          <w:sz w:val="28"/>
          <w:szCs w:val="28"/>
        </w:rPr>
        <w:t xml:space="preserve">Query expansion</w:t>
      </w:r>
    </w:p>
    <w:p>
      <w:pPr>
        <w:spacing w:after="120" w:line="300"/>
      </w:pPr>
      <w:r>
        <w:rPr>
          <w:rFonts w:ascii="Arial" w:cs="Arial" w:eastAsia="Arial" w:hAnsi="Arial"/>
          <w:sz w:val="22"/>
          <w:szCs w:val="22"/>
        </w:rPr>
        <w:t xml:space="preserve">Before searching, run the user query through a cheap LLM call: "An attorney is searching Iowa law. Expand this query into related legal terms of art and synonyms used in Iowa statutes." For "landlord maintaining habitable premises," this returns terms like "fit premises," "warranty of habitability," "implied warranty," "tenant remedies," "Uniform Residential Landlord and Tenant Act." Then run the search with the expanded term set. This is the kind of thing the incumbents do not do well because they are built on 1990s indexing pipelines.</w:t>
      </w:r>
    </w:p>
    <w:p>
      <w:pPr>
        <w:pStyle w:val="Heading1"/>
        <w:spacing w:after="200" w:before="360"/>
      </w:pPr>
      <w:r>
        <w:rPr>
          <w:rFonts w:ascii="Arial" w:cs="Arial" w:eastAsia="Arial" w:hAnsi="Arial"/>
          <w:b/>
          <w:bCs/>
          <w:sz w:val="32"/>
          <w:szCs w:val="32"/>
        </w:rPr>
        <w:t xml:space="preserve">MCP tool surface</w:t>
      </w:r>
    </w:p>
    <w:p>
      <w:pPr>
        <w:spacing w:after="120" w:line="300"/>
      </w:pPr>
      <w:r>
        <w:rPr>
          <w:rFonts w:ascii="Arial" w:cs="Arial" w:eastAsia="Arial" w:hAnsi="Arial"/>
          <w:sz w:val="22"/>
          <w:szCs w:val="22"/>
        </w:rPr>
        <w:t xml:space="preserve">The MCP server exposes a small set of well-defined tools. Each is intentionally narrow in purpose so the LLM picks the right one based on the user's intent.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000"/>
      </w:tblGrid>
      <w:tr>
        <w:trPr>
          <w:tblHeader/>
        </w:trPr>
        <w:tc>
          <w:tcPr>
            <w:tcW w:type="dxa" w:w="2400"/>
            <w:tcBorders>
              <w:top w:val="single" w:color="CCCCCC" w:sz="4"/>
              <w:left w:val="single" w:color="CCCCCC" w:sz="4"/>
              <w:bottom w:val="single" w:color="CCCCCC" w:sz="4"/>
              <w:right w:val="single" w:color="CCCCCC" w:sz="4"/>
            </w:tcBorders>
            <w:shd w:fill="E8E4D8" w:val="clear"/>
            <w:tcMar>
              <w:top w:type="dxa" w:w="100"/>
              <w:left w:type="dxa" w:w="140"/>
              <w:bottom w:type="dxa" w:w="100"/>
              <w:right w:type="dxa" w:w="140"/>
            </w:tcMar>
          </w:tcPr>
          <w:p>
            <w:r>
              <w:rPr>
                <w:rFonts w:ascii="Arial" w:cs="Arial" w:eastAsia="Arial" w:hAnsi="Arial"/>
                <w:b/>
                <w:bCs/>
                <w:sz w:val="22"/>
                <w:szCs w:val="22"/>
              </w:rPr>
              <w:t xml:space="preserve">Tool</w:t>
            </w:r>
          </w:p>
        </w:tc>
        <w:tc>
          <w:tcPr>
            <w:tcW w:type="dxa" w:w="3000"/>
            <w:tcBorders>
              <w:top w:val="single" w:color="CCCCCC" w:sz="4"/>
              <w:left w:val="single" w:color="CCCCCC" w:sz="4"/>
              <w:bottom w:val="single" w:color="CCCCCC" w:sz="4"/>
              <w:right w:val="single" w:color="CCCCCC" w:sz="4"/>
            </w:tcBorders>
            <w:shd w:fill="E8E4D8" w:val="clear"/>
            <w:tcMar>
              <w:top w:type="dxa" w:w="100"/>
              <w:left w:type="dxa" w:w="140"/>
              <w:bottom w:type="dxa" w:w="100"/>
              <w:right w:type="dxa" w:w="140"/>
            </w:tcMar>
          </w:tcPr>
          <w:p>
            <w:r>
              <w:rPr>
                <w:rFonts w:ascii="Arial" w:cs="Arial" w:eastAsia="Arial" w:hAnsi="Arial"/>
                <w:b/>
                <w:bCs/>
                <w:sz w:val="22"/>
                <w:szCs w:val="22"/>
              </w:rPr>
              <w:t xml:space="preserve">Purpose</w:t>
            </w:r>
          </w:p>
        </w:tc>
        <w:tc>
          <w:tcPr>
            <w:tcW w:type="dxa" w:w="4000"/>
            <w:tcBorders>
              <w:top w:val="single" w:color="CCCCCC" w:sz="4"/>
              <w:left w:val="single" w:color="CCCCCC" w:sz="4"/>
              <w:bottom w:val="single" w:color="CCCCCC" w:sz="4"/>
              <w:right w:val="single" w:color="CCCCCC" w:sz="4"/>
            </w:tcBorders>
            <w:shd w:fill="E8E4D8" w:val="clear"/>
            <w:tcMar>
              <w:top w:type="dxa" w:w="100"/>
              <w:left w:type="dxa" w:w="140"/>
              <w:bottom w:type="dxa" w:w="100"/>
              <w:right w:type="dxa" w:w="140"/>
            </w:tcMar>
          </w:tcPr>
          <w:p>
            <w:r>
              <w:rPr>
                <w:rFonts w:ascii="Arial" w:cs="Arial" w:eastAsia="Arial" w:hAnsi="Arial"/>
                <w:b/>
                <w:bCs/>
                <w:sz w:val="22"/>
                <w:szCs w:val="22"/>
              </w:rPr>
              <w:t xml:space="preserve">Returns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lookup_citation</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Precise statute lookup by citation</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Exact text, never approximate. Includes effective date, source URL, version metadata.</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search_statutes</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Hybrid semantic search</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Top N candidates with relevance scores, snippets, and full citations.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get_version_history</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Show how a section has changed</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Chronological list of NodeVersions with effective dates and enacting session laws.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get_section_at_date</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Time-travel lookup</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The text of a section as it existed on a specific date.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get_cross_references</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Outgoing/incoming references</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Sections this section cites, and sections that cite this section.</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get_definitions</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Resolve a defined term</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Chapter-specific definitions, falling back to general definitions.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list_recent_amendments</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What changed this session</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sz w:val="22"/>
                <w:szCs w:val="22"/>
              </w:rPr>
              <w:t xml:space="preserve">Sections amended/added/repealed, optionally filtered by date or topic.</w:t>
            </w:r>
          </w:p>
        </w:tc>
      </w:tr>
    </w:tbl>
    <w:p>
      <w:pPr>
        <w:spacing w:after="120" w:line="300"/>
      </w:pPr>
      <w:r>
        <w:rPr>
          <w:rFonts w:ascii="Arial" w:cs="Arial" w:eastAsia="Arial" w:hAnsi="Arial"/>
          <w:sz w:val="22"/>
          <w:szCs w:val="22"/>
        </w:rPr>
        <w:t xml:space="preserve"> </w:t>
      </w:r>
    </w:p>
    <w:p>
      <w:pPr>
        <w:spacing w:after="120" w:line="300"/>
      </w:pPr>
      <w:r>
        <w:rPr>
          <w:rFonts w:ascii="Arial" w:cs="Arial" w:eastAsia="Arial" w:hAnsi="Arial"/>
          <w:b/>
          <w:bCs/>
          <w:sz w:val="22"/>
          <w:szCs w:val="22"/>
        </w:rPr>
        <w:t xml:space="preserve">Critical separation: </w:t>
      </w:r>
      <w:r>
        <w:rPr>
          <w:rFonts w:ascii="Arial" w:cs="Arial" w:eastAsia="Arial" w:hAnsi="Arial"/>
          <w:sz w:val="22"/>
          <w:szCs w:val="22"/>
        </w:rPr>
        <w:t xml:space="preserve">lookup_citation is precise, search_statutes is fuzzy. When an attorney asks for a specific citation, fuzzy matching must never substitute a different section. The LLM picks the right tool based on whether the user provided a citation or a concept.</w:t>
      </w:r>
    </w:p>
    <w:p>
      <w:pPr>
        <w:spacing w:after="120" w:line="300"/>
      </w:pPr>
      <w:r>
        <w:rPr>
          <w:rFonts w:ascii="Arial" w:cs="Arial" w:eastAsia="Arial" w:hAnsi="Arial"/>
          <w:b/>
          <w:bCs/>
          <w:sz w:val="22"/>
          <w:szCs w:val="22"/>
        </w:rPr>
        <w:t xml:space="preserve">Always cite the source. </w:t>
      </w:r>
      <w:r>
        <w:rPr>
          <w:rFonts w:ascii="Arial" w:cs="Arial" w:eastAsia="Arial" w:hAnsi="Arial"/>
          <w:sz w:val="22"/>
          <w:szCs w:val="22"/>
        </w:rPr>
        <w:t xml:space="preserve">Every tool response includes a verifiable link to the official URL on legis.iowa.gov so the attorney can confirm. Trust is the product.</w:t>
      </w:r>
    </w:p>
    <w:p>
      <w:pPr>
        <w:pStyle w:val="Heading1"/>
        <w:spacing w:after="200" w:before="360"/>
      </w:pPr>
      <w:r>
        <w:rPr>
          <w:rFonts w:ascii="Arial" w:cs="Arial" w:eastAsia="Arial" w:hAnsi="Arial"/>
          <w:b/>
          <w:bCs/>
          <w:sz w:val="32"/>
          <w:szCs w:val="32"/>
        </w:rPr>
        <w:t xml:space="preserve">Feature roadmap</w:t>
      </w:r>
    </w:p>
    <w:p>
      <w:pPr>
        <w:pStyle w:val="Heading2"/>
        <w:spacing w:after="160" w:before="280"/>
      </w:pPr>
      <w:r>
        <w:rPr>
          <w:rFonts w:ascii="Arial" w:cs="Arial" w:eastAsia="Arial" w:hAnsi="Arial"/>
          <w:b/>
          <w:bCs/>
          <w:sz w:val="28"/>
          <w:szCs w:val="28"/>
        </w:rPr>
        <w:t xml:space="preserve">Tier 1 — Trust foundations (MVP)</w:t>
      </w:r>
    </w:p>
    <w:p>
      <w:pPr>
        <w:pStyle w:val="ListParagraph"/>
        <w:numPr>
          <w:ilvl w:val="0"/>
          <w:numId w:val="2"/>
        </w:numPr>
        <w:spacing w:after="80" w:line="300"/>
      </w:pPr>
      <w:r>
        <w:rPr>
          <w:rFonts w:ascii="Arial" w:cs="Arial" w:eastAsia="Arial" w:hAnsi="Arial"/>
          <w:sz w:val="22"/>
          <w:szCs w:val="22"/>
        </w:rPr>
        <w:t xml:space="preserve">Pinpoint citation retrieval (chapter, section, subsection) with current text</w:t>
      </w:r>
    </w:p>
    <w:p>
      <w:pPr>
        <w:pStyle w:val="ListParagraph"/>
        <w:numPr>
          <w:ilvl w:val="0"/>
          <w:numId w:val="2"/>
        </w:numPr>
        <w:spacing w:after="80" w:line="300"/>
      </w:pPr>
      <w:r>
        <w:rPr>
          <w:rFonts w:ascii="Arial" w:cs="Arial" w:eastAsia="Arial" w:hAnsi="Arial"/>
          <w:sz w:val="22"/>
          <w:szCs w:val="22"/>
        </w:rPr>
        <w:t xml:space="preserve">Last amended date and session law reference on every response</w:t>
      </w:r>
    </w:p>
    <w:p>
      <w:pPr>
        <w:pStyle w:val="ListParagraph"/>
        <w:numPr>
          <w:ilvl w:val="0"/>
          <w:numId w:val="2"/>
        </w:numPr>
        <w:spacing w:after="80" w:line="300"/>
      </w:pPr>
      <w:r>
        <w:rPr>
          <w:rFonts w:ascii="Arial" w:cs="Arial" w:eastAsia="Arial" w:hAnsi="Arial"/>
          <w:sz w:val="22"/>
          <w:szCs w:val="22"/>
        </w:rPr>
        <w:t xml:space="preserve">Fuzzy citation parsing for varied attorney input</w:t>
      </w:r>
    </w:p>
    <w:p>
      <w:pPr>
        <w:pStyle w:val="ListParagraph"/>
        <w:numPr>
          <w:ilvl w:val="0"/>
          <w:numId w:val="2"/>
        </w:numPr>
        <w:spacing w:after="80" w:line="300"/>
      </w:pPr>
      <w:r>
        <w:rPr>
          <w:rFonts w:ascii="Arial" w:cs="Arial" w:eastAsia="Arial" w:hAnsi="Arial"/>
          <w:sz w:val="22"/>
          <w:szCs w:val="22"/>
        </w:rPr>
        <w:t xml:space="preserve">Definitions lookup, including chapter-specific overrides</w:t>
      </w:r>
    </w:p>
    <w:p>
      <w:pPr>
        <w:pStyle w:val="ListParagraph"/>
        <w:numPr>
          <w:ilvl w:val="0"/>
          <w:numId w:val="2"/>
        </w:numPr>
        <w:spacing w:after="80" w:line="300"/>
      </w:pPr>
      <w:r>
        <w:rPr>
          <w:rFonts w:ascii="Arial" w:cs="Arial" w:eastAsia="Arial" w:hAnsi="Arial"/>
          <w:sz w:val="22"/>
          <w:szCs w:val="22"/>
        </w:rPr>
        <w:t xml:space="preserve">Cross-references between statutes, with renumbering / repeal flags</w:t>
      </w:r>
    </w:p>
    <w:p>
      <w:pPr>
        <w:pStyle w:val="ListParagraph"/>
        <w:numPr>
          <w:ilvl w:val="0"/>
          <w:numId w:val="2"/>
        </w:numPr>
        <w:spacing w:after="80" w:line="300"/>
      </w:pPr>
      <w:r>
        <w:rPr>
          <w:rFonts w:ascii="Arial" w:cs="Arial" w:eastAsia="Arial" w:hAnsi="Arial"/>
          <w:sz w:val="22"/>
          <w:szCs w:val="22"/>
        </w:rPr>
        <w:t xml:space="preserve">Verifiable link back to legis.iowa.gov on every response</w:t>
      </w:r>
    </w:p>
    <w:p>
      <w:pPr>
        <w:pStyle w:val="Heading2"/>
        <w:spacing w:after="160" w:before="280"/>
      </w:pPr>
      <w:r>
        <w:rPr>
          <w:rFonts w:ascii="Arial" w:cs="Arial" w:eastAsia="Arial" w:hAnsi="Arial"/>
          <w:b/>
          <w:bCs/>
          <w:sz w:val="28"/>
          <w:szCs w:val="28"/>
        </w:rPr>
        <w:t xml:space="preserve">Tier 2 — Stickiness</w:t>
      </w:r>
    </w:p>
    <w:p>
      <w:pPr>
        <w:pStyle w:val="ListParagraph"/>
        <w:numPr>
          <w:ilvl w:val="0"/>
          <w:numId w:val="2"/>
        </w:numPr>
        <w:spacing w:after="80" w:line="300"/>
      </w:pPr>
      <w:r>
        <w:rPr>
          <w:rFonts w:ascii="Arial" w:cs="Arial" w:eastAsia="Arial" w:hAnsi="Arial"/>
          <w:sz w:val="22"/>
          <w:szCs w:val="22"/>
        </w:rPr>
        <w:t xml:space="preserve">Iowa Administrative Code (IAC) coverage</w:t>
      </w:r>
    </w:p>
    <w:p>
      <w:pPr>
        <w:pStyle w:val="ListParagraph"/>
        <w:numPr>
          <w:ilvl w:val="0"/>
          <w:numId w:val="2"/>
        </w:numPr>
        <w:spacing w:after="80" w:line="300"/>
      </w:pPr>
      <w:r>
        <w:rPr>
          <w:rFonts w:ascii="Arial" w:cs="Arial" w:eastAsia="Arial" w:hAnsi="Arial"/>
          <w:sz w:val="22"/>
          <w:szCs w:val="22"/>
        </w:rPr>
        <w:t xml:space="preserve">Iowa Court Rules (Civ. P., Crim. P., Evidence, Professional Conduct, Local Rules)</w:t>
      </w:r>
    </w:p>
    <w:p>
      <w:pPr>
        <w:pStyle w:val="ListParagraph"/>
        <w:numPr>
          <w:ilvl w:val="0"/>
          <w:numId w:val="2"/>
        </w:numPr>
        <w:spacing w:after="80" w:line="300"/>
      </w:pPr>
      <w:r>
        <w:rPr>
          <w:rFonts w:ascii="Arial" w:cs="Arial" w:eastAsia="Arial" w:hAnsi="Arial"/>
          <w:sz w:val="22"/>
          <w:szCs w:val="22"/>
        </w:rPr>
        <w:t xml:space="preserve">Version history per section with time-travel queries</w:t>
      </w:r>
    </w:p>
    <w:p>
      <w:pPr>
        <w:pStyle w:val="ListParagraph"/>
        <w:numPr>
          <w:ilvl w:val="0"/>
          <w:numId w:val="2"/>
        </w:numPr>
        <w:spacing w:after="80" w:line="300"/>
      </w:pPr>
      <w:r>
        <w:rPr>
          <w:rFonts w:ascii="Arial" w:cs="Arial" w:eastAsia="Arial" w:hAnsi="Arial"/>
          <w:sz w:val="22"/>
          <w:szCs w:val="22"/>
        </w:rPr>
        <w:t xml:space="preserve">Effective-date awareness for pending amendments</w:t>
      </w:r>
    </w:p>
    <w:p>
      <w:pPr>
        <w:pStyle w:val="ListParagraph"/>
        <w:numPr>
          <w:ilvl w:val="0"/>
          <w:numId w:val="2"/>
        </w:numPr>
        <w:spacing w:after="80" w:line="300"/>
      </w:pPr>
      <w:r>
        <w:rPr>
          <w:rFonts w:ascii="Arial" w:cs="Arial" w:eastAsia="Arial" w:hAnsi="Arial"/>
          <w:sz w:val="22"/>
          <w:szCs w:val="22"/>
        </w:rPr>
        <w:t xml:space="preserve">Post-session "what changed" digest after each legislative session</w:t>
      </w:r>
    </w:p>
    <w:p>
      <w:pPr>
        <w:pStyle w:val="Heading2"/>
        <w:spacing w:after="160" w:before="280"/>
      </w:pPr>
      <w:r>
        <w:rPr>
          <w:rFonts w:ascii="Arial" w:cs="Arial" w:eastAsia="Arial" w:hAnsi="Arial"/>
          <w:b/>
          <w:bCs/>
          <w:sz w:val="28"/>
          <w:szCs w:val="28"/>
        </w:rPr>
        <w:t xml:space="preserve">Tier 3 — The Westlaw killers</w:t>
      </w:r>
    </w:p>
    <w:p>
      <w:pPr>
        <w:pStyle w:val="ListParagraph"/>
        <w:numPr>
          <w:ilvl w:val="0"/>
          <w:numId w:val="2"/>
        </w:numPr>
        <w:spacing w:after="80" w:line="300"/>
      </w:pPr>
      <w:r>
        <w:rPr>
          <w:rFonts w:ascii="Arial" w:cs="Arial" w:eastAsia="Arial" w:hAnsi="Arial"/>
          <w:sz w:val="22"/>
          <w:szCs w:val="22"/>
        </w:rPr>
        <w:t xml:space="preserve">Annotations linking statutes to Iowa Supreme Court and Court of Appeals decisions</w:t>
      </w:r>
    </w:p>
    <w:p>
      <w:pPr>
        <w:pStyle w:val="ListParagraph"/>
        <w:numPr>
          <w:ilvl w:val="0"/>
          <w:numId w:val="2"/>
        </w:numPr>
        <w:spacing w:after="80" w:line="300"/>
      </w:pPr>
      <w:r>
        <w:rPr>
          <w:rFonts w:ascii="Arial" w:cs="Arial" w:eastAsia="Arial" w:hAnsi="Arial"/>
          <w:sz w:val="22"/>
          <w:szCs w:val="22"/>
        </w:rPr>
        <w:t xml:space="preserve">Jury instructions tied to elements of statutes</w:t>
      </w:r>
    </w:p>
    <w:p>
      <w:pPr>
        <w:pStyle w:val="ListParagraph"/>
        <w:numPr>
          <w:ilvl w:val="0"/>
          <w:numId w:val="2"/>
        </w:numPr>
        <w:spacing w:after="80" w:line="300"/>
      </w:pPr>
      <w:r>
        <w:rPr>
          <w:rFonts w:ascii="Arial" w:cs="Arial" w:eastAsia="Arial" w:hAnsi="Arial"/>
          <w:sz w:val="22"/>
          <w:szCs w:val="22"/>
        </w:rPr>
        <w:t xml:space="preserve">Cross-references to model codes and federal analogs</w:t>
      </w:r>
    </w:p>
    <w:p>
      <w:pPr>
        <w:pStyle w:val="ListParagraph"/>
        <w:numPr>
          <w:ilvl w:val="0"/>
          <w:numId w:val="2"/>
        </w:numPr>
        <w:spacing w:after="80" w:line="300"/>
      </w:pPr>
      <w:r>
        <w:rPr>
          <w:rFonts w:ascii="Arial" w:cs="Arial" w:eastAsia="Arial" w:hAnsi="Arial"/>
          <w:sz w:val="22"/>
          <w:szCs w:val="22"/>
        </w:rPr>
        <w:t xml:space="preserve">Practice-area packages (landlord-tenant, family law, criminal defense)</w:t>
      </w:r>
    </w:p>
    <w:p>
      <w:pPr>
        <w:pStyle w:val="Heading1"/>
        <w:spacing w:after="200" w:before="360"/>
      </w:pPr>
      <w:r>
        <w:rPr>
          <w:rFonts w:ascii="Arial" w:cs="Arial" w:eastAsia="Arial" w:hAnsi="Arial"/>
          <w:b/>
          <w:bCs/>
          <w:sz w:val="32"/>
          <w:szCs w:val="32"/>
        </w:rPr>
        <w:t xml:space="preserve">Update and review pipeline</w:t>
      </w:r>
    </w:p>
    <w:p>
      <w:pPr>
        <w:spacing w:after="120" w:line="300"/>
      </w:pPr>
      <w:r>
        <w:rPr>
          <w:rFonts w:ascii="Arial" w:cs="Arial" w:eastAsia="Arial" w:hAnsi="Arial"/>
          <w:sz w:val="22"/>
          <w:szCs w:val="22"/>
        </w:rPr>
        <w:t xml:space="preserve">The operational moat is the freshness and accuracy of the data. The pipeline must be robust enough that a parser failure or scrape regression cannot silently ship bad text.</w:t>
      </w:r>
    </w:p>
    <w:p>
      <w:pPr>
        <w:pStyle w:val="Heading2"/>
        <w:spacing w:after="160" w:before="280"/>
      </w:pPr>
      <w:r>
        <w:rPr>
          <w:rFonts w:ascii="Arial" w:cs="Arial" w:eastAsia="Arial" w:hAnsi="Arial"/>
          <w:b/>
          <w:bCs/>
          <w:sz w:val="28"/>
          <w:szCs w:val="28"/>
        </w:rPr>
        <w:t xml:space="preserve">Pipeline stages</w:t>
      </w:r>
    </w:p>
    <w:p>
      <w:pPr>
        <w:pStyle w:val="ListParagraph"/>
        <w:numPr>
          <w:ilvl w:val="0"/>
          <w:numId w:val="2"/>
        </w:numPr>
        <w:spacing w:after="80" w:line="300"/>
      </w:pPr>
      <w:r>
        <w:rPr>
          <w:rFonts w:ascii="Arial" w:cs="Arial" w:eastAsia="Arial" w:hAnsi="Arial"/>
          <w:b/>
          <w:bCs/>
          <w:sz w:val="22"/>
          <w:szCs w:val="22"/>
        </w:rPr>
        <w:t xml:space="preserve">Scrape. </w:t>
      </w:r>
      <w:r>
        <w:rPr>
          <w:rFonts w:ascii="Arial" w:cs="Arial" w:eastAsia="Arial" w:hAnsi="Arial"/>
          <w:sz w:val="22"/>
          <w:szCs w:val="22"/>
        </w:rPr>
        <w:t xml:space="preserve">Per-source scrapers run on a schedule keyed to legislative calendars. Output is raw HTML or PDF stored in immutable cold storage for replay.</w:t>
      </w:r>
    </w:p>
    <w:p>
      <w:pPr>
        <w:pStyle w:val="ListParagraph"/>
        <w:numPr>
          <w:ilvl w:val="0"/>
          <w:numId w:val="2"/>
        </w:numPr>
        <w:spacing w:after="80" w:line="300"/>
      </w:pPr>
      <w:r>
        <w:rPr>
          <w:rFonts w:ascii="Arial" w:cs="Arial" w:eastAsia="Arial" w:hAnsi="Arial"/>
          <w:b/>
          <w:bCs/>
          <w:sz w:val="22"/>
          <w:szCs w:val="22"/>
        </w:rPr>
        <w:t xml:space="preserve">Parse. </w:t>
      </w:r>
      <w:r>
        <w:rPr>
          <w:rFonts w:ascii="Arial" w:cs="Arial" w:eastAsia="Arial" w:hAnsi="Arial"/>
          <w:sz w:val="22"/>
          <w:szCs w:val="22"/>
        </w:rPr>
        <w:t xml:space="preserve">Source-specific parsers convert raw input to structured node trees. Each parser is a pipeline of small, individually testable steps with golden-file tests for each chapter type. When the parser breaks at 11pm before a legislative effective date, only one stage needs fixing.</w:t>
      </w:r>
    </w:p>
    <w:p>
      <w:pPr>
        <w:pStyle w:val="ListParagraph"/>
        <w:numPr>
          <w:ilvl w:val="0"/>
          <w:numId w:val="2"/>
        </w:numPr>
        <w:spacing w:after="80" w:line="300"/>
      </w:pPr>
      <w:r>
        <w:rPr>
          <w:rFonts w:ascii="Arial" w:cs="Arial" w:eastAsia="Arial" w:hAnsi="Arial"/>
          <w:b/>
          <w:bCs/>
          <w:sz w:val="22"/>
          <w:szCs w:val="22"/>
        </w:rPr>
        <w:t xml:space="preserve">Diff. </w:t>
      </w:r>
      <w:r>
        <w:rPr>
          <w:rFonts w:ascii="Arial" w:cs="Arial" w:eastAsia="Arial" w:hAnsi="Arial"/>
          <w:sz w:val="22"/>
          <w:szCs w:val="22"/>
        </w:rPr>
        <w:t xml:space="preserve">Compare parsed output to current state. Generate a structured changeset (added / modified / removed nodes) for review.</w:t>
      </w:r>
    </w:p>
    <w:p>
      <w:pPr>
        <w:pStyle w:val="ListParagraph"/>
        <w:numPr>
          <w:ilvl w:val="0"/>
          <w:numId w:val="2"/>
        </w:numPr>
        <w:spacing w:after="80" w:line="300"/>
      </w:pPr>
      <w:r>
        <w:rPr>
          <w:rFonts w:ascii="Arial" w:cs="Arial" w:eastAsia="Arial" w:hAnsi="Arial"/>
          <w:b/>
          <w:bCs/>
          <w:sz w:val="22"/>
          <w:szCs w:val="22"/>
        </w:rPr>
        <w:t xml:space="preserve">Validate. </w:t>
      </w:r>
      <w:r>
        <w:rPr>
          <w:rFonts w:ascii="Arial" w:cs="Arial" w:eastAsia="Arial" w:hAnsi="Arial"/>
          <w:sz w:val="22"/>
          <w:szCs w:val="22"/>
        </w:rPr>
        <w:t xml:space="preserve">Automated checks: every cross-reference resolves, every node has a heading, no section dropped without a repeal record, content hashes change only where text actually changed.</w:t>
      </w:r>
    </w:p>
    <w:p>
      <w:pPr>
        <w:pStyle w:val="ListParagraph"/>
        <w:numPr>
          <w:ilvl w:val="0"/>
          <w:numId w:val="2"/>
        </w:numPr>
        <w:spacing w:after="80" w:line="300"/>
      </w:pPr>
      <w:r>
        <w:rPr>
          <w:rFonts w:ascii="Arial" w:cs="Arial" w:eastAsia="Arial" w:hAnsi="Arial"/>
          <w:b/>
          <w:bCs/>
          <w:sz w:val="22"/>
          <w:szCs w:val="22"/>
        </w:rPr>
        <w:t xml:space="preserve">Review. </w:t>
      </w:r>
      <w:r>
        <w:rPr>
          <w:rFonts w:ascii="Arial" w:cs="Arial" w:eastAsia="Arial" w:hAnsi="Arial"/>
          <w:sz w:val="22"/>
          <w:szCs w:val="22"/>
        </w:rPr>
        <w:t xml:space="preserve">Changesets land in the Django admin for human approval. Never auto-publish. One bad scrape that mangles § 714.16 ships malpractice bait.</w:t>
      </w:r>
    </w:p>
    <w:p>
      <w:pPr>
        <w:pStyle w:val="ListParagraph"/>
        <w:numPr>
          <w:ilvl w:val="0"/>
          <w:numId w:val="2"/>
        </w:numPr>
        <w:spacing w:after="80" w:line="300"/>
      </w:pPr>
      <w:r>
        <w:rPr>
          <w:rFonts w:ascii="Arial" w:cs="Arial" w:eastAsia="Arial" w:hAnsi="Arial"/>
          <w:b/>
          <w:bCs/>
          <w:sz w:val="22"/>
          <w:szCs w:val="22"/>
        </w:rPr>
        <w:t xml:space="preserve">Publish. </w:t>
      </w:r>
      <w:r>
        <w:rPr>
          <w:rFonts w:ascii="Arial" w:cs="Arial" w:eastAsia="Arial" w:hAnsi="Arial"/>
          <w:sz w:val="22"/>
          <w:szCs w:val="22"/>
        </w:rPr>
        <w:t xml:space="preserve">Approved changes write new NodeVersion rows in a single transaction. Embedding job is queued. Cache is invalidated by content hash.</w:t>
      </w:r>
    </w:p>
    <w:p>
      <w:pPr>
        <w:pStyle w:val="Heading1"/>
        <w:spacing w:after="200" w:before="360"/>
      </w:pPr>
      <w:r>
        <w:rPr>
          <w:rFonts w:ascii="Arial" w:cs="Arial" w:eastAsia="Arial" w:hAnsi="Arial"/>
          <w:b/>
          <w:bCs/>
          <w:sz w:val="32"/>
          <w:szCs w:val="32"/>
        </w:rPr>
        <w:t xml:space="preserve">Trust, compliance, and risk</w:t>
      </w:r>
    </w:p>
    <w:p>
      <w:pPr>
        <w:pStyle w:val="Heading2"/>
        <w:spacing w:after="160" w:before="280"/>
      </w:pPr>
      <w:r>
        <w:rPr>
          <w:rFonts w:ascii="Arial" w:cs="Arial" w:eastAsia="Arial" w:hAnsi="Arial"/>
          <w:b/>
          <w:bCs/>
          <w:sz w:val="28"/>
          <w:szCs w:val="28"/>
        </w:rPr>
        <w:t xml:space="preserve">Professional responsibility</w:t>
      </w:r>
    </w:p>
    <w:p>
      <w:pPr>
        <w:spacing w:after="120" w:line="300"/>
      </w:pPr>
      <w:r>
        <w:rPr>
          <w:rFonts w:ascii="Arial" w:cs="Arial" w:eastAsia="Arial" w:hAnsi="Arial"/>
          <w:sz w:val="22"/>
          <w:szCs w:val="22"/>
        </w:rPr>
        <w:t xml:space="preserve">Attorneys are conservative buyers; the malpractice risk from a hallucinated citation is real. The product must be designed around this constraint, not despite it.</w:t>
      </w:r>
    </w:p>
    <w:p>
      <w:pPr>
        <w:pStyle w:val="ListParagraph"/>
        <w:numPr>
          <w:ilvl w:val="0"/>
          <w:numId w:val="2"/>
        </w:numPr>
        <w:spacing w:after="80" w:line="300"/>
      </w:pPr>
      <w:r>
        <w:rPr>
          <w:rFonts w:ascii="Arial" w:cs="Arial" w:eastAsia="Arial" w:hAnsi="Arial"/>
          <w:b/>
          <w:bCs/>
          <w:sz w:val="22"/>
          <w:szCs w:val="22"/>
        </w:rPr>
        <w:t xml:space="preserve">Iowa Rule 32:1.1 (competence) </w:t>
      </w:r>
      <w:r>
        <w:rPr>
          <w:rFonts w:ascii="Arial" w:cs="Arial" w:eastAsia="Arial" w:hAnsi="Arial"/>
          <w:sz w:val="22"/>
          <w:szCs w:val="22"/>
        </w:rPr>
        <w:t xml:space="preserve">and ABA Formal Opinion 512 on generative AI are the relevant frameworks. Surface appropriate disclaimers without being preachy.</w:t>
      </w:r>
    </w:p>
    <w:p>
      <w:pPr>
        <w:pStyle w:val="ListParagraph"/>
        <w:numPr>
          <w:ilvl w:val="0"/>
          <w:numId w:val="2"/>
        </w:numPr>
        <w:spacing w:after="80" w:line="300"/>
      </w:pPr>
      <w:r>
        <w:rPr>
          <w:rFonts w:ascii="Arial" w:cs="Arial" w:eastAsia="Arial" w:hAnsi="Arial"/>
          <w:b/>
          <w:bCs/>
          <w:sz w:val="22"/>
          <w:szCs w:val="22"/>
        </w:rPr>
        <w:t xml:space="preserve">Verification affordances. </w:t>
      </w:r>
      <w:r>
        <w:rPr>
          <w:rFonts w:ascii="Arial" w:cs="Arial" w:eastAsia="Arial" w:hAnsi="Arial"/>
          <w:sz w:val="22"/>
          <w:szCs w:val="22"/>
        </w:rPr>
        <w:t xml:space="preserve">Every response includes the official URL, version metadata, and a clear "as of [date]" stamp.</w:t>
      </w:r>
    </w:p>
    <w:p>
      <w:pPr>
        <w:pStyle w:val="ListParagraph"/>
        <w:numPr>
          <w:ilvl w:val="0"/>
          <w:numId w:val="2"/>
        </w:numPr>
        <w:spacing w:after="80" w:line="300"/>
      </w:pPr>
      <w:r>
        <w:rPr>
          <w:rFonts w:ascii="Arial" w:cs="Arial" w:eastAsia="Arial" w:hAnsi="Arial"/>
          <w:b/>
          <w:bCs/>
          <w:sz w:val="22"/>
          <w:szCs w:val="22"/>
        </w:rPr>
        <w:t xml:space="preserve">No silent substitution. </w:t>
      </w:r>
      <w:r>
        <w:rPr>
          <w:rFonts w:ascii="Arial" w:cs="Arial" w:eastAsia="Arial" w:hAnsi="Arial"/>
          <w:sz w:val="22"/>
          <w:szCs w:val="22"/>
        </w:rPr>
        <w:t xml:space="preserve">Fuzzy citation matching never returns a different citation than the one the attorney typed. If the input is ambiguous, return candidates and ask.</w:t>
      </w:r>
    </w:p>
    <w:p>
      <w:pPr>
        <w:pStyle w:val="Heading2"/>
        <w:spacing w:after="160" w:before="280"/>
      </w:pPr>
      <w:r>
        <w:rPr>
          <w:rFonts w:ascii="Arial" w:cs="Arial" w:eastAsia="Arial" w:hAnsi="Arial"/>
          <w:b/>
          <w:bCs/>
          <w:sz w:val="28"/>
          <w:szCs w:val="28"/>
        </w:rPr>
        <w:t xml:space="preserve">Data and IP</w:t>
      </w:r>
    </w:p>
    <w:p>
      <w:pPr>
        <w:pStyle w:val="ListParagraph"/>
        <w:numPr>
          <w:ilvl w:val="0"/>
          <w:numId w:val="2"/>
        </w:numPr>
        <w:spacing w:after="80" w:line="300"/>
      </w:pPr>
      <w:r>
        <w:rPr>
          <w:rFonts w:ascii="Arial" w:cs="Arial" w:eastAsia="Arial" w:hAnsi="Arial"/>
          <w:sz w:val="22"/>
          <w:szCs w:val="22"/>
        </w:rPr>
        <w:t xml:space="preserve">Iowa Code is public domain (Georgia v. Public.Resource.Org, 2020). Scraping, structuring, and redistributing the official text is permitted.</w:t>
      </w:r>
    </w:p>
    <w:p>
      <w:pPr>
        <w:pStyle w:val="ListParagraph"/>
        <w:numPr>
          <w:ilvl w:val="0"/>
          <w:numId w:val="2"/>
        </w:numPr>
        <w:spacing w:after="80" w:line="300"/>
      </w:pPr>
      <w:r>
        <w:rPr>
          <w:rFonts w:ascii="Arial" w:cs="Arial" w:eastAsia="Arial" w:hAnsi="Arial"/>
          <w:sz w:val="22"/>
          <w:szCs w:val="22"/>
        </w:rPr>
        <w:t xml:space="preserve">Annotations, headnotes, and editorial content from third parties are not. If the product layers in case citations, those are likely Westlaw/Lexis-style derivative work and need to be sourced from public records (CourtListener, official Iowa Courts data) rather than commercial annotators.</w:t>
      </w:r>
    </w:p>
    <w:p>
      <w:pPr>
        <w:pStyle w:val="ListParagraph"/>
        <w:numPr>
          <w:ilvl w:val="0"/>
          <w:numId w:val="2"/>
        </w:numPr>
        <w:spacing w:after="80" w:line="300"/>
      </w:pPr>
      <w:r>
        <w:rPr>
          <w:rFonts w:ascii="Arial" w:cs="Arial" w:eastAsia="Arial" w:hAnsi="Arial"/>
          <w:sz w:val="22"/>
          <w:szCs w:val="22"/>
        </w:rPr>
        <w:t xml:space="preserve">Iowa Court Rules and IAC have similar public-domain status; verify current rules with a Iowa-licensed attorney before launch.</w:t>
      </w:r>
    </w:p>
    <w:p>
      <w:pPr>
        <w:pStyle w:val="Heading1"/>
        <w:spacing w:after="200" w:before="360"/>
      </w:pPr>
      <w:r>
        <w:rPr>
          <w:rFonts w:ascii="Arial" w:cs="Arial" w:eastAsia="Arial" w:hAnsi="Arial"/>
          <w:b/>
          <w:bCs/>
          <w:sz w:val="32"/>
          <w:szCs w:val="32"/>
        </w:rPr>
        <w:t xml:space="preserve">Open questions</w:t>
      </w:r>
    </w:p>
    <w:p>
      <w:pPr>
        <w:pStyle w:val="ListParagraph"/>
        <w:numPr>
          <w:ilvl w:val="0"/>
          <w:numId w:val="2"/>
        </w:numPr>
        <w:spacing w:after="80" w:line="300"/>
      </w:pPr>
      <w:r>
        <w:rPr>
          <w:rFonts w:ascii="Arial" w:cs="Arial" w:eastAsia="Arial" w:hAnsi="Arial"/>
          <w:sz w:val="22"/>
          <w:szCs w:val="22"/>
        </w:rPr>
        <w:t xml:space="preserve">Which embedding model wins on Iowa-specific retrieval evals: voyage-law-2 vs. cohere embed-v3 legal? Build a small eval set of attorney queries and benchmark.</w:t>
      </w:r>
    </w:p>
    <w:p>
      <w:pPr>
        <w:pStyle w:val="ListParagraph"/>
        <w:numPr>
          <w:ilvl w:val="0"/>
          <w:numId w:val="2"/>
        </w:numPr>
        <w:spacing w:after="80" w:line="300"/>
      </w:pPr>
      <w:r>
        <w:rPr>
          <w:rFonts w:ascii="Arial" w:cs="Arial" w:eastAsia="Arial" w:hAnsi="Arial"/>
          <w:sz w:val="22"/>
          <w:szCs w:val="22"/>
        </w:rPr>
        <w:t xml:space="preserve">What's the right granularity for the free tier? Current statute lookup only, or also limited search?</w:t>
      </w:r>
    </w:p>
    <w:p>
      <w:pPr>
        <w:pStyle w:val="ListParagraph"/>
        <w:numPr>
          <w:ilvl w:val="0"/>
          <w:numId w:val="2"/>
        </w:numPr>
        <w:spacing w:after="80" w:line="300"/>
      </w:pPr>
      <w:r>
        <w:rPr>
          <w:rFonts w:ascii="Arial" w:cs="Arial" w:eastAsia="Arial" w:hAnsi="Arial"/>
          <w:sz w:val="22"/>
          <w:szCs w:val="22"/>
        </w:rPr>
        <w:t xml:space="preserve">How does the product handle pending amendments — show them with a clear "effective [date]" badge, or hide them until they take effect?</w:t>
      </w:r>
    </w:p>
    <w:p>
      <w:pPr>
        <w:pStyle w:val="ListParagraph"/>
        <w:numPr>
          <w:ilvl w:val="0"/>
          <w:numId w:val="2"/>
        </w:numPr>
        <w:spacing w:after="80" w:line="300"/>
      </w:pPr>
      <w:r>
        <w:rPr>
          <w:rFonts w:ascii="Arial" w:cs="Arial" w:eastAsia="Arial" w:hAnsi="Arial"/>
          <w:sz w:val="22"/>
          <w:szCs w:val="22"/>
        </w:rPr>
        <w:t xml:space="preserve">Should the MCP server be authenticated per-attorney (API key) for usage tracking and audit, or per-firm? How does this work with shared Claude.ai accounts?</w:t>
      </w:r>
    </w:p>
    <w:p>
      <w:pPr>
        <w:pStyle w:val="ListParagraph"/>
        <w:numPr>
          <w:ilvl w:val="0"/>
          <w:numId w:val="2"/>
        </w:numPr>
        <w:spacing w:after="80" w:line="300"/>
      </w:pPr>
      <w:r>
        <w:rPr>
          <w:rFonts w:ascii="Arial" w:cs="Arial" w:eastAsia="Arial" w:hAnsi="Arial"/>
          <w:sz w:val="22"/>
          <w:szCs w:val="22"/>
        </w:rPr>
        <w:t xml:space="preserve">Build vs. buy on case law annotations — is CourtListener's data good enough, or does this require building a parallel ingestion pipeline?</w:t>
      </w:r>
    </w:p>
    <w:p>
      <w:pPr>
        <w:pStyle w:val="ListParagraph"/>
        <w:numPr>
          <w:ilvl w:val="0"/>
          <w:numId w:val="2"/>
        </w:numPr>
        <w:spacing w:after="80" w:line="300"/>
      </w:pPr>
      <w:r>
        <w:rPr>
          <w:rFonts w:ascii="Arial" w:cs="Arial" w:eastAsia="Arial" w:hAnsi="Arial"/>
          <w:sz w:val="22"/>
          <w:szCs w:val="22"/>
        </w:rPr>
        <w:t xml:space="preserve">Iowa State Bar Association partnership: is there a path to ISBA endorsement, and what would that require?</w:t>
      </w:r>
    </w:p>
    <w:p>
      <w:pPr>
        <w:pStyle w:val="Heading1"/>
        <w:spacing w:after="200" w:before="360"/>
      </w:pPr>
      <w:r>
        <w:rPr>
          <w:rFonts w:ascii="Arial" w:cs="Arial" w:eastAsia="Arial" w:hAnsi="Arial"/>
          <w:b/>
          <w:bCs/>
          <w:sz w:val="32"/>
          <w:szCs w:val="32"/>
        </w:rPr>
        <w:t xml:space="preserve">Immediate next steps</w:t>
      </w:r>
    </w:p>
    <w:p>
      <w:pPr>
        <w:pStyle w:val="ListParagraph"/>
        <w:numPr>
          <w:ilvl w:val="0"/>
          <w:numId w:val="2"/>
        </w:numPr>
        <w:spacing w:after="80" w:line="300"/>
      </w:pPr>
      <w:r>
        <w:rPr>
          <w:rFonts w:ascii="Arial" w:cs="Arial" w:eastAsia="Arial" w:hAnsi="Arial"/>
          <w:sz w:val="22"/>
          <w:szCs w:val="22"/>
        </w:rPr>
        <w:t xml:space="preserve">Stand up a Django + Postgres + pgvector dev environment with the corpus app and the model definitions sketched above.</w:t>
      </w:r>
    </w:p>
    <w:p>
      <w:pPr>
        <w:pStyle w:val="ListParagraph"/>
        <w:numPr>
          <w:ilvl w:val="0"/>
          <w:numId w:val="2"/>
        </w:numPr>
        <w:spacing w:after="80" w:line="300"/>
      </w:pPr>
      <w:r>
        <w:rPr>
          <w:rFonts w:ascii="Arial" w:cs="Arial" w:eastAsia="Arial" w:hAnsi="Arial"/>
          <w:sz w:val="22"/>
          <w:szCs w:val="22"/>
        </w:rPr>
        <w:t xml:space="preserve">Write the Iowa Code parser against the existing JSON the attorney has already converted; treat it as the first ingestion source.</w:t>
      </w:r>
    </w:p>
    <w:p>
      <w:pPr>
        <w:pStyle w:val="ListParagraph"/>
        <w:numPr>
          <w:ilvl w:val="0"/>
          <w:numId w:val="2"/>
        </w:numPr>
        <w:spacing w:after="80" w:line="300"/>
      </w:pPr>
      <w:r>
        <w:rPr>
          <w:rFonts w:ascii="Arial" w:cs="Arial" w:eastAsia="Arial" w:hAnsi="Arial"/>
          <w:sz w:val="22"/>
          <w:szCs w:val="22"/>
        </w:rPr>
        <w:t xml:space="preserve">Build a citation parser that resolves a wide range of Iowa Code citation formats to Node lookups.</w:t>
      </w:r>
    </w:p>
    <w:p>
      <w:pPr>
        <w:pStyle w:val="ListParagraph"/>
        <w:numPr>
          <w:ilvl w:val="0"/>
          <w:numId w:val="2"/>
        </w:numPr>
        <w:spacing w:after="80" w:line="300"/>
      </w:pPr>
      <w:r>
        <w:rPr>
          <w:rFonts w:ascii="Arial" w:cs="Arial" w:eastAsia="Arial" w:hAnsi="Arial"/>
          <w:sz w:val="22"/>
          <w:szCs w:val="22"/>
        </w:rPr>
        <w:t xml:space="preserve">Implement hybrid search (FTS + trigram + vector) with a small evaluation harness of 30–50 representative attorney queries.</w:t>
      </w:r>
    </w:p>
    <w:p>
      <w:pPr>
        <w:pStyle w:val="ListParagraph"/>
        <w:numPr>
          <w:ilvl w:val="0"/>
          <w:numId w:val="2"/>
        </w:numPr>
        <w:spacing w:after="80" w:line="300"/>
      </w:pPr>
      <w:r>
        <w:rPr>
          <w:rFonts w:ascii="Arial" w:cs="Arial" w:eastAsia="Arial" w:hAnsi="Arial"/>
          <w:sz w:val="22"/>
          <w:szCs w:val="22"/>
        </w:rPr>
        <w:t xml:space="preserve">Stand up a minimal MCP server exposing lookup_citation and search_statutes; test with Claude Desktop locally.</w:t>
      </w:r>
    </w:p>
    <w:p>
      <w:pPr>
        <w:pStyle w:val="ListParagraph"/>
        <w:numPr>
          <w:ilvl w:val="0"/>
          <w:numId w:val="2"/>
        </w:numPr>
        <w:spacing w:after="80" w:line="300"/>
      </w:pPr>
      <w:r>
        <w:rPr>
          <w:rFonts w:ascii="Arial" w:cs="Arial" w:eastAsia="Arial" w:hAnsi="Arial"/>
          <w:sz w:val="22"/>
          <w:szCs w:val="22"/>
        </w:rPr>
        <w:t xml:space="preserve">Recruit 3–5 friendly Iowa attorneys for early feedback before broader release.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Iowa Legal Corpus MCP — Project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Iowa Legal Corpus MCP — Project Brief</dc:title>
  <dc:creator>Project Brief</dc:creator>
  <cp:lastModifiedBy>Un-named</cp:lastModifiedBy>
  <cp:revision>1</cp:revision>
  <dcterms:created xsi:type="dcterms:W3CDTF">2026-04-28T22:35:03.483Z</dcterms:created>
  <dcterms:modified xsi:type="dcterms:W3CDTF">2026-04-28T22:35:03.485Z</dcterms:modified>
</cp:coreProperties>
</file>

<file path=docProps/custom.xml><?xml version="1.0" encoding="utf-8"?>
<Properties xmlns="http://schemas.openxmlformats.org/officeDocument/2006/custom-properties" xmlns:vt="http://schemas.openxmlformats.org/officeDocument/2006/docPropsVTypes"/>
</file>