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mallCaps w:val="0"/>
          <w:rtl w:val="0"/>
        </w:rPr>
        <w:t xml:space="preserve">Caso de Uso</w:t>
      </w:r>
      <w:r w:rsidDel="00000000" w:rsidR="00000000" w:rsidRPr="00000000">
        <w:rPr>
          <w:smallCaps w:val="0"/>
          <w:rtl w:val="0"/>
        </w:rPr>
        <w:t xml:space="preserve"> Reportar Resultado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Nome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Reportar resultado.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Identificador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CSU06.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Importância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Este caso de uso é importante tendo em vista que é a partir da execução do mesmo, o cliente é informado do resultado e assim pode levar adiante o processo de contratação dos aprovados. Tendo em vista a simplicidade da funcionalidade, o caso de uso é classificado como de</w:t>
      </w:r>
      <w:r w:rsidDel="00000000" w:rsidR="00000000" w:rsidRPr="00000000">
        <w:rPr>
          <w:b w:val="1"/>
          <w:smallCaps w:val="0"/>
          <w:rtl w:val="0"/>
        </w:rPr>
        <w:t xml:space="preserve"> Risco baixo e prioridade baixa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Sumário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O sistema consulta os candidatos aprovados para as vagas oferecidas e comunica o cliente através do envio de e-mail.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Ator Primário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Analista de RH.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Pré-condições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Execução do caso de uso </w:t>
      </w:r>
      <w:r w:rsidDel="00000000" w:rsidR="00000000" w:rsidRPr="00000000">
        <w:rPr>
          <w:smallCaps w:val="0"/>
          <w:rtl w:val="0"/>
        </w:rPr>
        <w:t xml:space="preserve">CSU05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 Principal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Na página inicial [</w:t>
      </w:r>
      <w:r w:rsidDel="00000000" w:rsidR="00000000" w:rsidRPr="00000000">
        <w:rPr>
          <w:smallCaps w:val="0"/>
          <w:rtl w:val="0"/>
        </w:rPr>
        <w:t xml:space="preserve">paginaInicio.html</w:t>
      </w:r>
      <w:r w:rsidDel="00000000" w:rsidR="00000000" w:rsidRPr="00000000">
        <w:rPr>
          <w:smallCaps w:val="0"/>
          <w:rtl w:val="0"/>
        </w:rPr>
        <w:t xml:space="preserve">], o ator clica sobre o link “Reportar Resultado”;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abre a página para reportar resultado [</w:t>
      </w:r>
      <w:r w:rsidDel="00000000" w:rsidR="00000000" w:rsidRPr="00000000">
        <w:rPr>
          <w:smallCaps w:val="0"/>
          <w:rtl w:val="0"/>
        </w:rPr>
        <w:t xml:space="preserve">reportarResultado.html</w:t>
      </w:r>
      <w:r w:rsidDel="00000000" w:rsidR="00000000" w:rsidRPr="00000000">
        <w:rPr>
          <w:smallCaps w:val="0"/>
          <w:rtl w:val="0"/>
        </w:rPr>
        <w:t xml:space="preserve">];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Nesta página, o ator informa o nome da empresa oferecedora das vagas e clica no botão disposto imediatamente após o campo nome;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abre a página de consulta de processos seletivos [</w:t>
      </w:r>
      <w:r w:rsidDel="00000000" w:rsidR="00000000" w:rsidRPr="00000000">
        <w:rPr>
          <w:smallCaps w:val="0"/>
          <w:rtl w:val="0"/>
        </w:rPr>
        <w:t xml:space="preserve">consultarProcessoSeletivo.html</w:t>
      </w:r>
      <w:r w:rsidDel="00000000" w:rsidR="00000000" w:rsidRPr="00000000">
        <w:rPr>
          <w:smallCaps w:val="0"/>
          <w:rtl w:val="0"/>
        </w:rPr>
        <w:t xml:space="preserve">], que contém uma grid que já vem preenchida com os dados dos processos seletivos que estão em andamento;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bookmarkStart w:colFirst="0" w:colLast="0" w:name="id.gjdgxs" w:id="0"/>
      <w:bookmarkEnd w:id="0"/>
      <w:r w:rsidDel="00000000" w:rsidR="00000000" w:rsidRPr="00000000">
        <w:rPr>
          <w:smallCaps w:val="0"/>
          <w:rtl w:val="0"/>
        </w:rPr>
        <w:t xml:space="preserve">O ator seleciona o processo seletivo para o qual deseja avaliar os candidatos (clicando no radiobutton disposto na última coluna da grid e sobre o botão selecionar);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retorna à página página para reportar resultado [</w:t>
      </w:r>
      <w:r w:rsidDel="00000000" w:rsidR="00000000" w:rsidRPr="00000000">
        <w:rPr>
          <w:smallCaps w:val="0"/>
          <w:rtl w:val="0"/>
        </w:rPr>
        <w:t xml:space="preserve">reportarResultado.html</w:t>
      </w:r>
      <w:r w:rsidDel="00000000" w:rsidR="00000000" w:rsidRPr="00000000">
        <w:rPr>
          <w:smallCaps w:val="0"/>
          <w:rtl w:val="0"/>
        </w:rPr>
        <w:t xml:space="preserve">], preenchendo o nome do processo seletivo;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informa se o resultado será comunicado ao candidato ou ao cliente: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consulta as inscrições que estão na situação ‘APROVADA_CONVOCADA” e armazena o resultado em uma lista;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o reportar do resultado é para o candidato, o sistema: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Itera sobre esta lista e para cada candidato aprovado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inclui o caso de uso </w:t>
      </w:r>
      <w:r w:rsidDel="00000000" w:rsidR="00000000" w:rsidRPr="00000000">
        <w:rPr>
          <w:smallCaps w:val="0"/>
          <w:rtl w:val="0"/>
        </w:rPr>
        <w:t xml:space="preserve">CSU09</w:t>
      </w:r>
      <w:r w:rsidDel="00000000" w:rsidR="00000000" w:rsidRPr="00000000">
        <w:rPr>
          <w:smallCaps w:val="0"/>
          <w:rtl w:val="0"/>
        </w:rPr>
        <w:t xml:space="preserve">, no seu cenário 7.2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o reportar do resultado é para o cliente, o sistema: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Cria um arquivo PDF contendo a lista de aprovados na forma de uma planilha.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Inclui o caso de uso </w:t>
      </w:r>
      <w:r w:rsidDel="00000000" w:rsidR="00000000" w:rsidRPr="00000000">
        <w:rPr>
          <w:smallCaps w:val="0"/>
          <w:rtl w:val="0"/>
        </w:rPr>
        <w:t xml:space="preserve">CSU09</w:t>
      </w:r>
      <w:r w:rsidDel="00000000" w:rsidR="00000000" w:rsidRPr="00000000">
        <w:rPr>
          <w:smallCaps w:val="0"/>
          <w:rtl w:val="0"/>
        </w:rPr>
        <w:t xml:space="preserve">, no seu cenário 7.3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Abre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mensagem “Msg24”;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Encerra o caso de uso.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Alternativos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de Exceção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Pós-condições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O resultado do processo seletivo foi informado ao cliente ou ao candidato com sucesso.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Regras de Negócio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Histórico</w:t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3"/>
        <w:gridCol w:w="1253"/>
        <w:gridCol w:w="1352"/>
        <w:gridCol w:w="5730"/>
        <w:tblGridChange w:id="0">
          <w:tblGrid>
            <w:gridCol w:w="1303"/>
            <w:gridCol w:w="1253"/>
            <w:gridCol w:w="1352"/>
            <w:gridCol w:w="5730"/>
          </w:tblGrid>
        </w:tblGridChange>
      </w:tblGrid>
      <w:tr>
        <w:tc>
          <w:tcPr>
            <w:shd w:fill="cccccc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shd w:fill="cccccc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shd w:fill="cccccc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Usuário</w:t>
            </w:r>
          </w:p>
        </w:tc>
        <w:tc>
          <w:tcPr>
            <w:shd w:fill="cccccc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19/06/2016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21/06/2016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Atualização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22/06/2016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de links entre documentos.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Notas de Implementação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Documentação Auxiliar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caso de uso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classes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bookmarkStart w:colFirst="0" w:colLast="0" w:name="id.30j0zll" w:id="1"/>
      <w:bookmarkEnd w:id="1"/>
      <w:r w:rsidDel="00000000" w:rsidR="00000000" w:rsidRPr="00000000">
        <w:rPr>
          <w:smallCaps w:val="0"/>
          <w:rtl w:val="0"/>
        </w:rPr>
        <w:t xml:space="preserve">Diagrama de transição de estado da Inscrição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transição de estado do Processo Seletivo.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