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 Logar no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Logar no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CSU07.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importante pois para acessar as funcionalidades do sistema, o usuário deve se autenticar no controle de acesso do mesmo. Este é um caso de uso simples, portante é classificado como:</w:t>
      </w:r>
      <w:r w:rsidDel="00000000" w:rsidR="00000000" w:rsidRPr="00000000">
        <w:rPr>
          <w:b w:val="1"/>
          <w:smallCaps w:val="0"/>
          <w:rtl w:val="0"/>
        </w:rPr>
        <w:t xml:space="preserve"> Risco baixo e prioridade baixa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Autenticação do usuário no controle de acesso do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usuário que está necessitando executar alguma funcionalidade do sistema, pode ser o cliente, o candidato ou o analista de rh.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É necessário que o usuário possua um cadastro no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acessa o sistema disponível no seguinte endereço: &lt;link da aplicação&gt;;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apresenta a tela de </w:t>
      </w:r>
      <w:r w:rsidDel="00000000" w:rsidR="00000000" w:rsidRPr="00000000">
        <w:rPr>
          <w:smallCaps w:val="0"/>
          <w:rtl w:val="0"/>
        </w:rPr>
        <w:t xml:space="preserve">login</w:t>
      </w:r>
      <w:r w:rsidDel="00000000" w:rsidR="00000000" w:rsidRPr="00000000">
        <w:rPr>
          <w:smallCaps w:val="0"/>
          <w:rtl w:val="0"/>
        </w:rPr>
        <w:t xml:space="preserve">, contendo: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Um campo para informar o nome do usuário;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Um campo para informar sua senha;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Um botão para acessar o sistema.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seu nome de usuário, sua senha e clica sobre o botão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valida as credenciais do usuário: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Estando válidas, redireciona o usuário para a página inicial do sistema.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Não estando válidas o caso de uso é desviado para o fluxo de exceção 9.1.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Alternativo 01: Ator Esqueceu a senha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ator, não se lembrando de seu nome de usuário ou de sua senha, clica sobre o link “esqueci minha senha”, constante da tela de login;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apresenta uma tela para recuperação de senha, constando um campo para o usuário confirmar seu e-mail;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seu e-mail;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valida este e-mail conforme </w:t>
      </w:r>
      <w:r w:rsidDel="00000000" w:rsidR="00000000" w:rsidRPr="00000000">
        <w:rPr>
          <w:smallCaps w:val="0"/>
          <w:rtl w:val="0"/>
        </w:rPr>
        <w:t xml:space="preserve">RN02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e-mail não for válido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 mensagem de erro “Msg02”, disponibilizando opção para o ator retornar e informar um e-mail válido.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o e-mail for válido, consulta na base de dados, o usuário que possua tal e-mail informado: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Encontrando, envia um e-mail para o usuário com seu nome de usuário e senha;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Não encontrando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de erro: “Msg07” e encerra o caso de uso.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alternativo 02: O ator ainda não possui um cadastro como usuário do sistema.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Neste momento o caso de uso estende o caso de uso “</w:t>
      </w:r>
      <w:r w:rsidDel="00000000" w:rsidR="00000000" w:rsidRPr="00000000">
        <w:rPr>
          <w:smallCaps w:val="0"/>
          <w:rtl w:val="0"/>
        </w:rPr>
        <w:t xml:space="preserve">CSU08 – manter usuários</w:t>
      </w:r>
      <w:r w:rsidDel="00000000" w:rsidR="00000000" w:rsidRPr="00000000">
        <w:rPr>
          <w:smallCaps w:val="0"/>
          <w:rtl w:val="0"/>
        </w:rPr>
        <w:t xml:space="preserve">”.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Usuário não encontrado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não encontra o cadastro de usuário que possua os dados informados pelo ator. Então abre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de erro “Msg08” e encerra o caso de uso.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ator conseguiu logar no sistema sem problemas.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RN02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908"/>
        <w:gridCol w:w="1302.9999999999998"/>
        <w:gridCol w:w="6184"/>
        <w:tblGridChange w:id="0">
          <w:tblGrid>
            <w:gridCol w:w="1243"/>
            <w:gridCol w:w="908"/>
            <w:gridCol w:w="1302.9999999999998"/>
            <w:gridCol w:w="6184"/>
          </w:tblGrid>
        </w:tblGridChange>
      </w:tblGrid>
      <w:tr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 de uso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