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mallCaps w:val="0"/>
          <w:sz w:val="28"/>
          <w:szCs w:val="28"/>
          <w:rtl w:val="0"/>
        </w:rPr>
        <w:t xml:space="preserve">Caso de Uso: Manter Usuários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Nome</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Manter usuários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Identificador</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CSU08.</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Importância</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Este caso de uso é importante pois mantém os dados cadastrais das pessoas autorizadas a acessar o sistema. Por se tratar de um caso de uso de manutenção cadastral, é classificado como de</w:t>
      </w:r>
      <w:r w:rsidDel="00000000" w:rsidR="00000000" w:rsidRPr="00000000">
        <w:rPr>
          <w:b w:val="1"/>
          <w:smallCaps w:val="0"/>
          <w:rtl w:val="0"/>
        </w:rPr>
        <w:t xml:space="preserve"> Risco baixo e prioridade baixa</w:t>
      </w:r>
      <w:r w:rsidDel="00000000" w:rsidR="00000000" w:rsidRPr="00000000">
        <w:rPr>
          <w:smallCaps w:val="0"/>
          <w:rtl w:val="0"/>
        </w:rPr>
        <w:t xml:space="preserve">.</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Sumário</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Manter os dados cadastrais dos usuários do sistema.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Ator Primário</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Qualquer das pessoas que precisar interagir com o sistema. Pode ser o cliente, o candidato ou o analista de rh.</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Pré-condições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Fluxo Principal</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Este caso de uso é invocado pelo caso de uso “CSU-09 – logar no sistema”, quando o usuário manifesta seu desejo de se cadastrar o sistema.</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O sistema apresenta a página de cadastro de usuários [</w:t>
      </w:r>
      <w:r w:rsidDel="00000000" w:rsidR="00000000" w:rsidRPr="00000000">
        <w:rPr>
          <w:smallCaps w:val="0"/>
          <w:rtl w:val="0"/>
        </w:rPr>
        <w:t xml:space="preserve">manterUsuario.html</w:t>
      </w:r>
      <w:r w:rsidDel="00000000" w:rsidR="00000000" w:rsidRPr="00000000">
        <w:rPr>
          <w:smallCaps w:val="0"/>
          <w:rtl w:val="0"/>
        </w:rPr>
        <w:t xml:space="preserve">], contendo campos para o usuário informar os seguintes dados: (nome, razão social, endereço, data de nascimento, nacionalidade, número do cpf, número do certificado de reservista, número do passaporte, data de validade do passaporte, número do documento de habilitação, tipo do documento de habilitação (CNH, CREA, CRM), telefone, e-mail, númeo do CNPJ e nome da área de atuação.);</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O ator informa o seu e-mail e seu telefone de contato, seu nome de usuário no sistema e sua senha;</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O sistema valida o e-mail de acordo com a </w:t>
      </w:r>
      <w:r w:rsidDel="00000000" w:rsidR="00000000" w:rsidRPr="00000000">
        <w:rPr>
          <w:smallCaps w:val="0"/>
          <w:rtl w:val="0"/>
        </w:rPr>
        <w:t xml:space="preserve">RN02</w:t>
      </w:r>
      <w:r w:rsidDel="00000000" w:rsidR="00000000" w:rsidRPr="00000000">
        <w:rPr>
          <w:smallCaps w:val="0"/>
          <w:rtl w:val="0"/>
        </w:rPr>
        <w:t xml:space="preserve">;</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Se o e-mail não for válido, o sistema abre uma janela “</w:t>
      </w:r>
      <w:r w:rsidDel="00000000" w:rsidR="00000000" w:rsidRPr="00000000">
        <w:rPr>
          <w:smallCaps w:val="0"/>
          <w:rtl w:val="0"/>
        </w:rPr>
        <w:t xml:space="preserve">pop-up</w:t>
      </w:r>
      <w:r w:rsidDel="00000000" w:rsidR="00000000" w:rsidRPr="00000000">
        <w:rPr>
          <w:smallCaps w:val="0"/>
          <w:rtl w:val="0"/>
        </w:rPr>
        <w:t xml:space="preserve">” com a mensagem de erro “Msg02”, disponibilizando a opção do ator voltar e informar um e-mail válido;</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O ator solicita ao sistema que busque seu endereço, clicando sobre o botão “consultar endereço”;</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Neste o sistema abre a tela de </w:t>
      </w:r>
      <w:r w:rsidDel="00000000" w:rsidR="00000000" w:rsidRPr="00000000">
        <w:rPr>
          <w:smallCaps w:val="0"/>
          <w:rtl w:val="0"/>
        </w:rPr>
        <w:t xml:space="preserve">consultar endereço</w:t>
      </w:r>
      <w:r w:rsidDel="00000000" w:rsidR="00000000" w:rsidRPr="00000000">
        <w:rPr>
          <w:smallCaps w:val="0"/>
          <w:rtl w:val="0"/>
        </w:rPr>
        <w:t xml:space="preserve">.</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O ator informa o cep ou nome parcial da rua e solicita a busca, que pode ser local ou através do web-services dos correios, em ambos os casos, encontrando o endereço, o sistema preenche uma grid constante desta página, com os dados do(s) endereço(s) encontrado(s);</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O ator seleciona o endereço desejado e clica sobre o botão selecionar;</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O sistema retorna para a página [</w:t>
      </w:r>
      <w:r w:rsidDel="00000000" w:rsidR="00000000" w:rsidRPr="00000000">
        <w:rPr>
          <w:smallCaps w:val="0"/>
          <w:rtl w:val="0"/>
        </w:rPr>
        <w:t xml:space="preserve">manterUsuario.html</w:t>
      </w:r>
      <w:r w:rsidDel="00000000" w:rsidR="00000000" w:rsidRPr="00000000">
        <w:rPr>
          <w:smallCaps w:val="0"/>
          <w:rtl w:val="0"/>
        </w:rPr>
        <w:t xml:space="preserve">], preenchendo os campos relativos ao endereço.</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O próximo passo é selecionar o perfil de acesso. As opções disponíveis em uma caixa de seleção são: “Cliente”, “Candidato” e “Analista-RH”.</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O ator seleciona o perfil com o qual terá acesso às funcionalidades do sistema:</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Se escolher o perfil “Cliente”, os campos: os campos (Razão Social, número do CNPJ e nome da área de atuação) devem ser habilitados</w:t>
      </w:r>
    </w:p>
    <w:p w:rsidR="00000000" w:rsidDel="00000000" w:rsidP="00000000" w:rsidRDefault="00000000" w:rsidRPr="00000000">
      <w:pPr>
        <w:numPr>
          <w:ilvl w:val="3"/>
          <w:numId w:val="1"/>
        </w:numPr>
        <w:ind w:left="1800" w:hanging="360"/>
        <w:contextualSpacing w:val="1"/>
        <w:jc w:val="both"/>
      </w:pPr>
      <w:r w:rsidDel="00000000" w:rsidR="00000000" w:rsidRPr="00000000">
        <w:rPr>
          <w:smallCaps w:val="0"/>
          <w:rtl w:val="0"/>
        </w:rPr>
        <w:t xml:space="preserve">O ator informa sua razão social, o número do seu CPNJ e sua área de atuação;</w:t>
      </w:r>
    </w:p>
    <w:p w:rsidR="00000000" w:rsidDel="00000000" w:rsidP="00000000" w:rsidRDefault="00000000" w:rsidRPr="00000000">
      <w:pPr>
        <w:numPr>
          <w:ilvl w:val="4"/>
          <w:numId w:val="1"/>
        </w:numPr>
        <w:ind w:left="2160" w:hanging="360"/>
        <w:contextualSpacing w:val="1"/>
        <w:jc w:val="both"/>
      </w:pPr>
      <w:r w:rsidDel="00000000" w:rsidR="00000000" w:rsidRPr="00000000">
        <w:rPr>
          <w:smallCaps w:val="0"/>
          <w:rtl w:val="0"/>
        </w:rPr>
        <w:t xml:space="preserve">O sistema valida o CNPJ de acordo com a </w:t>
      </w:r>
      <w:r w:rsidDel="00000000" w:rsidR="00000000" w:rsidRPr="00000000">
        <w:rPr>
          <w:smallCaps w:val="0"/>
          <w:rtl w:val="0"/>
        </w:rPr>
        <w:t xml:space="preserve">RN03</w:t>
      </w:r>
      <w:r w:rsidDel="00000000" w:rsidR="00000000" w:rsidRPr="00000000">
        <w:rPr>
          <w:smallCaps w:val="0"/>
          <w:rtl w:val="0"/>
        </w:rPr>
        <w:t xml:space="preserve">;</w:t>
      </w:r>
    </w:p>
    <w:p w:rsidR="00000000" w:rsidDel="00000000" w:rsidP="00000000" w:rsidRDefault="00000000" w:rsidRPr="00000000">
      <w:pPr>
        <w:numPr>
          <w:ilvl w:val="5"/>
          <w:numId w:val="1"/>
        </w:numPr>
        <w:ind w:left="2520" w:hanging="360"/>
        <w:contextualSpacing w:val="1"/>
        <w:jc w:val="both"/>
      </w:pPr>
      <w:r w:rsidDel="00000000" w:rsidR="00000000" w:rsidRPr="00000000">
        <w:rPr>
          <w:smallCaps w:val="0"/>
          <w:rtl w:val="0"/>
        </w:rPr>
        <w:t xml:space="preserve">Se o CNPJ não foi válido, o sistema abre uma janela de “</w:t>
      </w:r>
      <w:r w:rsidDel="00000000" w:rsidR="00000000" w:rsidRPr="00000000">
        <w:rPr>
          <w:smallCaps w:val="0"/>
          <w:rtl w:val="0"/>
        </w:rPr>
        <w:t xml:space="preserve">pop-up</w:t>
      </w:r>
      <w:r w:rsidDel="00000000" w:rsidR="00000000" w:rsidRPr="00000000">
        <w:rPr>
          <w:smallCaps w:val="0"/>
          <w:rtl w:val="0"/>
        </w:rPr>
        <w:t xml:space="preserve">” com a mensagem de erro “Msg03”, disponibilizando opção para o ator voltar e informar um CNPJ válido;</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Se escolher o perfil “Candidato”, os campos: (nome, data de nascimento, nacionalidade, número do cpf, número do certificado de reservista, número do passaporte, data de validade do passaporte, número do documento de habilitação, tipo do documento de habilitação);</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O ator informa  seu nome, sua data de nascimento, sua nacionalidade, o número do seu cpf (se for brasileiro), número do certificado de reservista (se for o caso), número do passaporte e data de validade do passaporte (se for estrangeiro), número do documento de habilitação e tipo do documento de habilitação (CNH, CREA ou CRM);</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O sistema valida o nome informado de acordo com a </w:t>
      </w:r>
      <w:r w:rsidDel="00000000" w:rsidR="00000000" w:rsidRPr="00000000">
        <w:rPr>
          <w:smallCaps w:val="0"/>
          <w:rtl w:val="0"/>
        </w:rPr>
        <w:t xml:space="preserve">RN01</w:t>
      </w:r>
      <w:r w:rsidDel="00000000" w:rsidR="00000000" w:rsidRPr="00000000">
        <w:rPr>
          <w:smallCaps w:val="0"/>
          <w:rtl w:val="0"/>
        </w:rPr>
        <w:t xml:space="preserve">.</w:t>
      </w:r>
    </w:p>
    <w:p w:rsidR="00000000" w:rsidDel="00000000" w:rsidP="00000000" w:rsidRDefault="00000000" w:rsidRPr="00000000">
      <w:pPr>
        <w:numPr>
          <w:ilvl w:val="3"/>
          <w:numId w:val="1"/>
        </w:numPr>
        <w:ind w:left="1800" w:hanging="360"/>
        <w:contextualSpacing w:val="1"/>
        <w:jc w:val="both"/>
      </w:pPr>
      <w:r w:rsidDel="00000000" w:rsidR="00000000" w:rsidRPr="00000000">
        <w:rPr>
          <w:smallCaps w:val="0"/>
          <w:rtl w:val="0"/>
        </w:rPr>
        <w:t xml:space="preserve">Se o nome não for válido, o sistema abre uma janela “</w:t>
      </w:r>
      <w:r w:rsidDel="00000000" w:rsidR="00000000" w:rsidRPr="00000000">
        <w:rPr>
          <w:smallCaps w:val="0"/>
          <w:rtl w:val="0"/>
        </w:rPr>
        <w:t xml:space="preserve">pop-up</w:t>
      </w:r>
      <w:r w:rsidDel="00000000" w:rsidR="00000000" w:rsidRPr="00000000">
        <w:rPr>
          <w:smallCaps w:val="0"/>
          <w:rtl w:val="0"/>
        </w:rPr>
        <w:t xml:space="preserve">” com a mensagem de erro “Msg01”, disponibilizando ao ator a opção de voltar e informar um nome válido.</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O sistema valida o CPF do ator de acordo com a </w:t>
      </w:r>
      <w:r w:rsidDel="00000000" w:rsidR="00000000" w:rsidRPr="00000000">
        <w:rPr>
          <w:smallCaps w:val="0"/>
          <w:rtl w:val="0"/>
        </w:rPr>
        <w:t xml:space="preserve">RN04</w:t>
      </w:r>
      <w:r w:rsidDel="00000000" w:rsidR="00000000" w:rsidRPr="00000000">
        <w:rPr>
          <w:smallCaps w:val="0"/>
          <w:rtl w:val="0"/>
        </w:rPr>
        <w:t xml:space="preserve">.</w:t>
      </w:r>
    </w:p>
    <w:p w:rsidR="00000000" w:rsidDel="00000000" w:rsidP="00000000" w:rsidRDefault="00000000" w:rsidRPr="00000000">
      <w:pPr>
        <w:numPr>
          <w:ilvl w:val="3"/>
          <w:numId w:val="1"/>
        </w:numPr>
        <w:ind w:left="1800" w:hanging="360"/>
        <w:contextualSpacing w:val="1"/>
        <w:jc w:val="both"/>
      </w:pPr>
      <w:r w:rsidDel="00000000" w:rsidR="00000000" w:rsidRPr="00000000">
        <w:rPr>
          <w:smallCaps w:val="0"/>
          <w:rtl w:val="0"/>
        </w:rPr>
        <w:t xml:space="preserve">Se o CPF não for válido, o sistema abre uma janela “</w:t>
      </w:r>
      <w:r w:rsidDel="00000000" w:rsidR="00000000" w:rsidRPr="00000000">
        <w:rPr>
          <w:smallCaps w:val="0"/>
          <w:rtl w:val="0"/>
        </w:rPr>
        <w:t xml:space="preserve">pop-up</w:t>
      </w:r>
      <w:r w:rsidDel="00000000" w:rsidR="00000000" w:rsidRPr="00000000">
        <w:rPr>
          <w:smallCaps w:val="0"/>
          <w:rtl w:val="0"/>
        </w:rPr>
        <w:t xml:space="preserve">” com a mensagem de erro “Msg04”, disponibilizando ao ator ator a opção de voltar e informar um CPF válido;</w:t>
      </w:r>
    </w:p>
    <w:p w:rsidR="00000000" w:rsidDel="00000000" w:rsidP="00000000" w:rsidRDefault="00000000" w:rsidRPr="00000000">
      <w:pPr>
        <w:numPr>
          <w:ilvl w:val="2"/>
          <w:numId w:val="1"/>
        </w:numPr>
        <w:ind w:left="1440" w:hanging="360"/>
        <w:contextualSpacing w:val="1"/>
        <w:jc w:val="both"/>
      </w:pPr>
      <w:r w:rsidDel="00000000" w:rsidR="00000000" w:rsidRPr="00000000">
        <w:rPr>
          <w:smallCaps w:val="0"/>
          <w:rtl w:val="0"/>
        </w:rPr>
        <w:t xml:space="preserve">Se escolher o perfil “Analista-RH”, o sistema habilita o campo para o ator informar sua matrícula.</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Após o ator terminar de informar os seus dados, o sistema:</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Com os atributos retornados do endereço, o sistema cria uma nova instancia da classe Endereco;</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com os atributos: e-mail e telefone, cria e persiste uma nova instancia da classe Pessoa, associada à classe Endereco;</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com os atributos (nome, data de nascimento, nacionalidade, número do cpf, número do certificado de reservista, número do passaporte, data de validade do passaporte, número do documento de habilitação, tipo do documento de habilitação) cria e persiste uma nova instância da classe candidato;</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com os atributos (Razão Social, número do CNPJ e nome da área de atuação), o sistema cria e persiste uma nova instancia da classe cliente;</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com os atributos (perfil, nome de usuário e senha) cria e persiste uma nova instância da classe Usuario associada à classe Pessoa, recém criada;</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Terminada a manutenção cadastral do usuário, este caso de uso retorna o fluxo ao caso de uso que o invocou, ou seja: “</w:t>
      </w:r>
      <w:r w:rsidDel="00000000" w:rsidR="00000000" w:rsidRPr="00000000">
        <w:rPr>
          <w:smallCaps w:val="0"/>
          <w:rtl w:val="0"/>
        </w:rPr>
        <w:t xml:space="preserve">CSU08 – logar no sistema</w:t>
      </w:r>
      <w:r w:rsidDel="00000000" w:rsidR="00000000" w:rsidRPr="00000000">
        <w:rPr>
          <w:smallCaps w:val="0"/>
          <w:rtl w:val="0"/>
        </w:rPr>
        <w:t xml:space="preserv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Fluxos Alternativos</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Não identificados;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Fluxos de Exceção</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Não identificados;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Pós-condições</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Um novo usuário do sistema foi cadastrado corretamente.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Regras de Negócio</w:t>
      </w:r>
    </w:p>
    <w:p w:rsidR="00000000" w:rsidDel="00000000" w:rsidP="00000000" w:rsidRDefault="00000000" w:rsidRPr="00000000">
      <w:pPr>
        <w:ind w:left="720" w:firstLine="0"/>
        <w:contextualSpacing w:val="0"/>
        <w:jc w:val="both"/>
      </w:pPr>
      <w:r w:rsidDel="00000000" w:rsidR="00000000" w:rsidRPr="00000000">
        <w:rPr>
          <w:smallCaps w:val="0"/>
          <w:rtl w:val="0"/>
        </w:rPr>
        <w:t xml:space="preserve">RN01 e RN04.</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Histórico</w:t>
      </w:r>
    </w:p>
    <w:tbl>
      <w:tblPr>
        <w:tblStyle w:val="Table1"/>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
        <w:gridCol w:w="908.0000000000001"/>
        <w:gridCol w:w="1193.9999999999998"/>
        <w:gridCol w:w="6233"/>
        <w:tblGridChange w:id="0">
          <w:tblGrid>
            <w:gridCol w:w="1303"/>
            <w:gridCol w:w="908.0000000000001"/>
            <w:gridCol w:w="1193.9999999999998"/>
            <w:gridCol w:w="6233"/>
          </w:tblGrid>
        </w:tblGridChange>
      </w:tblGrid>
      <w:tr>
        <w:tc>
          <w:tcPr>
            <w:shd w:fill="dddddd"/>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Data</w:t>
            </w:r>
          </w:p>
        </w:tc>
        <w:tc>
          <w:tcPr>
            <w:shd w:fill="dddddd"/>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Versão</w:t>
            </w:r>
          </w:p>
        </w:tc>
        <w:tc>
          <w:tcPr>
            <w:shd w:fill="dddddd"/>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Usuário</w:t>
            </w:r>
          </w:p>
        </w:tc>
        <w:tc>
          <w:tcPr>
            <w:shd w:fill="dddddd"/>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Descrição</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14/06/2016</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1.0</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Gilmar-fa</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Criação do documento.</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22/06/2016</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1.1</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Gilmar-fa</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Atualização do documento e criação de links para outros documentos.</w:t>
            </w:r>
          </w:p>
        </w:tc>
      </w:tr>
    </w:tbl>
    <w:p w:rsidR="00000000" w:rsidDel="00000000" w:rsidP="00000000" w:rsidRDefault="00000000" w:rsidRPr="00000000">
      <w:pPr>
        <w:numPr>
          <w:ilvl w:val="0"/>
          <w:numId w:val="1"/>
        </w:numPr>
        <w:ind w:left="720" w:hanging="360"/>
        <w:contextualSpacing w:val="1"/>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Notas de Implementação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Documentação Auxiliar</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Diagrama de caso de uso</w:t>
      </w:r>
      <w:r w:rsidDel="00000000" w:rsidR="00000000" w:rsidRPr="00000000">
        <w:rPr>
          <w:smallCaps w:val="0"/>
          <w:rtl w:val="0"/>
        </w:rPr>
        <w:t xml:space="preserve">.</w:t>
      </w:r>
    </w:p>
    <w:p w:rsidR="00000000" w:rsidDel="00000000" w:rsidP="00000000" w:rsidRDefault="00000000" w:rsidRPr="00000000">
      <w:pPr>
        <w:numPr>
          <w:ilvl w:val="1"/>
          <w:numId w:val="1"/>
        </w:numPr>
        <w:ind w:left="1080" w:hanging="360"/>
        <w:contextualSpacing w:val="1"/>
        <w:jc w:val="both"/>
      </w:pPr>
      <w:r w:rsidDel="00000000" w:rsidR="00000000" w:rsidRPr="00000000">
        <w:rPr>
          <w:smallCaps w:val="0"/>
          <w:rtl w:val="0"/>
        </w:rPr>
        <w:t xml:space="preserve">Diagrama de classes</w:t>
      </w:r>
      <w:r w:rsidDel="00000000" w:rsidR="00000000" w:rsidRPr="00000000">
        <w:rPr>
          <w:smallCaps w:val="0"/>
          <w:rtl w:val="0"/>
        </w:rPr>
        <w:t xml:space="preserve">.</w:t>
      </w:r>
    </w:p>
    <w:p w:rsidR="00000000" w:rsidDel="00000000" w:rsidP="00000000" w:rsidRDefault="00000000" w:rsidRPr="00000000">
      <w:pPr>
        <w:ind w:left="720" w:firstLine="0"/>
        <w:contextualSpacing w:val="0"/>
        <w:jc w:val="both"/>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1.%2."/>
      <w:lvlJc w:val="left"/>
      <w:pPr>
        <w:ind w:left="1080" w:firstLine="10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1.%2.%3."/>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1.%2.%3.%4."/>
      <w:lvlJc w:val="left"/>
      <w:pPr>
        <w:ind w:left="1800" w:firstLine="180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1.%2.%3.%4.%5."/>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1.%2.%3.%4.%5.%6."/>
      <w:lvlJc w:val="left"/>
      <w:pPr>
        <w:ind w:left="2520" w:firstLine="25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324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