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aaae14ee46b64d18" /></Relationships>
</file>

<file path=word/document.xml><?xml version="1.0" encoding="utf-8"?>
<w:document xmlns:r="http://schemas.openxmlformats.org/officeDocument/2006/relationships" xmlns:w="http://schemas.openxmlformats.org/wordprocessingml/2006/main">
  <w:body>
    <w:p>
      <w:pPr>
        <w:spacing w:before="600"/>
        <w:jc w:val="center"/>
      </w:pPr>
      <w:r>
        <w:rPr>
          <w:rFonts w:ascii="Times New Roman" w:hAnsi="Times New Roman"/>
          <w:b/>
          <w:bCs/>
          <w:color w:val="1A3C5A"/>
          <w:sz w:val="48"/>
          <w:szCs w:val="48"/>
        </w:rPr>
        <w:t>CHAPTER 2</w:t>
      </w:r>
    </w:p>
    <w:p>
      <w:pPr>
        <w:spacing w:before="240" w:after="480"/>
        <w:jc w:val="center"/>
      </w:pPr>
      <w:r>
        <w:rPr>
          <w:rFonts w:ascii="Times New Roman" w:hAnsi="Times New Roman"/>
          <w:b/>
          <w:bCs/>
          <w:color w:val="1A3C5A"/>
          <w:sz w:val="36"/>
          <w:szCs w:val="36"/>
        </w:rPr>
        <w:t>LITERATURE REVIEW AND THEORETICAL FOUNDATION</w:t>
      </w:r>
    </w:p>
    <w:p>
      <w:pPr>
        <w:pStyle w:val="Heading1"/>
      </w:pPr>
      <w:r>
        <w:t>2.1 Introduction</w:t>
      </w:r>
    </w:p>
    <w:p>
      <w:pPr>
        <w:pStyle w:val="Normal"/>
      </w:pPr>
      <w:r>
        <w:t xml:space="preserve">The rapid advancement of artificial intelligence has fundamentally transformed the landscape of human-computer interaction, with emotion-aware systems emerging as a critical frontier in creating truly intelligent and empathetic machines. Emotion recognition, once a niche domain within affective computing, has now become central to the development of conversational AI systems that can understand, interpret, and respond to human emotional states in real-time (Poria et al., 2017). The global affective computing market, valued at approximately $62.5 billion in 2023, is projected to grow at a compound annual growth rate of 30.6% through 2030, underscoring the industrial and commercial significance of emotion-aware technologies across healthcare, education, customer service, and mental health applications.</w:t>
      </w:r>
    </w:p>
    <w:p>
      <w:pPr>
        <w:pStyle w:val="Normal"/>
      </w:pPr>
      <w:r>
        <w:t xml:space="preserve">Traditional approaches to emotion recognition have predominantly focused on static, utterance-level classification, where each spoken utterance or text segment is analyzed in isolation to determine its emotional content. While these approaches have achieved considerable success in controlled environments, they fundamentally fail to capture the dynamic, sequential nature of emotional expression in human conversation. Human emotions are not static states but dynamic processes that evolve, transition, and respond to conversational context, speaker interactions, and temporal dependencies (Ghosal et al., 2019). The recognition that emotional transitions between utterances carry significant information about conversational dynamics has motivated the development of sequential modeling approaches that treat conversation as a temporal process rather than a collection of independent samples.</w:t>
      </w:r>
    </w:p>
    <w:p>
      <w:pPr>
        <w:pStyle w:val="Normal"/>
      </w:pPr>
      <w:r>
        <w:t xml:space="preserve">This chapter establishes the theoretical and empirical foundations for multimodal emotion transition modeling in conversational settings. The review critically synthesizes literature across eight interconnected domains: (1) time series data as a formal representation for sequential emotion modeling; (2) textual data representation and natural language processing foundations; (3) text emotion recognition using classical and transformer-based approaches; (4) speech emotion recognition with emphasis on acoustic features and deep learning architectures; (5) multimodal fusion strategies for integrating audio-textual information; (6) abstain mechanisms and uncertainty estimation for confidence-aware prediction; (7) modern temporal AI and large language models; and (8) multimodal conversational AI systems. Through this comprehensive synthesis, the chapter identifies critical research gaps, justifies the proposed methodological framework, and positions the thesis contribution within the broader landscape of affective computing research.</w:t>
      </w:r>
    </w:p>
    <w:p>
      <w:pPr>
        <w:pStyle w:val="Heading1"/>
      </w:pPr>
      <w:r>
        <w:t>2.2 Time Series Data as Dataset Representation</w:t>
      </w:r>
    </w:p>
    <w:p>
      <w:pPr>
        <w:pStyle w:val="Heading2"/>
      </w:pPr>
      <w:r>
        <w:t>2.2.1 Formal Definitions and Mathematical Foundations</w:t>
      </w:r>
    </w:p>
    <w:p>
      <w:pPr>
        <w:pStyle w:val="Normal"/>
      </w:pPr>
      <w:r>
        <w:t xml:space="preserve">Time series data constitutes a fundamental data structure in which observations are recorded sequentially over time, forming the backbone of temporal modeling across disciplines ranging from econometrics to signal processing. Formally, a univariate time series is defined as an ordered sequence of observations X = {x_1, x_2, x_3, ..., x_t}, where each observation x_t represents a realization of a random variable at time index t. The temporal ordering is intrinsic to the data structure, distinguishing time series from cross-sectional data where observations are assumed to be independent and identically distributed. In the context of conversational emotion modeling, x_t may represent the emotional state at the t-th utterance, creating a sequential trajectory of affective evolution throughout a dialogue.</w:t>
      </w:r>
    </w:p>
    <w:p>
      <w:pPr>
        <w:pStyle w:val="Normal"/>
      </w:pPr>
      <w:r>
        <w:t xml:space="preserve">The mathematical characterization of time series relies on the concept of temporal dependency, where current observations are statistically dependent on past values. This dependency structure is formally expressed through the autoregressive representation:</w:t>
      </w:r>
    </w:p>
    <w:p>
      <w:pPr>
        <w:spacing w:before="240" w:after="240"/>
        <w:jc w:val="center"/>
      </w:pPr>
      <w:r>
        <w:rPr>
          <w:rFonts w:ascii="Times New Roman" w:hAnsi="Times New Roman"/>
          <w:i/>
          <w:sz w:val="24"/>
        </w:rPr>
        <w:t xml:space="preserve">x_t = f(x_{t-1}, x_{t-2}, ..., x_{t-n}) + epsilon_t</w:t>
      </w:r>
    </w:p>
    <w:p>
      <w:pPr>
        <w:pStyle w:val="Normal"/>
      </w:pPr>
      <w:r>
        <w:t xml:space="preserve">where f represents an autoregressive function capturing the relationship between current and past observations, n denotes the order of temporal dependency (lag), and epsilon_t represents white noise error terms assumed to be independently and identically distributed with mean zero and constant variance sigma^2. This formulation underlies the theoretical justification for using recurrent neural networks and Long Short-Term Memory (LSTM) architectures in sequential emotion modeling, as these architectures are specifically designed to learn and represent such autoregressive relationships.</w:t>
      </w:r>
    </w:p>
    <w:p>
      <w:pPr>
        <w:pStyle w:val="Heading2"/>
      </w:pPr>
      <w:r>
        <w:t>2.2.2 Stationarity, Autocorrelation, and Temporal Structure</w:t>
      </w:r>
    </w:p>
    <w:p>
      <w:pPr>
        <w:pStyle w:val="Normal"/>
      </w:pPr>
      <w:r>
        <w:t xml:space="preserve">Stationarity represents a critical property in time series analysis, referring to the statistical stability of a process over time. A weakly stationary time series satisfies three fundamental conditions: (1) constant mean E[Y_t] = mu for all t; (2) finite and constant variance Var(Y_t) = sigma^2 for all t; and (3) autocovariance that depends only on the lag tau, such that Cov(Y_t, Y_{t+tau}) = gamma(tau). These conditions ensure that the statistical properties of the series remain invariant to temporal shifts, which is essential for reliable modeling and forecasting.</w:t>
      </w:r>
    </w:p>
    <w:p>
      <w:pPr>
        <w:pStyle w:val="Normal"/>
      </w:pPr>
      <w:r>
        <w:t xml:space="preserve">The autocorrelation function (ACF) quantifies the linear dependence between observations at different time lags and is defined as:</w:t>
      </w:r>
    </w:p>
    <w:p>
      <w:pPr>
        <w:spacing w:before="240" w:after="240"/>
        <w:jc w:val="center"/>
      </w:pPr>
      <w:r>
        <w:rPr>
          <w:rFonts w:ascii="Times New Roman" w:hAnsi="Times New Roman"/>
          <w:i/>
          <w:sz w:val="24"/>
        </w:rPr>
        <w:t xml:space="preserve">rho(tau) = Cov(Y_t, Y_{t-tau}) / sqrt(Var(Y_t) * Var(Y_{t-tau})) = gamma(tau) / gamma(0)</w:t>
      </w:r>
    </w:p>
    <w:p>
      <w:pPr>
        <w:pStyle w:val="Normal"/>
      </w:pPr>
      <w:r>
        <w:t xml:space="preserve">For conversational emotion sequences, the ACF reveals important patterns about emotional persistence and transition dynamics. High autocorrelation at short lags indicates emotional inertia, where successive utterances tend to share similar emotional content, while rapidly decaying autocorrelation suggests frequent emotional transitions. Understanding these autocorrelation structures is essential for selecting appropriate model architectures and determining optimal context window sizes in sequential emotion modeling.</w:t>
      </w:r>
    </w:p>
    <w:p>
      <w:pPr>
        <w:pStyle w:val="Heading2"/>
      </w:pPr>
      <w:r>
        <w:t>2.2.3 Univariate versus Multivariate Time Series</w:t>
      </w:r>
    </w:p>
    <w:p>
      <w:pPr>
        <w:pStyle w:val="Normal"/>
      </w:pPr>
      <w:r>
        <w:t xml:space="preserve">Time series data can be classified into univariate and multivariate categories based on the dimensionality of observations at each time point. A univariate time series consists of single scalar observations at each time step, suitable for modeling a single emotional dimension such as valence or arousal. In contrast, a multivariate time series X_t = (x_{t,1}, x_{t,2}, ..., x_{t,m}) captures m simultaneous measurements, enabling the joint modeling of multiple emotional dimensions, speaker states, or cross-modal features. For multimodal emotion recognition, multivariate representations are essential as they accommodate the fusion of audio features, textual embeddings, and contextual information within a unified temporal framework.</w:t>
      </w:r>
    </w:p>
    <w:tbl>
      <w:tblPr>
        <w:tblW w:w="5000" w:type="pct"/>
        <w:tblBorders>
          <w:top w:val="single" w:color="2D5F8A" w:sz="12"/>
          <w:left w:val="nil"/>
          <w:bottom w:val="single" w:color="2D5F8A" w:sz="12"/>
          <w:right w:val="nil"/>
          <w:insideH w:val="single" w:color="CCCCCC" w:sz="4"/>
          <w:insideV w:val="nil"/>
        </w:tblBorders>
      </w:tblPr>
      <w:tblGrid>
        <w:gridCol w:w="3000"/>
        <w:gridCol w:w="3000"/>
        <w:gridCol w:w="3000"/>
      </w:tblGrid>
      <w:tr>
        <w:trPr>
          <w:tblHeader/>
        </w:trPr>
        <w:tc>
          <w:tcPr>
            <w:tcW w:w="3000" w:type="dxa"/>
            <w:shd w:val="clear" w:color="auto" w:fill="EDF2F7"/>
          </w:tcPr>
          <w:p>
            <w:pPr>
              <w:jc w:val="center"/>
            </w:pPr>
            <w:r>
              <w:rPr>
                <w:rFonts w:ascii="Times New Roman" w:hAnsi="Times New Roman"/>
                <w:b/>
                <w:bCs/>
                <w:sz w:val="22"/>
              </w:rPr>
              <w:t>Characteristic</w:t>
            </w:r>
          </w:p>
        </w:tc>
        <w:tc>
          <w:tcPr>
            <w:tcW w:w="3000" w:type="dxa"/>
            <w:shd w:val="clear" w:color="auto" w:fill="EDF2F7"/>
          </w:tcPr>
          <w:p>
            <w:pPr>
              <w:jc w:val="center"/>
            </w:pPr>
            <w:r>
              <w:rPr>
                <w:rFonts w:ascii="Times New Roman" w:hAnsi="Times New Roman"/>
                <w:b/>
                <w:bCs/>
                <w:sz w:val="22"/>
              </w:rPr>
              <w:t>Univariate</w:t>
            </w:r>
          </w:p>
        </w:tc>
        <w:tc>
          <w:tcPr>
            <w:tcW w:w="3000" w:type="dxa"/>
            <w:shd w:val="clear" w:color="auto" w:fill="EDF2F7"/>
          </w:tcPr>
          <w:p>
            <w:pPr>
              <w:jc w:val="center"/>
            </w:pPr>
            <w:r>
              <w:rPr>
                <w:rFonts w:ascii="Times New Roman" w:hAnsi="Times New Roman"/>
                <w:b/>
                <w:bCs/>
                <w:sz w:val="22"/>
              </w:rPr>
              <w:t>Multivariate</w:t>
            </w:r>
          </w:p>
        </w:tc>
      </w:tr>
      <w:tr>
        <w:tc>
          <w:tcPr>
            <w:tcW w:w="3000" w:type="dxa"/>
          </w:tcPr>
          <w:p>
            <w:pPr>
              <w:jc w:val="left"/>
            </w:pPr>
            <w:r>
              <w:rPr>
                <w:rFonts w:ascii="Times New Roman" w:hAnsi="Times New Roman"/>
                <w:sz w:val="22"/>
              </w:rPr>
              <w:t xml:space="preserve">Dimensionality</w:t>
            </w:r>
          </w:p>
        </w:tc>
        <w:tc>
          <w:tcPr>
            <w:tcW w:w="3000" w:type="dxa"/>
          </w:tcPr>
          <w:p>
            <w:pPr>
              <w:jc w:val="left"/>
            </w:pPr>
            <w:r>
              <w:rPr>
                <w:rFonts w:ascii="Times New Roman" w:hAnsi="Times New Roman"/>
                <w:sz w:val="22"/>
              </w:rPr>
              <w:t xml:space="preserve">Single variable per time step</w:t>
            </w:r>
          </w:p>
        </w:tc>
        <w:tc>
          <w:tcPr>
            <w:tcW w:w="3000" w:type="dxa"/>
          </w:tcPr>
          <w:p>
            <w:pPr>
              <w:jc w:val="left"/>
            </w:pPr>
            <w:r>
              <w:rPr>
                <w:rFonts w:ascii="Times New Roman" w:hAnsi="Times New Roman"/>
                <w:sz w:val="22"/>
              </w:rPr>
              <w:t xml:space="preserve">Multiple variables per time step</w:t>
            </w:r>
          </w:p>
        </w:tc>
      </w:tr>
      <w:tr>
        <w:tc>
          <w:tcPr>
            <w:tcW w:w="3000" w:type="dxa"/>
          </w:tcPr>
          <w:p>
            <w:pPr>
              <w:jc w:val="left"/>
            </w:pPr>
            <w:r>
              <w:rPr>
                <w:rFonts w:ascii="Times New Roman" w:hAnsi="Times New Roman"/>
                <w:sz w:val="22"/>
              </w:rPr>
              <w:t xml:space="preserve">Notation</w:t>
            </w:r>
          </w:p>
        </w:tc>
        <w:tc>
          <w:tcPr>
            <w:tcW w:w="3000" w:type="dxa"/>
          </w:tcPr>
          <w:p>
            <w:pPr>
              <w:jc w:val="left"/>
            </w:pPr>
            <w:r>
              <w:rPr>
                <w:rFonts w:ascii="Times New Roman" w:hAnsi="Times New Roman"/>
                <w:sz w:val="22"/>
              </w:rPr>
              <w:t xml:space="preserve">X = {x_t}</w:t>
            </w:r>
          </w:p>
        </w:tc>
        <w:tc>
          <w:tcPr>
            <w:tcW w:w="3000" w:type="dxa"/>
          </w:tcPr>
          <w:p>
            <w:pPr>
              <w:jc w:val="left"/>
            </w:pPr>
            <w:r>
              <w:rPr>
                <w:rFonts w:ascii="Times New Roman" w:hAnsi="Times New Roman"/>
                <w:sz w:val="22"/>
              </w:rPr>
              <w:t xml:space="preserve">X_t = (x_{t,1}, ..., x_{t,m})</w:t>
            </w:r>
          </w:p>
        </w:tc>
      </w:tr>
      <w:tr>
        <w:tc>
          <w:tcPr>
            <w:tcW w:w="3000" w:type="dxa"/>
          </w:tcPr>
          <w:p>
            <w:pPr>
              <w:jc w:val="left"/>
            </w:pPr>
            <w:r>
              <w:rPr>
                <w:rFonts w:ascii="Times New Roman" w:hAnsi="Times New Roman"/>
                <w:sz w:val="22"/>
              </w:rPr>
              <w:t xml:space="preserve">Modeling approach</w:t>
            </w:r>
          </w:p>
        </w:tc>
        <w:tc>
          <w:tcPr>
            <w:tcW w:w="3000" w:type="dxa"/>
          </w:tcPr>
          <w:p>
            <w:pPr>
              <w:jc w:val="left"/>
            </w:pPr>
            <w:r>
              <w:rPr>
                <w:rFonts w:ascii="Times New Roman" w:hAnsi="Times New Roman"/>
                <w:sz w:val="22"/>
              </w:rPr>
              <w:t xml:space="preserve">AR, ARIMA, univariate LSTM</w:t>
            </w:r>
          </w:p>
        </w:tc>
        <w:tc>
          <w:tcPr>
            <w:tcW w:w="3000" w:type="dxa"/>
          </w:tcPr>
          <w:p>
            <w:pPr>
              <w:jc w:val="left"/>
            </w:pPr>
            <w:r>
              <w:rPr>
                <w:rFonts w:ascii="Times New Roman" w:hAnsi="Times New Roman"/>
                <w:sz w:val="22"/>
              </w:rPr>
              <w:t xml:space="preserve">VAR, multivariate LSTM, transformers</w:t>
            </w:r>
          </w:p>
        </w:tc>
      </w:tr>
      <w:tr>
        <w:tc>
          <w:tcPr>
            <w:tcW w:w="3000" w:type="dxa"/>
          </w:tcPr>
          <w:p>
            <w:pPr>
              <w:jc w:val="left"/>
            </w:pPr>
            <w:r>
              <w:rPr>
                <w:rFonts w:ascii="Times New Roman" w:hAnsi="Times New Roman"/>
                <w:sz w:val="22"/>
              </w:rPr>
              <w:t xml:space="preserve">Emotion application</w:t>
            </w:r>
          </w:p>
        </w:tc>
        <w:tc>
          <w:tcPr>
            <w:tcW w:w="3000" w:type="dxa"/>
          </w:tcPr>
          <w:p>
            <w:pPr>
              <w:jc w:val="left"/>
            </w:pPr>
            <w:r>
              <w:rPr>
                <w:rFonts w:ascii="Times New Roman" w:hAnsi="Times New Roman"/>
                <w:sz w:val="22"/>
              </w:rPr>
              <w:t xml:space="preserve">Single emotion dimension</w:t>
            </w:r>
          </w:p>
        </w:tc>
        <w:tc>
          <w:tcPr>
            <w:tcW w:w="3000" w:type="dxa"/>
          </w:tcPr>
          <w:p>
            <w:pPr>
              <w:jc w:val="left"/>
            </w:pPr>
            <w:r>
              <w:rPr>
                <w:rFonts w:ascii="Times New Roman" w:hAnsi="Times New Roman"/>
                <w:sz w:val="22"/>
              </w:rPr>
              <w:t xml:space="preserve">Multi-dimensional emotion + context</w:t>
            </w:r>
          </w:p>
        </w:tc>
      </w:tr>
      <w:tr>
        <w:tc>
          <w:tcPr>
            <w:tcW w:w="3000" w:type="dxa"/>
          </w:tcPr>
          <w:p>
            <w:pPr>
              <w:jc w:val="left"/>
            </w:pPr>
            <w:r>
              <w:rPr>
                <w:rFonts w:ascii="Times New Roman" w:hAnsi="Times New Roman"/>
                <w:sz w:val="22"/>
              </w:rPr>
              <w:t xml:space="preserve">Computational cost</w:t>
            </w:r>
          </w:p>
        </w:tc>
        <w:tc>
          <w:tcPr>
            <w:tcW w:w="3000" w:type="dxa"/>
          </w:tcPr>
          <w:p>
            <w:pPr>
              <w:jc w:val="left"/>
            </w:pPr>
            <w:r>
              <w:rPr>
                <w:rFonts w:ascii="Times New Roman" w:hAnsi="Times New Roman"/>
                <w:sz w:val="22"/>
              </w:rPr>
              <w:t xml:space="preserve">Lower</w:t>
            </w:r>
          </w:p>
        </w:tc>
        <w:tc>
          <w:tcPr>
            <w:tcW w:w="3000" w:type="dxa"/>
          </w:tcPr>
          <w:p>
            <w:pPr>
              <w:jc w:val="left"/>
            </w:pPr>
            <w:r>
              <w:rPr>
                <w:rFonts w:ascii="Times New Roman" w:hAnsi="Times New Roman"/>
                <w:sz w:val="22"/>
              </w:rPr>
              <w:t xml:space="preserve">Higher (scales with dimensionality)</w:t>
            </w:r>
          </w:p>
        </w:tc>
      </w:tr>
    </w:tbl>
    <w:p>
      <w:pPr>
        <w:pStyle w:val="Caption"/>
      </w:pPr>
      <w:r>
        <w:t>Table 2.1: Comparison of univariate and multivariate time series representations</w:t>
      </w:r>
    </w:p>
    <w:p>
      <w:pPr>
        <w:pStyle w:val="Heading2"/>
      </w:pPr>
      <w:r>
        <w:t>2.2.4 Conversational Emotion as Time Series</w:t>
      </w:r>
    </w:p>
    <w:p>
      <w:pPr>
        <w:pStyle w:val="Normal"/>
      </w:pPr>
      <w:r>
        <w:t xml:space="preserve">When conceptualized as time series, conversational emotion data exhibits several distinctive properties that differentiate it from classical temporal applications. Unlike financial or meteorological time series, conversational emotions constitute event-based temporal data where observations occur at irregular intervals determined by utterance boundaries rather than fixed sampling rates. Each utterance represents a discrete event with associated emotional content, creating an event-based temporal structure that requires specialized handling. Furthermore, conversational emotion sequences exhibit complex dependency patterns including self-dependencies (how a speaker's emotion evolves), cross-dependencies (how emotions are influenced by conversation partners), and contextual dependencies (how dialogue context shapes emotional interpretation).</w:t>
      </w:r>
    </w:p>
    <w:p>
      <w:pPr>
        <w:pStyle w:val="Normal"/>
      </w:pPr>
      <w:r>
        <w:t xml:space="preserve">The treatment of conversational emotion as time series data provides several methodological advantages. First, it enables the application of well-established temporal modeling techniques including autoregressive models, recurrent neural networks, and attention mechanisms. Second, it facilitates the modeling of emotional transitions rather than static classifications, capturing the dynamic evolution of affective states throughout a dialogue. Third, it provides a natural framework for incorporating contextual information through the temporal ordering of utterances, allowing models to leverage historical context when predicting current emotional states.</w:t>
      </w:r>
    </w:p>
    <w:p>
      <w:pPr>
        <w:pStyle w:val="Heading1"/>
      </w:pPr>
      <w:r>
        <w:t>2.3 Textual Data as Dataset Representation</w:t>
      </w:r>
    </w:p>
    <w:p>
      <w:pPr>
        <w:pStyle w:val="Heading2"/>
      </w:pPr>
      <w:r>
        <w:t>2.3.1 Foundations of Textual Data</w:t>
      </w:r>
    </w:p>
    <w:p>
      <w:pPr>
        <w:pStyle w:val="Normal"/>
      </w:pPr>
      <w:r>
        <w:t xml:space="preserve">Textual data represents one of the most pervasive and information-rich modalities in human communication, serving as the primary vehicle for linguistic expression in conversational settings. In computational terms, textual data can be characterized as sequences of discrete symbols (characters, words, or tokens) drawn from a finite vocabulary V, where the combinatorial nature of language enables the expression of complex semantic and pragmatic content. Unlike numerical time series, textual data is fundamentally unstructured, exhibiting high dimensionality, sparsity, and complex syntactic and semantic relationships that pose unique challenges for computational modeling.</w:t>
      </w:r>
    </w:p>
    <w:p>
      <w:pPr>
        <w:pStyle w:val="Normal"/>
      </w:pPr>
      <w:r>
        <w:t xml:space="preserve">The hierarchical structure of textual data encompasses multiple levels of representation. At the lexical level, individual words or tokens constitute the basic units of meaning. At the syntactic level, grammatical rules govern the composition of words into phrases and sentences. At the semantic level, meaning emerges from the interaction of lexical content and syntactic structure. At the pragmatic level, context and conversational conventions shape interpretation. For emotion recognition tasks, all four levels contribute relevant information, as emotional content may be conveyed through word choice (lexical), grammatical patterns (syntactic), figurative meaning (semantic), and conversational implicature (pragmatic).</w:t>
      </w:r>
    </w:p>
    <w:p>
      <w:pPr>
        <w:pStyle w:val="Heading2"/>
      </w:pPr>
      <w:r>
        <w:t>2.3.2 Text Representation: From Bag-of-Words to Contextual Embeddings</w:t>
      </w:r>
    </w:p>
    <w:p>
      <w:pPr>
        <w:pStyle w:val="Normal"/>
      </w:pPr>
      <w:r>
        <w:t xml:space="preserve">The evolution of text representation paradigms has been fundamental to advances in natural language processing and text emotion recognition. Early approaches relied on Bag-of-Words (BoW) representations, which constructed document vectors based on word frequency counts. While simple and interpretable, BoW representations suffer from high dimensionality, sparsity, and the critical limitation of ignoring word order and semantic relationships. The Term Frequency-Inverse Document Frequency (TF-IDF) weighting scheme improved upon raw frequency counts by downweighting common terms and emphasizing distinctive vocabulary:</w:t>
      </w:r>
    </w:p>
    <w:p>
      <w:pPr>
        <w:spacing w:before="240" w:after="240"/>
        <w:jc w:val="center"/>
      </w:pPr>
      <w:r>
        <w:rPr>
          <w:rFonts w:ascii="Times New Roman" w:hAnsi="Times New Roman"/>
          <w:i/>
          <w:sz w:val="24"/>
        </w:rPr>
        <w:t xml:space="preserve">TF-IDF(t,d) = TF(t,d) * IDF(t) = f_{t,d} * log(N / |{d in D : t in d}|)</w:t>
      </w:r>
    </w:p>
    <w:p>
      <w:pPr>
        <w:pStyle w:val="Normal"/>
      </w:pPr>
      <w:r>
        <w:t xml:space="preserve">where f_{t,d} represents the frequency of term t in document d, N is the total number of documents, and the denominator counts documents containing term t. Despite these improvements, TF-IDF remains fundamentally limited by its inability to capture semantic relationships between words or contextual variations in meaning.</w:t>
      </w:r>
    </w:p>
    <w:p>
      <w:pPr>
        <w:pStyle w:val="Normal"/>
      </w:pPr>
      <w:r>
        <w:t xml:space="preserve">The advent of distributed word representations marked a paradigm shift in text processing. Word2Vec, introduced by Mikolov et al. (2013), employed shallow neural networks to learn dense vector representations where semantically similar words occupy nearby positions in vector space. Two architectures were proposed: Continuous Bag-of-Words (CBOW), which predicts a target word from its context, and Skip-gram, which predicts context words from a target word. These representations captured meaningful semantic relationships, enabling algebraic operations on word vectors (e.g., king - man + woman approximating queen) that demonstrated the emergent semantic structure encoded in the distributed representations.</w:t>
      </w:r>
    </w:p>
    <w:p>
      <w:pPr>
        <w:pStyle w:val="Normal"/>
      </w:pPr>
      <w:r>
        <w:t xml:space="preserve">The Global Vectors for Word Representation (GloVe) model combined the advantages of global matrix factorization and local context window methods, producing word embeddings that captured both local semantic relationships and global corpus statistics. FastText extended the Word2Vec approach by representing words as bags of character n-grams, enabling the generation of embeddings for out-of-vocabulary words and capturing morphological information particularly relevant for morphologically rich languages.</w:t>
      </w:r>
    </w:p>
    <w:p>
      <w:pPr>
        <w:pStyle w:val="Heading2"/>
      </w:pPr>
      <w:r>
        <w:t>2.3.3 Contextual Embeddings and Transformer Architectures</w:t>
      </w:r>
    </w:p>
    <w:p>
      <w:pPr>
        <w:pStyle w:val="Normal"/>
      </w:pPr>
      <w:r>
        <w:t xml:space="preserve">The most significant advance in text representation came with the development of contextual embedding models, particularly the Bidirectional Encoder Representations from Transformers (BERT) introduced by Devlin et al. (2019). Unlike static word embeddings that assign a single vector to each word regardless of context, BERT generates context-dependent representations that vary based on the surrounding text. This capability is crucial for emotion recognition, as words with multiple meanings or emotional connotations can be disambiguated based on conversational context. BERT employs a transformer encoder architecture with multi-head self-attention, processing input text bidirectionally to capture dependencies from both left and right contexts.</w:t>
      </w:r>
    </w:p>
    <w:p>
      <w:pPr>
        <w:pStyle w:val="Normal"/>
      </w:pPr>
      <w:r>
        <w:t xml:space="preserve">The Robustly Optimized BERT Pretraining Approach (RoBERTa), introduced by Liu et al. (2019), improved upon BERT through optimized hyperparameters, larger batch sizes, and modified training procedures, achieving superior performance across numerous NLP benchmarks. For emotion recognition tasks, RoBERTa has consistently demonstrated strong performance, with studies showing accuracy improvements of 1.17% to 16.79% over earlier approaches on emotion classification benchmarks. RoBERTa-base, with approximately 125 million parameters, provides 768-dimensional contextual embeddings that serve as rich feature representations for downstream emotion classification tasks.</w:t>
      </w:r>
    </w:p>
    <w:p>
      <w:pPr>
        <w:pStyle w:val="Normal"/>
      </w:pPr>
      <w:r>
        <w:t xml:space="preserve">Recent comparisons between transformer variants for emotion recognition have shown that DeBERTa-v3 achieves the highest accuracy (87.1%) and macro-F1 (0.86), followed by RoBERTa (86.7% accuracy, 0.85 macro-F1) and DistilBERT (83.9% accuracy, 0.81 macro-F1), with BERT-base achieving 85.2% accuracy and 0.83 macro-F1. These results demonstrate that general-domain pre-trained language models provide powerful feature extractors for emotion recognition tasks without requiring domain-specific pre-training.</w:t>
      </w:r>
    </w:p>
    <w:tbl>
      <w:tblPr>
        <w:tblW w:w="5000" w:type="pct"/>
        <w:tblBorders>
          <w:top w:val="single" w:color="2D5F8A" w:sz="12"/>
          <w:left w:val="nil"/>
          <w:bottom w:val="single" w:color="2D5F8A" w:sz="12"/>
          <w:right w:val="nil"/>
          <w:insideH w:val="single" w:color="CCCCCC" w:sz="4"/>
          <w:insideV w:val="nil"/>
        </w:tblBorders>
      </w:tblPr>
      <w:tblGrid>
        <w:gridCol w:w="1800"/>
        <w:gridCol w:w="1800"/>
        <w:gridCol w:w="1800"/>
        <w:gridCol w:w="1800"/>
        <w:gridCol w:w="1800"/>
      </w:tblGrid>
      <w:tr>
        <w:trPr>
          <w:tblHeader/>
        </w:trPr>
        <w:tc>
          <w:tcPr>
            <w:tcW w:w="1800" w:type="dxa"/>
            <w:shd w:val="clear" w:color="auto" w:fill="EDF2F7"/>
          </w:tcPr>
          <w:p>
            <w:pPr>
              <w:jc w:val="center"/>
            </w:pPr>
            <w:r>
              <w:rPr>
                <w:rFonts w:ascii="Times New Roman" w:hAnsi="Times New Roman"/>
                <w:b/>
                <w:bCs/>
                <w:sz w:val="22"/>
              </w:rPr>
              <w:t>Representation</w:t>
            </w:r>
          </w:p>
        </w:tc>
        <w:tc>
          <w:tcPr>
            <w:tcW w:w="1800" w:type="dxa"/>
            <w:shd w:val="clear" w:color="auto" w:fill="EDF2F7"/>
          </w:tcPr>
          <w:p>
            <w:pPr>
              <w:jc w:val="center"/>
            </w:pPr>
            <w:r>
              <w:rPr>
                <w:rFonts w:ascii="Times New Roman" w:hAnsi="Times New Roman"/>
                <w:b/>
                <w:bCs/>
                <w:sz w:val="22"/>
              </w:rPr>
              <w:t>Context awareness</w:t>
            </w:r>
          </w:p>
        </w:tc>
        <w:tc>
          <w:tcPr>
            <w:tcW w:w="1800" w:type="dxa"/>
            <w:shd w:val="clear" w:color="auto" w:fill="EDF2F7"/>
          </w:tcPr>
          <w:p>
            <w:pPr>
              <w:jc w:val="center"/>
            </w:pPr>
            <w:r>
              <w:rPr>
                <w:rFonts w:ascii="Times New Roman" w:hAnsi="Times New Roman"/>
                <w:b/>
                <w:bCs/>
                <w:sz w:val="22"/>
              </w:rPr>
              <w:t>Dimensionality</w:t>
            </w:r>
          </w:p>
        </w:tc>
        <w:tc>
          <w:tcPr>
            <w:tcW w:w="1800" w:type="dxa"/>
            <w:shd w:val="clear" w:color="auto" w:fill="EDF2F7"/>
          </w:tcPr>
          <w:p>
            <w:pPr>
              <w:jc w:val="center"/>
            </w:pPr>
            <w:r>
              <w:rPr>
                <w:rFonts w:ascii="Times New Roman" w:hAnsi="Times New Roman"/>
                <w:b/>
                <w:bCs/>
                <w:sz w:val="22"/>
              </w:rPr>
              <w:t>Key advantage</w:t>
            </w:r>
          </w:p>
        </w:tc>
        <w:tc>
          <w:tcPr>
            <w:tcW w:w="1800" w:type="dxa"/>
            <w:shd w:val="clear" w:color="auto" w:fill="EDF2F7"/>
          </w:tcPr>
          <w:p>
            <w:pPr>
              <w:jc w:val="center"/>
            </w:pPr>
            <w:r>
              <w:rPr>
                <w:rFonts w:ascii="Times New Roman" w:hAnsi="Times New Roman"/>
                <w:b/>
                <w:bCs/>
                <w:sz w:val="22"/>
              </w:rPr>
              <w:t>Limitation</w:t>
            </w:r>
          </w:p>
        </w:tc>
      </w:tr>
      <w:tr>
        <w:tc>
          <w:tcPr>
            <w:tcW w:w="1800" w:type="dxa"/>
          </w:tcPr>
          <w:p>
            <w:pPr>
              <w:jc w:val="left"/>
            </w:pPr>
            <w:r>
              <w:rPr>
                <w:rFonts w:ascii="Times New Roman" w:hAnsi="Times New Roman"/>
                <w:sz w:val="22"/>
              </w:rPr>
              <w:t xml:space="preserve">BoW</w:t>
            </w:r>
          </w:p>
        </w:tc>
        <w:tc>
          <w:tcPr>
            <w:tcW w:w="1800" w:type="dxa"/>
          </w:tcPr>
          <w:p>
            <w:pPr>
              <w:jc w:val="left"/>
            </w:pPr>
            <w:r>
              <w:rPr>
                <w:rFonts w:ascii="Times New Roman" w:hAnsi="Times New Roman"/>
                <w:sz w:val="22"/>
              </w:rPr>
              <w:t xml:space="preserve">No</w:t>
            </w:r>
          </w:p>
        </w:tc>
        <w:tc>
          <w:tcPr>
            <w:tcW w:w="1800" w:type="dxa"/>
          </w:tcPr>
          <w:p>
            <w:pPr>
              <w:jc w:val="left"/>
            </w:pPr>
            <w:r>
              <w:rPr>
                <w:rFonts w:ascii="Times New Roman" w:hAnsi="Times New Roman"/>
                <w:sz w:val="22"/>
              </w:rPr>
              <w:t xml:space="preserve">|V| (very high)</w:t>
            </w:r>
          </w:p>
        </w:tc>
        <w:tc>
          <w:tcPr>
            <w:tcW w:w="1800" w:type="dxa"/>
          </w:tcPr>
          <w:p>
            <w:pPr>
              <w:jc w:val="left"/>
            </w:pPr>
            <w:r>
              <w:rPr>
                <w:rFonts w:ascii="Times New Roman" w:hAnsi="Times New Roman"/>
                <w:sz w:val="22"/>
              </w:rPr>
              <w:t xml:space="preserve">Simplicity, interpretability</w:t>
            </w:r>
          </w:p>
        </w:tc>
        <w:tc>
          <w:tcPr>
            <w:tcW w:w="1800" w:type="dxa"/>
          </w:tcPr>
          <w:p>
            <w:pPr>
              <w:jc w:val="left"/>
            </w:pPr>
            <w:r>
              <w:rPr>
                <w:rFonts w:ascii="Times New Roman" w:hAnsi="Times New Roman"/>
                <w:sz w:val="22"/>
              </w:rPr>
              <w:t xml:space="preserve">Sparsity, no word order</w:t>
            </w:r>
          </w:p>
        </w:tc>
      </w:tr>
      <w:tr>
        <w:tc>
          <w:tcPr>
            <w:tcW w:w="1800" w:type="dxa"/>
          </w:tcPr>
          <w:p>
            <w:pPr>
              <w:jc w:val="left"/>
            </w:pPr>
            <w:r>
              <w:rPr>
                <w:rFonts w:ascii="Times New Roman" w:hAnsi="Times New Roman"/>
                <w:sz w:val="22"/>
              </w:rPr>
              <w:t xml:space="preserve">TF-IDF</w:t>
            </w:r>
          </w:p>
        </w:tc>
        <w:tc>
          <w:tcPr>
            <w:tcW w:w="1800" w:type="dxa"/>
          </w:tcPr>
          <w:p>
            <w:pPr>
              <w:jc w:val="left"/>
            </w:pPr>
            <w:r>
              <w:rPr>
                <w:rFonts w:ascii="Times New Roman" w:hAnsi="Times New Roman"/>
                <w:sz w:val="22"/>
              </w:rPr>
              <w:t xml:space="preserve">No</w:t>
            </w:r>
          </w:p>
        </w:tc>
        <w:tc>
          <w:tcPr>
            <w:tcW w:w="1800" w:type="dxa"/>
          </w:tcPr>
          <w:p>
            <w:pPr>
              <w:jc w:val="left"/>
            </w:pPr>
            <w:r>
              <w:rPr>
                <w:rFonts w:ascii="Times New Roman" w:hAnsi="Times New Roman"/>
                <w:sz w:val="22"/>
              </w:rPr>
              <w:t xml:space="preserve">|V| (very high)</w:t>
            </w:r>
          </w:p>
        </w:tc>
        <w:tc>
          <w:tcPr>
            <w:tcW w:w="1800" w:type="dxa"/>
          </w:tcPr>
          <w:p>
            <w:pPr>
              <w:jc w:val="left"/>
            </w:pPr>
            <w:r>
              <w:rPr>
                <w:rFonts w:ascii="Times New Roman" w:hAnsi="Times New Roman"/>
                <w:sz w:val="22"/>
              </w:rPr>
              <w:t xml:space="preserve">Importance weighting</w:t>
            </w:r>
          </w:p>
        </w:tc>
        <w:tc>
          <w:tcPr>
            <w:tcW w:w="1800" w:type="dxa"/>
          </w:tcPr>
          <w:p>
            <w:pPr>
              <w:jc w:val="left"/>
            </w:pPr>
            <w:r>
              <w:rPr>
                <w:rFonts w:ascii="Times New Roman" w:hAnsi="Times New Roman"/>
                <w:sz w:val="22"/>
              </w:rPr>
              <w:t xml:space="preserve">Still sparse, no semantics</w:t>
            </w:r>
          </w:p>
        </w:tc>
      </w:tr>
      <w:tr>
        <w:tc>
          <w:tcPr>
            <w:tcW w:w="1800" w:type="dxa"/>
          </w:tcPr>
          <w:p>
            <w:pPr>
              <w:jc w:val="left"/>
            </w:pPr>
            <w:r>
              <w:rPr>
                <w:rFonts w:ascii="Times New Roman" w:hAnsi="Times New Roman"/>
                <w:sz w:val="22"/>
              </w:rPr>
              <w:t xml:space="preserve">Word2Vec</w:t>
            </w:r>
          </w:p>
        </w:tc>
        <w:tc>
          <w:tcPr>
            <w:tcW w:w="1800" w:type="dxa"/>
          </w:tcPr>
          <w:p>
            <w:pPr>
              <w:jc w:val="left"/>
            </w:pPr>
            <w:r>
              <w:rPr>
                <w:rFonts w:ascii="Times New Roman" w:hAnsi="Times New Roman"/>
                <w:sz w:val="22"/>
              </w:rPr>
              <w:t xml:space="preserve">No</w:t>
            </w:r>
          </w:p>
        </w:tc>
        <w:tc>
          <w:tcPr>
            <w:tcW w:w="1800" w:type="dxa"/>
          </w:tcPr>
          <w:p>
            <w:pPr>
              <w:jc w:val="left"/>
            </w:pPr>
            <w:r>
              <w:rPr>
                <w:rFonts w:ascii="Times New Roman" w:hAnsi="Times New Roman"/>
                <w:sz w:val="22"/>
              </w:rPr>
              <w:t xml:space="preserve">300 (typical)</w:t>
            </w:r>
          </w:p>
        </w:tc>
        <w:tc>
          <w:tcPr>
            <w:tcW w:w="1800" w:type="dxa"/>
          </w:tcPr>
          <w:p>
            <w:pPr>
              <w:jc w:val="left"/>
            </w:pPr>
            <w:r>
              <w:rPr>
                <w:rFonts w:ascii="Times New Roman" w:hAnsi="Times New Roman"/>
                <w:sz w:val="22"/>
              </w:rPr>
              <w:t xml:space="preserve">Semantic relationships</w:t>
            </w:r>
          </w:p>
        </w:tc>
        <w:tc>
          <w:tcPr>
            <w:tcW w:w="1800" w:type="dxa"/>
          </w:tcPr>
          <w:p>
            <w:pPr>
              <w:jc w:val="left"/>
            </w:pPr>
            <w:r>
              <w:rPr>
                <w:rFonts w:ascii="Times New Roman" w:hAnsi="Times New Roman"/>
                <w:sz w:val="22"/>
              </w:rPr>
              <w:t xml:space="preserve">Single vector per word</w:t>
            </w:r>
          </w:p>
        </w:tc>
      </w:tr>
      <w:tr>
        <w:tc>
          <w:tcPr>
            <w:tcW w:w="1800" w:type="dxa"/>
          </w:tcPr>
          <w:p>
            <w:pPr>
              <w:jc w:val="left"/>
            </w:pPr>
            <w:r>
              <w:rPr>
                <w:rFonts w:ascii="Times New Roman" w:hAnsi="Times New Roman"/>
                <w:sz w:val="22"/>
              </w:rPr>
              <w:t xml:space="preserve">GloVe</w:t>
            </w:r>
          </w:p>
        </w:tc>
        <w:tc>
          <w:tcPr>
            <w:tcW w:w="1800" w:type="dxa"/>
          </w:tcPr>
          <w:p>
            <w:pPr>
              <w:jc w:val="left"/>
            </w:pPr>
            <w:r>
              <w:rPr>
                <w:rFonts w:ascii="Times New Roman" w:hAnsi="Times New Roman"/>
                <w:sz w:val="22"/>
              </w:rPr>
              <w:t xml:space="preserve">No</w:t>
            </w:r>
          </w:p>
        </w:tc>
        <w:tc>
          <w:tcPr>
            <w:tcW w:w="1800" w:type="dxa"/>
          </w:tcPr>
          <w:p>
            <w:pPr>
              <w:jc w:val="left"/>
            </w:pPr>
            <w:r>
              <w:rPr>
                <w:rFonts w:ascii="Times New Roman" w:hAnsi="Times New Roman"/>
                <w:sz w:val="22"/>
              </w:rPr>
              <w:t xml:space="preserve">300 (typical)</w:t>
            </w:r>
          </w:p>
        </w:tc>
        <w:tc>
          <w:tcPr>
            <w:tcW w:w="1800" w:type="dxa"/>
          </w:tcPr>
          <w:p>
            <w:pPr>
              <w:jc w:val="left"/>
            </w:pPr>
            <w:r>
              <w:rPr>
                <w:rFonts w:ascii="Times New Roman" w:hAnsi="Times New Roman"/>
                <w:sz w:val="22"/>
              </w:rPr>
              <w:t xml:space="preserve">Global + local statistics</w:t>
            </w:r>
          </w:p>
        </w:tc>
        <w:tc>
          <w:tcPr>
            <w:tcW w:w="1800" w:type="dxa"/>
          </w:tcPr>
          <w:p>
            <w:pPr>
              <w:jc w:val="left"/>
            </w:pPr>
            <w:r>
              <w:rPr>
                <w:rFonts w:ascii="Times New Roman" w:hAnsi="Times New Roman"/>
                <w:sz w:val="22"/>
              </w:rPr>
              <w:t xml:space="preserve">Static representations</w:t>
            </w:r>
          </w:p>
        </w:tc>
      </w:tr>
      <w:tr>
        <w:tc>
          <w:tcPr>
            <w:tcW w:w="1800" w:type="dxa"/>
          </w:tcPr>
          <w:p>
            <w:pPr>
              <w:jc w:val="left"/>
            </w:pPr>
            <w:r>
              <w:rPr>
                <w:rFonts w:ascii="Times New Roman" w:hAnsi="Times New Roman"/>
                <w:sz w:val="22"/>
              </w:rPr>
              <w:t xml:space="preserve">FastText</w:t>
            </w:r>
          </w:p>
        </w:tc>
        <w:tc>
          <w:tcPr>
            <w:tcW w:w="1800" w:type="dxa"/>
          </w:tcPr>
          <w:p>
            <w:pPr>
              <w:jc w:val="left"/>
            </w:pPr>
            <w:r>
              <w:rPr>
                <w:rFonts w:ascii="Times New Roman" w:hAnsi="Times New Roman"/>
                <w:sz w:val="22"/>
              </w:rPr>
              <w:t xml:space="preserve">No</w:t>
            </w:r>
          </w:p>
        </w:tc>
        <w:tc>
          <w:tcPr>
            <w:tcW w:w="1800" w:type="dxa"/>
          </w:tcPr>
          <w:p>
            <w:pPr>
              <w:jc w:val="left"/>
            </w:pPr>
            <w:r>
              <w:rPr>
                <w:rFonts w:ascii="Times New Roman" w:hAnsi="Times New Roman"/>
                <w:sz w:val="22"/>
              </w:rPr>
              <w:t xml:space="preserve">300 (typical)</w:t>
            </w:r>
          </w:p>
        </w:tc>
        <w:tc>
          <w:tcPr>
            <w:tcW w:w="1800" w:type="dxa"/>
          </w:tcPr>
          <w:p>
            <w:pPr>
              <w:jc w:val="left"/>
            </w:pPr>
            <w:r>
              <w:rPr>
                <w:rFonts w:ascii="Times New Roman" w:hAnsi="Times New Roman"/>
                <w:sz w:val="22"/>
              </w:rPr>
              <w:t xml:space="preserve">OOV handling, morphology</w:t>
            </w:r>
          </w:p>
        </w:tc>
        <w:tc>
          <w:tcPr>
            <w:tcW w:w="1800" w:type="dxa"/>
          </w:tcPr>
          <w:p>
            <w:pPr>
              <w:jc w:val="left"/>
            </w:pPr>
            <w:r>
              <w:rPr>
                <w:rFonts w:ascii="Times New Roman" w:hAnsi="Times New Roman"/>
                <w:sz w:val="22"/>
              </w:rPr>
              <w:t xml:space="preserve">Limited context awareness</w:t>
            </w:r>
          </w:p>
        </w:tc>
      </w:tr>
      <w:tr>
        <w:tc>
          <w:tcPr>
            <w:tcW w:w="1800" w:type="dxa"/>
          </w:tcPr>
          <w:p>
            <w:pPr>
              <w:jc w:val="left"/>
            </w:pPr>
            <w:r>
              <w:rPr>
                <w:rFonts w:ascii="Times New Roman" w:hAnsi="Times New Roman"/>
                <w:sz w:val="22"/>
              </w:rPr>
              <w:t xml:space="preserve">BERT</w:t>
            </w:r>
          </w:p>
        </w:tc>
        <w:tc>
          <w:tcPr>
            <w:tcW w:w="1800" w:type="dxa"/>
          </w:tcPr>
          <w:p>
            <w:pPr>
              <w:jc w:val="left"/>
            </w:pPr>
            <w:r>
              <w:rPr>
                <w:rFonts w:ascii="Times New Roman" w:hAnsi="Times New Roman"/>
                <w:sz w:val="22"/>
              </w:rPr>
              <w:t xml:space="preserve">Yes</w:t>
            </w:r>
          </w:p>
        </w:tc>
        <w:tc>
          <w:tcPr>
            <w:tcW w:w="1800" w:type="dxa"/>
          </w:tcPr>
          <w:p>
            <w:pPr>
              <w:jc w:val="left"/>
            </w:pPr>
            <w:r>
              <w:rPr>
                <w:rFonts w:ascii="Times New Roman" w:hAnsi="Times New Roman"/>
                <w:sz w:val="22"/>
              </w:rPr>
              <w:t xml:space="preserve">768 (base)</w:t>
            </w:r>
          </w:p>
        </w:tc>
        <w:tc>
          <w:tcPr>
            <w:tcW w:w="1800" w:type="dxa"/>
          </w:tcPr>
          <w:p>
            <w:pPr>
              <w:jc w:val="left"/>
            </w:pPr>
            <w:r>
              <w:rPr>
                <w:rFonts w:ascii="Times New Roman" w:hAnsi="Times New Roman"/>
                <w:sz w:val="22"/>
              </w:rPr>
              <w:t xml:space="preserve">Deep contextualized embeddings</w:t>
            </w:r>
          </w:p>
        </w:tc>
        <w:tc>
          <w:tcPr>
            <w:tcW w:w="1800" w:type="dxa"/>
          </w:tcPr>
          <w:p>
            <w:pPr>
              <w:jc w:val="left"/>
            </w:pPr>
            <w:r>
              <w:rPr>
                <w:rFonts w:ascii="Times New Roman" w:hAnsi="Times New Roman"/>
                <w:sz w:val="22"/>
              </w:rPr>
              <w:t xml:space="preserve">Computational cost</w:t>
            </w:r>
          </w:p>
        </w:tc>
      </w:tr>
      <w:tr>
        <w:tc>
          <w:tcPr>
            <w:tcW w:w="1800" w:type="dxa"/>
          </w:tcPr>
          <w:p>
            <w:pPr>
              <w:jc w:val="left"/>
            </w:pPr>
            <w:r>
              <w:rPr>
                <w:rFonts w:ascii="Times New Roman" w:hAnsi="Times New Roman"/>
                <w:sz w:val="22"/>
              </w:rPr>
              <w:t xml:space="preserve">RoBERTa</w:t>
            </w:r>
          </w:p>
        </w:tc>
        <w:tc>
          <w:tcPr>
            <w:tcW w:w="1800" w:type="dxa"/>
          </w:tcPr>
          <w:p>
            <w:pPr>
              <w:jc w:val="left"/>
            </w:pPr>
            <w:r>
              <w:rPr>
                <w:rFonts w:ascii="Times New Roman" w:hAnsi="Times New Roman"/>
                <w:sz w:val="22"/>
              </w:rPr>
              <w:t xml:space="preserve">Yes</w:t>
            </w:r>
          </w:p>
        </w:tc>
        <w:tc>
          <w:tcPr>
            <w:tcW w:w="1800" w:type="dxa"/>
          </w:tcPr>
          <w:p>
            <w:pPr>
              <w:jc w:val="left"/>
            </w:pPr>
            <w:r>
              <w:rPr>
                <w:rFonts w:ascii="Times New Roman" w:hAnsi="Times New Roman"/>
                <w:sz w:val="22"/>
              </w:rPr>
              <w:t xml:space="preserve">768 (base)</w:t>
            </w:r>
          </w:p>
        </w:tc>
        <w:tc>
          <w:tcPr>
            <w:tcW w:w="1800" w:type="dxa"/>
          </w:tcPr>
          <w:p>
            <w:pPr>
              <w:jc w:val="left"/>
            </w:pPr>
            <w:r>
              <w:rPr>
                <w:rFonts w:ascii="Times New Roman" w:hAnsi="Times New Roman"/>
                <w:sz w:val="22"/>
              </w:rPr>
              <w:t xml:space="preserve">Optimized pretraining</w:t>
            </w:r>
          </w:p>
        </w:tc>
        <w:tc>
          <w:tcPr>
            <w:tcW w:w="1800" w:type="dxa"/>
          </w:tcPr>
          <w:p>
            <w:pPr>
              <w:jc w:val="left"/>
            </w:pPr>
            <w:r>
              <w:rPr>
                <w:rFonts w:ascii="Times New Roman" w:hAnsi="Times New Roman"/>
                <w:sz w:val="22"/>
              </w:rPr>
              <w:t xml:space="preserve">Computational cost</w:t>
            </w:r>
          </w:p>
        </w:tc>
      </w:tr>
    </w:tbl>
    <w:p>
      <w:pPr>
        <w:pStyle w:val="Caption"/>
      </w:pPr>
      <w:r>
        <w:t>Table 2.2: Evolution of text representation paradigms for emotion recognition</w:t>
      </w:r>
    </w:p>
    <w:p>
      <w:pPr>
        <w:pStyle w:val="Heading2"/>
      </w:pPr>
      <w:r>
        <w:t>2.3.4 Text Preprocessing Pipeline</w:t>
      </w:r>
    </w:p>
    <w:p>
      <w:pPr>
        <w:pStyle w:val="Normal"/>
      </w:pPr>
      <w:r>
        <w:t xml:space="preserve">Effective text preprocessing is essential for optimizing emotion recognition performance. The standard preprocessing pipeline includes tokenization (segmenting text into words or subword units), lemmatization or stemming (reducing words to their base forms), stopword removal (eliminating high-frequency function words), and text normalization (handling special characters, URLs, and emoticons). For transformer-based models, the tokenizer (e.g., WordPiece for BERT, BPE for RoBERTa) handles subword segmentation, enabling the representation of rare or out-of-vocabulary words through character-level decomposition. Notably, recent research has shown that aggressive preprocessing (such as removing stopwords or punctuation) can actually degrade transformer model performance, as these models leverage contextual elements including punctuation and function words for disambiguation.</w:t>
      </w:r>
    </w:p>
    <w:p>
      <w:pPr>
        <w:pStyle w:val="Heading1"/>
      </w:pPr>
      <w:r>
        <w:t>2.4 Text Emotion Recognition (TER)</w:t>
      </w:r>
    </w:p>
    <w:p>
      <w:pPr>
        <w:pStyle w:val="Heading2"/>
      </w:pPr>
      <w:r>
        <w:t>2.4.1 Definition and Scope</w:t>
      </w:r>
    </w:p>
    <w:p>
      <w:pPr>
        <w:pStyle w:val="Normal"/>
      </w:pPr>
      <w:r>
        <w:t xml:space="preserve">Text Emotion Recognition (TER) refers to the computational task of identifying and classifying emotional states expressed in textual content. While closely related to sentiment analysis, which typically focuses on polarity classification (positive, negative, neutral), TER encompasses a broader spectrum of emotional categories including joy, sadness, anger, fear, surprise, disgust, and neutral states. The task can be formulated at multiple granularities, ranging from document-level emotion detection to sentence-level and utterance-level classification, with conversational TER requiring the additional consideration of dialogue context and speaker information.</w:t>
      </w:r>
    </w:p>
    <w:p>
      <w:pPr>
        <w:pStyle w:val="Normal"/>
      </w:pPr>
      <w:r>
        <w:t xml:space="preserve">The theoretical foundation of TER draws from psychological models of emotion, most notably the categorical model of Ekman (basic emotions) and the dimensional model of valence-arousal-dominance. Categorical approaches classify text into discrete emotion categories, while dimensional approaches predict continuous values along affective dimensions. Recent datasets such as GoEmotions have expanded the categorical taxonomy to 27 emotion categories, enabling fine-grained emotion detection that captures the complexity and nuance of emotional expression in text.</w:t>
      </w:r>
    </w:p>
    <w:p>
      <w:pPr>
        <w:pStyle w:val="Heading2"/>
      </w:pPr>
      <w:r>
        <w:t>2.4.2 Classical Machine Learning Approaches</w:t>
      </w:r>
    </w:p>
    <w:p>
      <w:pPr>
        <w:pStyle w:val="Normal"/>
      </w:pPr>
      <w:r>
        <w:t xml:space="preserve">Classical machine learning approaches to TER relied on handcrafted features combined with traditional classifiers. Features included n-gram representations, part-of-speech tags, sentiment lexicons (such as NRC Emotion Lexicon and WordNet-Affect), and syntactic patterns. Classifiers such as Support Vector Machines (SVM), Naive Bayes, and logistic regression were commonly employed, with SVM achieving competitive performance when combined with TF-IDF features. However, these approaches required extensive feature engineering, struggled with out-of-vocabulary words, and failed to capture semantic relationships and contextual dependencies that are crucial for accurate emotion recognition.</w:t>
      </w:r>
    </w:p>
    <w:p>
      <w:pPr>
        <w:pStyle w:val="Heading2"/>
      </w:pPr>
      <w:r>
        <w:t>2.4.3 Deep Learning Approaches</w:t>
      </w:r>
    </w:p>
    <w:p>
      <w:pPr>
        <w:pStyle w:val="Normal"/>
      </w:pPr>
      <w:r>
        <w:t xml:space="preserve">Deep learning approaches revolutionized TER by automatically learning hierarchical feature representations from data. Recurrent Neural Networks (RNNs), particularly Long Short-Term Memory (LSTM) and Bidirectional LSTM (BiLSTM) networks, proved effective for sequential text modeling by capturing temporal dependencies between words. BiLSTM with attention mechanisms achieved significant improvements by allowing the model to focus on emotionally salient words when making classification decisions. Convolutional Neural Networks (CNNs) were also applied to TER, using filters of varying sizes to capture n-gram-like patterns at different scales.</w:t>
      </w:r>
    </w:p>
    <w:p>
      <w:pPr>
        <w:pStyle w:val="Heading2"/>
      </w:pPr>
      <w:r>
        <w:t>2.4.4 Transformer-Based TER</w:t>
      </w:r>
    </w:p>
    <w:p>
      <w:pPr>
        <w:pStyle w:val="Normal"/>
      </w:pPr>
      <w:r>
        <w:t xml:space="preserve">Transformer-based approaches now represent the state-of-the-art in TER. The dominant paradigm involves fine-tuning pre-trained language models (BERT, RoBERTa, DeBERTa) on emotion-labeled datasets. This transfer learning approach leverages knowledge acquired during pre-training on massive corpora, enabling strong performance even with limited labeled emotion data. The fine-tuning process typically adds a classification head (dense layer with softmax activation) on top of the transformer encoder output, with the entire model trained end-to-end using cross-entropy loss.</w:t>
      </w:r>
    </w:p>
    <w:p>
      <w:pPr>
        <w:pStyle w:val="Normal"/>
      </w:pPr>
      <w:r>
        <w:t xml:space="preserve">A particularly effective approach for conversational TER combines transformer embeddings with sequential modeling layers. The LSTM-Enhanced RoBERTa (LER) model, for instance, processes input text through RoBERTa to generate contextual embeddings, which are then fed through a BiLSTM layer to capture sequential dependencies across utterances. This hybrid architecture achieves accuracy of 88% with F1-score of 86.9%, outperforming both pure transformer and pure LSTM baselines. The mathematical formulation can be expressed as:</w:t>
      </w:r>
    </w:p>
    <w:p>
      <w:pPr>
        <w:spacing w:before="240" w:after="240"/>
        <w:jc w:val="center"/>
      </w:pPr>
      <w:r>
        <w:rPr>
          <w:rFonts w:ascii="Times New Roman" w:hAnsi="Times New Roman"/>
          <w:i/>
          <w:sz w:val="24"/>
        </w:rPr>
        <w:t xml:space="preserve">h_t = BiLSTM(ROBERTA(x_t))</w:t>
      </w:r>
    </w:p>
    <w:p>
      <w:pPr>
        <w:spacing w:before="240" w:after="240"/>
        <w:jc w:val="center"/>
      </w:pPr>
      <w:r>
        <w:rPr>
          <w:rFonts w:ascii="Times New Roman" w:hAnsi="Times New Roman"/>
          <w:i/>
          <w:sz w:val="24"/>
        </w:rPr>
        <w:t xml:space="preserve">y_t = softmax(W * h_t + b)</w:t>
      </w:r>
    </w:p>
    <w:p>
      <w:pPr>
        <w:pStyle w:val="Normal"/>
      </w:pPr>
      <w:r>
        <w:t xml:space="preserve">where ROBERTA(x_t) generates contextual embeddings for input utterance x_t, BiLSTM processes the sequence of embeddings to produce hidden states h_t, and the final classification layer maps hidden states to emotion category probabilities through softmax normalization.</w:t>
      </w:r>
    </w:p>
    <w:p>
      <w:pPr>
        <w:pStyle w:val="Heading1"/>
      </w:pPr>
      <w:r>
        <w:t>2.5 Speech Emotion Recognition (SER)</w:t>
      </w:r>
    </w:p>
    <w:p>
      <w:pPr>
        <w:pStyle w:val="Heading2"/>
      </w:pPr>
      <w:r>
        <w:t>2.5.1 Fundamentals of SER</w:t>
      </w:r>
    </w:p>
    <w:p>
      <w:pPr>
        <w:pStyle w:val="Normal"/>
      </w:pPr>
      <w:r>
        <w:t xml:space="preserve">Speech Emotion Recognition (SER) concerns the computational analysis of emotional content in spoken language. Unlike text-based emotion recognition, which relies solely on lexical and semantic content, SER leverages the rich paralinguistic information conveyed through acoustic properties of speech including prosody (pitch, intensity, duration), voice quality (timbre, hoarseness, breathiness), and spectral characteristics. These acoustic features capture emotional information that may not be explicitly present in transcribed text, such as sarcasm, hesitation, or emotional intensity, making SER a critical modality for comprehensive emotion understanding.</w:t>
      </w:r>
    </w:p>
    <w:p>
      <w:pPr>
        <w:pStyle w:val="Heading2"/>
      </w:pPr>
      <w:r>
        <w:t>2.5.2 Acoustic Features: MFCC and Beyond</w:t>
      </w:r>
    </w:p>
    <w:p>
      <w:pPr>
        <w:pStyle w:val="Normal"/>
      </w:pPr>
      <w:r>
        <w:t xml:space="preserve">The Mel-Frequency Cepstral Coefficients (MFCC) represent the most widely used acoustic features for SER. The MFCC extraction process mimics human auditory perception by applying a nonlinear Mel-frequency scale that approximates the cochlea's frequency resolution. The mathematical process involves: (1) pre-emphasis filtering to balance the spectrum; (2) short-time Fourier transform to obtain the power spectrum; (3) Mel-filterbank application to aggregate energies logarithmically across frequency bands; and (4) Discrete Cosine Transform (DCT) to decorrelate the filterbank energies and produce cepstral coefficients. The process can be summarized as:</w:t>
      </w:r>
    </w:p>
    <w:p>
      <w:pPr>
        <w:spacing w:before="240" w:after="240"/>
        <w:jc w:val="center"/>
      </w:pPr>
      <w:r>
        <w:rPr>
          <w:rFonts w:ascii="Times New Roman" w:hAnsi="Times New Roman"/>
          <w:i/>
          <w:sz w:val="24"/>
        </w:rPr>
        <w:t xml:space="preserve">MFCC = DCT(log(Mel(STFT(x(t)))))</w:t>
      </w:r>
    </w:p>
    <w:p>
      <w:pPr>
        <w:pStyle w:val="Normal"/>
      </w:pPr>
      <w:r>
        <w:t xml:space="preserve">where x(t) represents the time-domain audio signal, STFT denotes the Short-Time Fourier Transform, Mel represents the Mel-filterbank operation, log is the logarithmic compression, and DCT is the Discrete Cosine Transform. Typically, 13-40 MFCC coefficients are extracted per frame, along with their first and second derivatives (delta and delta-delta features), providing a compact yet informative representation of the spectral envelope dynamics.</w:t>
      </w:r>
    </w:p>
    <w:p>
      <w:pPr>
        <w:pStyle w:val="Normal"/>
      </w:pPr>
      <w:r>
        <w:t xml:space="preserve">Beyond MFCC, several feature categories contribute to SER performance. Prosodic features include fundamental frequency (F0) contours, energy/intensity variations, and temporal features such as speaking rate and pause patterns. Spectral features encompass formant frequencies, spectral centroid, spectral flux, and zero-crossing rate. Voice quality features capture characteristics such as jitter (fundamental frequency perturbation), shimmer (amplitude perturbation), and harmonic-to-noise ratio. The extended Geneva Minimalistic Acoustic Parameter Set (eGeMAPS) provides a standardized feature set comprising 88 acoustic parameters that have been validated for emotion recognition applications.</w:t>
      </w:r>
    </w:p>
    <w:p>
      <w:pPr>
        <w:pStyle w:val="Heading2"/>
      </w:pPr>
      <w:r>
        <w:t>2.5.3 Deep Learning Architectures for SER</w:t>
      </w:r>
    </w:p>
    <w:p>
      <w:pPr>
        <w:pStyle w:val="Normal"/>
      </w:pPr>
      <w:r>
        <w:t xml:space="preserve">The evolution of SER architectures mirrors broader trends in deep learning. Early deep learning approaches employed Convolutional Neural Networks (CNNs) operating on spectrogram representations, using learned filters to capture discriminative time-frequency patterns. Recurrent Neural Networks, particularly LSTM networks, were subsequently applied to model temporal dynamics in sequential acoustic features, with BiLSTM architectures achieving superior performance by processing audio both forward and backward in time.</w:t>
      </w:r>
    </w:p>
    <w:p>
      <w:pPr>
        <w:pStyle w:val="Normal"/>
      </w:pPr>
      <w:r>
        <w:t xml:space="preserve">The most significant recent advance in SER has been the application of self-supervised speech representation learning through models such as Wav2Vec 2.0, HuBERT, and WavLM. Wav2Vec 2.0, introduced by Baevski et al. (2020), learns contextualized speech representations from unlabeled audio through a self-supervised contrastive task, then fine-tunes on labeled emotion data. The model consists of a CNN feature encoder that transforms raw audio into latent speech representations, a quantization module that discretizes these representations, and a transformer context network that learns contextualized embeddings. Fine-tuned Wav2Vec 2.0 embeddings have been shown to outperform traditional acoustic features (eGeMAPS, spectrograms) across multiple SER benchmarks.</w:t>
      </w:r>
    </w:p>
    <w:p>
      <w:pPr>
        <w:pStyle w:val="Normal"/>
      </w:pPr>
      <w:r>
        <w:t xml:space="preserve">Recent studies demonstrate the effectiveness of transformer-based SER on benchmark datasets. On the RAVDESS dataset, Wav2Vec 2.0-based models achieve approximately 79% accuracy, while on the IEMOCAP dataset, fine-tuned Wav2Vec 2.0 models achieve weighted F1-scores of approximately 66.81% for audio-only emotion recognition. When combined with textual features through multimodal fusion, performance improves substantially, with late fusion approaches achieving weighted F1-scores of 77.90% on IEMOCAP four-class emotion recognition.</w:t>
      </w:r>
    </w:p>
    <w:p>
      <w:pPr>
        <w:pStyle w:val="Heading2"/>
      </w:pPr>
      <w:r>
        <w:t>2.5.4 Conversational SER and Emotion Transitions</w:t>
      </w:r>
    </w:p>
    <w:p>
      <w:pPr>
        <w:pStyle w:val="Normal"/>
      </w:pPr>
      <w:r>
        <w:t xml:space="preserve">Conversational SER extends traditional utterance-level recognition by modeling the sequential dependencies between emotional states across dialogue turns. This approach recognizes that emotional expression in conversation is inherently dynamic, with transitions between emotional states carrying meaningful information about conversational dynamics, speaker relationships, and dialogue progression. The limitations of static SER become apparent when considering phenomena such as emotional contagion (where speakers converge emotionally), emotional regulation (where speakers modulate their emotional expression), and context-dependent emotional interpretation (where the same acoustic properties may signal different emotions depending on conversational context).</w:t>
      </w:r>
    </w:p>
    <w:p>
      <w:pPr>
        <w:pStyle w:val="Normal"/>
      </w:pPr>
      <w:r>
        <w:t xml:space="preserve">The IEMOCAP (Interactive Emotional Dyadic Motion Capture) database serves as the primary benchmark for conversational emotion recognition research. This multimodal dataset comprises approximately 12 hours of dyadic conversations from 10 actors, annotated with categorical emotion labels (happy, sad, neutral, angry, excited, frustrated) and dimensional annotations (valence, activation, dominance). Analysis of IEMOCAP reveals significant class imbalance (neutral utterances predominate), inter-annotator disagreement on subtle emotions, and confusion between emotionally similar categories (happy-excited, sad-frustrated). These characteristics make IEMOCAP both challenging and representative of real-world conversational emotion scenarios.</w:t>
      </w:r>
    </w:p>
    <w:tbl>
      <w:tblPr>
        <w:tblW w:w="5000" w:type="pct"/>
        <w:tblBorders>
          <w:top w:val="single" w:color="2D5F8A" w:sz="12"/>
          <w:left w:val="nil"/>
          <w:bottom w:val="single" w:color="2D5F8A" w:sz="12"/>
          <w:right w:val="nil"/>
          <w:insideH w:val="single" w:color="CCCCCC" w:sz="4"/>
          <w:insideV w:val="nil"/>
        </w:tblBorders>
      </w:tblPr>
      <w:tblGrid>
        <w:gridCol w:w="1800"/>
        <w:gridCol w:w="1800"/>
        <w:gridCol w:w="1800"/>
        <w:gridCol w:w="1800"/>
        <w:gridCol w:w="1800"/>
      </w:tblGrid>
      <w:tr>
        <w:trPr>
          <w:tblHeader/>
        </w:trPr>
        <w:tc>
          <w:tcPr>
            <w:tcW w:w="1800" w:type="dxa"/>
            <w:shd w:val="clear" w:color="auto" w:fill="EDF2F7"/>
          </w:tcPr>
          <w:p>
            <w:pPr>
              <w:jc w:val="center"/>
            </w:pPr>
            <w:r>
              <w:rPr>
                <w:rFonts w:ascii="Times New Roman" w:hAnsi="Times New Roman"/>
                <w:b/>
                <w:bCs/>
                <w:sz w:val="22"/>
              </w:rPr>
              <w:t>Approach</w:t>
            </w:r>
          </w:p>
        </w:tc>
        <w:tc>
          <w:tcPr>
            <w:tcW w:w="1800" w:type="dxa"/>
            <w:shd w:val="clear" w:color="auto" w:fill="EDF2F7"/>
          </w:tcPr>
          <w:p>
            <w:pPr>
              <w:jc w:val="center"/>
            </w:pPr>
            <w:r>
              <w:rPr>
                <w:rFonts w:ascii="Times New Roman" w:hAnsi="Times New Roman"/>
                <w:b/>
                <w:bCs/>
                <w:sz w:val="22"/>
              </w:rPr>
              <w:t>Features</w:t>
            </w:r>
          </w:p>
        </w:tc>
        <w:tc>
          <w:tcPr>
            <w:tcW w:w="1800" w:type="dxa"/>
            <w:shd w:val="clear" w:color="auto" w:fill="EDF2F7"/>
          </w:tcPr>
          <w:p>
            <w:pPr>
              <w:jc w:val="center"/>
            </w:pPr>
            <w:r>
              <w:rPr>
                <w:rFonts w:ascii="Times New Roman" w:hAnsi="Times New Roman"/>
                <w:b/>
                <w:bCs/>
                <w:sz w:val="22"/>
              </w:rPr>
              <w:t>Architecture</w:t>
            </w:r>
          </w:p>
        </w:tc>
        <w:tc>
          <w:tcPr>
            <w:tcW w:w="1800" w:type="dxa"/>
            <w:shd w:val="clear" w:color="auto" w:fill="EDF2F7"/>
          </w:tcPr>
          <w:p>
            <w:pPr>
              <w:jc w:val="center"/>
            </w:pPr>
            <w:r>
              <w:rPr>
                <w:rFonts w:ascii="Times New Roman" w:hAnsi="Times New Roman"/>
                <w:b/>
                <w:bCs/>
                <w:sz w:val="22"/>
              </w:rPr>
              <w:t>IEMOCAP F1</w:t>
            </w:r>
          </w:p>
        </w:tc>
        <w:tc>
          <w:tcPr>
            <w:tcW w:w="1800" w:type="dxa"/>
            <w:shd w:val="clear" w:color="auto" w:fill="EDF2F7"/>
          </w:tcPr>
          <w:p>
            <w:pPr>
              <w:jc w:val="center"/>
            </w:pPr>
            <w:r>
              <w:rPr>
                <w:rFonts w:ascii="Times New Roman" w:hAnsi="Times New Roman"/>
                <w:b/>
                <w:bCs/>
                <w:sz w:val="22"/>
              </w:rPr>
              <w:t>Key strength</w:t>
            </w:r>
          </w:p>
        </w:tc>
      </w:tr>
      <w:tr>
        <w:tc>
          <w:tcPr>
            <w:tcW w:w="1800" w:type="dxa"/>
          </w:tcPr>
          <w:p>
            <w:pPr>
              <w:jc w:val="left"/>
            </w:pPr>
            <w:r>
              <w:rPr>
                <w:rFonts w:ascii="Times New Roman" w:hAnsi="Times New Roman"/>
                <w:sz w:val="22"/>
              </w:rPr>
              <w:t xml:space="preserve">Classical</w:t>
            </w:r>
          </w:p>
        </w:tc>
        <w:tc>
          <w:tcPr>
            <w:tcW w:w="1800" w:type="dxa"/>
          </w:tcPr>
          <w:p>
            <w:pPr>
              <w:jc w:val="left"/>
            </w:pPr>
            <w:r>
              <w:rPr>
                <w:rFonts w:ascii="Times New Roman" w:hAnsi="Times New Roman"/>
                <w:sz w:val="22"/>
              </w:rPr>
              <w:t xml:space="preserve">eGeMAPS, MFCC</w:t>
            </w:r>
          </w:p>
        </w:tc>
        <w:tc>
          <w:tcPr>
            <w:tcW w:w="1800" w:type="dxa"/>
          </w:tcPr>
          <w:p>
            <w:pPr>
              <w:jc w:val="left"/>
            </w:pPr>
            <w:r>
              <w:rPr>
                <w:rFonts w:ascii="Times New Roman" w:hAnsi="Times New Roman"/>
                <w:sz w:val="22"/>
              </w:rPr>
              <w:t xml:space="preserve">SVM, GMM</w:t>
            </w:r>
          </w:p>
        </w:tc>
        <w:tc>
          <w:tcPr>
            <w:tcW w:w="1800" w:type="dxa"/>
          </w:tcPr>
          <w:p>
            <w:pPr>
              <w:jc w:val="left"/>
            </w:pPr>
            <w:r>
              <w:rPr>
                <w:rFonts w:ascii="Times New Roman" w:hAnsi="Times New Roman"/>
                <w:sz w:val="22"/>
              </w:rPr>
              <w:t xml:space="preserve">~45-55%</w:t>
            </w:r>
          </w:p>
        </w:tc>
        <w:tc>
          <w:tcPr>
            <w:tcW w:w="1800" w:type="dxa"/>
          </w:tcPr>
          <w:p>
            <w:pPr>
              <w:jc w:val="left"/>
            </w:pPr>
            <w:r>
              <w:rPr>
                <w:rFonts w:ascii="Times New Roman" w:hAnsi="Times New Roman"/>
                <w:sz w:val="22"/>
              </w:rPr>
              <w:t xml:space="preserve">Interpretability, low data needs</w:t>
            </w:r>
          </w:p>
        </w:tc>
      </w:tr>
      <w:tr>
        <w:tc>
          <w:tcPr>
            <w:tcW w:w="1800" w:type="dxa"/>
          </w:tcPr>
          <w:p>
            <w:pPr>
              <w:jc w:val="left"/>
            </w:pPr>
            <w:r>
              <w:rPr>
                <w:rFonts w:ascii="Times New Roman" w:hAnsi="Times New Roman"/>
                <w:sz w:val="22"/>
              </w:rPr>
              <w:t xml:space="preserve">CNN-based</w:t>
            </w:r>
          </w:p>
        </w:tc>
        <w:tc>
          <w:tcPr>
            <w:tcW w:w="1800" w:type="dxa"/>
          </w:tcPr>
          <w:p>
            <w:pPr>
              <w:jc w:val="left"/>
            </w:pPr>
            <w:r>
              <w:rPr>
                <w:rFonts w:ascii="Times New Roman" w:hAnsi="Times New Roman"/>
                <w:sz w:val="22"/>
              </w:rPr>
              <w:t xml:space="preserve">Spectrograms</w:t>
            </w:r>
          </w:p>
        </w:tc>
        <w:tc>
          <w:tcPr>
            <w:tcW w:w="1800" w:type="dxa"/>
          </w:tcPr>
          <w:p>
            <w:pPr>
              <w:jc w:val="left"/>
            </w:pPr>
            <w:r>
              <w:rPr>
                <w:rFonts w:ascii="Times New Roman" w:hAnsi="Times New Roman"/>
                <w:sz w:val="22"/>
              </w:rPr>
              <w:t xml:space="preserve">2D-CNN</w:t>
            </w:r>
          </w:p>
        </w:tc>
        <w:tc>
          <w:tcPr>
            <w:tcW w:w="1800" w:type="dxa"/>
          </w:tcPr>
          <w:p>
            <w:pPr>
              <w:jc w:val="left"/>
            </w:pPr>
            <w:r>
              <w:rPr>
                <w:rFonts w:ascii="Times New Roman" w:hAnsi="Times New Roman"/>
                <w:sz w:val="22"/>
              </w:rPr>
              <w:t xml:space="preserve">~55-62%</w:t>
            </w:r>
          </w:p>
        </w:tc>
        <w:tc>
          <w:tcPr>
            <w:tcW w:w="1800" w:type="dxa"/>
          </w:tcPr>
          <w:p>
            <w:pPr>
              <w:jc w:val="left"/>
            </w:pPr>
            <w:r>
              <w:rPr>
                <w:rFonts w:ascii="Times New Roman" w:hAnsi="Times New Roman"/>
                <w:sz w:val="22"/>
              </w:rPr>
              <w:t xml:space="preserve">Automatic feature learning</w:t>
            </w:r>
          </w:p>
        </w:tc>
      </w:tr>
      <w:tr>
        <w:tc>
          <w:tcPr>
            <w:tcW w:w="1800" w:type="dxa"/>
          </w:tcPr>
          <w:p>
            <w:pPr>
              <w:jc w:val="left"/>
            </w:pPr>
            <w:r>
              <w:rPr>
                <w:rFonts w:ascii="Times New Roman" w:hAnsi="Times New Roman"/>
                <w:sz w:val="22"/>
              </w:rPr>
              <w:t xml:space="preserve">RNN-based</w:t>
            </w:r>
          </w:p>
        </w:tc>
        <w:tc>
          <w:tcPr>
            <w:tcW w:w="1800" w:type="dxa"/>
          </w:tcPr>
          <w:p>
            <w:pPr>
              <w:jc w:val="left"/>
            </w:pPr>
            <w:r>
              <w:rPr>
                <w:rFonts w:ascii="Times New Roman" w:hAnsi="Times New Roman"/>
                <w:sz w:val="22"/>
              </w:rPr>
              <w:t xml:space="preserve">MFCC sequences</w:t>
            </w:r>
          </w:p>
        </w:tc>
        <w:tc>
          <w:tcPr>
            <w:tcW w:w="1800" w:type="dxa"/>
          </w:tcPr>
          <w:p>
            <w:pPr>
              <w:jc w:val="left"/>
            </w:pPr>
            <w:r>
              <w:rPr>
                <w:rFonts w:ascii="Times New Roman" w:hAnsi="Times New Roman"/>
                <w:sz w:val="22"/>
              </w:rPr>
              <w:t xml:space="preserve">BiLSTM</w:t>
            </w:r>
          </w:p>
        </w:tc>
        <w:tc>
          <w:tcPr>
            <w:tcW w:w="1800" w:type="dxa"/>
          </w:tcPr>
          <w:p>
            <w:pPr>
              <w:jc w:val="left"/>
            </w:pPr>
            <w:r>
              <w:rPr>
                <w:rFonts w:ascii="Times New Roman" w:hAnsi="Times New Roman"/>
                <w:sz w:val="22"/>
              </w:rPr>
              <w:t xml:space="preserve">~60-68%</w:t>
            </w:r>
          </w:p>
        </w:tc>
        <w:tc>
          <w:tcPr>
            <w:tcW w:w="1800" w:type="dxa"/>
          </w:tcPr>
          <w:p>
            <w:pPr>
              <w:jc w:val="left"/>
            </w:pPr>
            <w:r>
              <w:rPr>
                <w:rFonts w:ascii="Times New Roman" w:hAnsi="Times New Roman"/>
                <w:sz w:val="22"/>
              </w:rPr>
              <w:t xml:space="preserve">Temporal modeling</w:t>
            </w:r>
          </w:p>
        </w:tc>
      </w:tr>
      <w:tr>
        <w:tc>
          <w:tcPr>
            <w:tcW w:w="1800" w:type="dxa"/>
          </w:tcPr>
          <w:p>
            <w:pPr>
              <w:jc w:val="left"/>
            </w:pPr>
            <w:r>
              <w:rPr>
                <w:rFonts w:ascii="Times New Roman" w:hAnsi="Times New Roman"/>
                <w:sz w:val="22"/>
              </w:rPr>
              <w:t xml:space="preserve">Transformer</w:t>
            </w:r>
          </w:p>
        </w:tc>
        <w:tc>
          <w:tcPr>
            <w:tcW w:w="1800" w:type="dxa"/>
          </w:tcPr>
          <w:p>
            <w:pPr>
              <w:jc w:val="left"/>
            </w:pPr>
            <w:r>
              <w:rPr>
                <w:rFonts w:ascii="Times New Roman" w:hAnsi="Times New Roman"/>
                <w:sz w:val="22"/>
              </w:rPr>
              <w:t xml:space="preserve">MFCC sequences</w:t>
            </w:r>
          </w:p>
        </w:tc>
        <w:tc>
          <w:tcPr>
            <w:tcW w:w="1800" w:type="dxa"/>
          </w:tcPr>
          <w:p>
            <w:pPr>
              <w:jc w:val="left"/>
            </w:pPr>
            <w:r>
              <w:rPr>
                <w:rFonts w:ascii="Times New Roman" w:hAnsi="Times New Roman"/>
                <w:sz w:val="22"/>
              </w:rPr>
              <w:t xml:space="preserve">Self-attention</w:t>
            </w:r>
          </w:p>
        </w:tc>
        <w:tc>
          <w:tcPr>
            <w:tcW w:w="1800" w:type="dxa"/>
          </w:tcPr>
          <w:p>
            <w:pPr>
              <w:jc w:val="left"/>
            </w:pPr>
            <w:r>
              <w:rPr>
                <w:rFonts w:ascii="Times New Roman" w:hAnsi="Times New Roman"/>
                <w:sz w:val="22"/>
              </w:rPr>
              <w:t xml:space="preserve">~65-70%</w:t>
            </w:r>
          </w:p>
        </w:tc>
        <w:tc>
          <w:tcPr>
            <w:tcW w:w="1800" w:type="dxa"/>
          </w:tcPr>
          <w:p>
            <w:pPr>
              <w:jc w:val="left"/>
            </w:pPr>
            <w:r>
              <w:rPr>
                <w:rFonts w:ascii="Times New Roman" w:hAnsi="Times New Roman"/>
                <w:sz w:val="22"/>
              </w:rPr>
              <w:t xml:space="preserve">Long-range dependencies</w:t>
            </w:r>
          </w:p>
        </w:tc>
      </w:tr>
      <w:tr>
        <w:tc>
          <w:tcPr>
            <w:tcW w:w="1800" w:type="dxa"/>
          </w:tcPr>
          <w:p>
            <w:pPr>
              <w:jc w:val="left"/>
            </w:pPr>
            <w:r>
              <w:rPr>
                <w:rFonts w:ascii="Times New Roman" w:hAnsi="Times New Roman"/>
                <w:sz w:val="22"/>
              </w:rPr>
              <w:t xml:space="preserve">Self-supervised</w:t>
            </w:r>
          </w:p>
        </w:tc>
        <w:tc>
          <w:tcPr>
            <w:tcW w:w="1800" w:type="dxa"/>
          </w:tcPr>
          <w:p>
            <w:pPr>
              <w:jc w:val="left"/>
            </w:pPr>
            <w:r>
              <w:rPr>
                <w:rFonts w:ascii="Times New Roman" w:hAnsi="Times New Roman"/>
                <w:sz w:val="22"/>
              </w:rPr>
              <w:t xml:space="preserve">Raw audio</w:t>
            </w:r>
          </w:p>
        </w:tc>
        <w:tc>
          <w:tcPr>
            <w:tcW w:w="1800" w:type="dxa"/>
          </w:tcPr>
          <w:p>
            <w:pPr>
              <w:jc w:val="left"/>
            </w:pPr>
            <w:r>
              <w:rPr>
                <w:rFonts w:ascii="Times New Roman" w:hAnsi="Times New Roman"/>
                <w:sz w:val="22"/>
              </w:rPr>
              <w:t xml:space="preserve">Wav2Vec 2.0</w:t>
            </w:r>
          </w:p>
        </w:tc>
        <w:tc>
          <w:tcPr>
            <w:tcW w:w="1800" w:type="dxa"/>
          </w:tcPr>
          <w:p>
            <w:pPr>
              <w:jc w:val="left"/>
            </w:pPr>
            <w:r>
              <w:rPr>
                <w:rFonts w:ascii="Times New Roman" w:hAnsi="Times New Roman"/>
                <w:sz w:val="22"/>
              </w:rPr>
              <w:t xml:space="preserve">~66-72%</w:t>
            </w:r>
          </w:p>
        </w:tc>
        <w:tc>
          <w:tcPr>
            <w:tcW w:w="1800" w:type="dxa"/>
          </w:tcPr>
          <w:p>
            <w:pPr>
              <w:jc w:val="left"/>
            </w:pPr>
            <w:r>
              <w:rPr>
                <w:rFonts w:ascii="Times New Roman" w:hAnsi="Times New Roman"/>
                <w:sz w:val="22"/>
              </w:rPr>
              <w:t xml:space="preserve">Rich contextual representations</w:t>
            </w:r>
          </w:p>
        </w:tc>
      </w:tr>
    </w:tbl>
    <w:p>
      <w:pPr>
        <w:pStyle w:val="Caption"/>
      </w:pPr>
      <w:r>
        <w:t>Table 2.3: Evolution of speech emotion recognition approaches on IEMOCAP benchmark</w:t>
      </w:r>
    </w:p>
    <w:p>
      <w:pPr>
        <w:pStyle w:val="Heading1"/>
      </w:pPr>
      <w:r>
        <w:t>2.6 Multimodal Fusion Models</w:t>
      </w:r>
    </w:p>
    <w:p>
      <w:pPr>
        <w:pStyle w:val="Heading2"/>
      </w:pPr>
      <w:r>
        <w:t>2.6.1 Theoretical Foundations of Multimodal Learning</w:t>
      </w:r>
    </w:p>
    <w:p>
      <w:pPr>
        <w:pStyle w:val="Normal"/>
      </w:pPr>
      <w:r>
        <w:t xml:space="preserve">Multimodal learning theory posits that information from multiple sensory modalities can be integrated to produce representations that are more robust, comprehensive, and discriminative than those derived from any single modality. The theoretical justification for multimodal fusion in emotion recognition stems from the observation that human emotional expression is inherently multimodal, involving coordinated changes in facial expression, vocal prosody, linguistic content, and physiological responses. Each modality captures distinct but complementary aspects of emotional state: facial expressions convey visual emotional signals, speech conveys paralinguistic emotional cues, text conveys semantic emotional content, and physiological signals convey autonomic nervous system responses.</w:t>
      </w:r>
    </w:p>
    <w:p>
      <w:pPr>
        <w:pStyle w:val="Normal"/>
      </w:pPr>
      <w:r>
        <w:t xml:space="preserve">The mathematical foundation of multimodal fusion can be expressed through feature concatenation in a joint representation space. Given audio features F_audio and text features F_text extracted from the same utterance, the fused representation is:</w:t>
      </w:r>
    </w:p>
    <w:p>
      <w:pPr>
        <w:spacing w:before="240" w:after="240"/>
        <w:jc w:val="center"/>
      </w:pPr>
      <w:r>
        <w:rPr>
          <w:rFonts w:ascii="Times New Roman" w:hAnsi="Times New Roman"/>
          <w:i/>
          <w:sz w:val="24"/>
        </w:rPr>
        <w:t xml:space="preserve">F_fusion = [F_audio ; F_text]</w:t>
      </w:r>
    </w:p>
    <w:p>
      <w:pPr>
        <w:pStyle w:val="Normal"/>
      </w:pPr>
      <w:r>
        <w:t xml:space="preserve">where the semicolon denotes concatenation along the feature dimension. More sophisticated fusion approaches learn cross-modal interactions through attention mechanisms, gating functions, or transformer-based cross-modal encoders that explicitly model the relationships between modalities.</w:t>
      </w:r>
    </w:p>
    <w:p>
      <w:pPr>
        <w:pStyle w:val="Heading2"/>
      </w:pPr>
      <w:r>
        <w:t>2.6.2 Fusion Strategies: Early, Late, and Hybrid</w:t>
      </w:r>
    </w:p>
    <w:p>
      <w:pPr>
        <w:pStyle w:val="Normal"/>
      </w:pPr>
      <w:r>
        <w:t xml:space="preserve">Three primary fusion strategies have been developed for multimodal emotion recognition, each offering distinct trade-offs between computational efficiency and representational capacity. Early fusion (feature-level fusion) concatenates features from different modalities before classification, enabling the classifier to learn joint patterns across modalities. This approach assumes temporal alignment between modalities and requires careful normalization due to potential feature scale mismatches. Late fusion (decision-level fusion) combines predictions from independent modality-specific classifiers, typically through averaging, voting, or learned combination weights. Late fusion offers modularity and interpretability but may miss cross-modal interactions that occur at the feature level.</w:t>
      </w:r>
    </w:p>
    <w:p>
      <w:pPr>
        <w:pStyle w:val="Normal"/>
      </w:pPr>
      <w:r>
        <w:t xml:space="preserve">Hybrid fusion strategies combine elements of both early and late fusion, extracting cross-modal interactions at intermediate representation levels. Recent comprehensive evaluations of fusion strategies for multimodal emotion detection have shown that hybrid and meta-fusion approaches achieve the highest accuracy and weighted F1 scores, particularly for strong emotions such as anger, joy, and surprise. The study demonstrated that early fusion already outperforms text-only models, while hybrid/meta-fusion achieves optimal performance by leveraging both feature-level and decision-level integration.</w:t>
      </w:r>
    </w:p>
    <w:p>
      <w:pPr>
        <w:pStyle w:val="Normal"/>
      </w:pPr>
      <w:r>
        <w:t xml:space="preserve">For the specific case of audio-text emotion recognition on IEMOCAP, comparative evaluations reveal that late fusion achieves weighted F1-scores of 77.90%, hierarchical attention fusion achieves 75.57%, cross-modal transformer fusion achieves 75.37%, and gated multimodal fusion achieves 76.04%. These results demonstrate that relatively simple late fusion strategies can outperform more complex alternatives, suggesting that the choice of fusion architecture should be guided by empirical validation rather than architectural complexity alone.</w:t>
      </w:r>
    </w:p>
    <w:tbl>
      <w:tblPr>
        <w:tblW w:w="5000" w:type="pct"/>
        <w:tblBorders>
          <w:top w:val="single" w:color="2D5F8A" w:sz="12"/>
          <w:left w:val="nil"/>
          <w:bottom w:val="single" w:color="2D5F8A" w:sz="12"/>
          <w:right w:val="nil"/>
          <w:insideH w:val="single" w:color="CCCCCC" w:sz="4"/>
          <w:insideV w:val="nil"/>
        </w:tblBorders>
      </w:tblPr>
      <w:tblGrid>
        <w:gridCol w:w="1800"/>
        <w:gridCol w:w="1800"/>
        <w:gridCol w:w="1800"/>
        <w:gridCol w:w="1800"/>
        <w:gridCol w:w="1800"/>
      </w:tblGrid>
      <w:tr>
        <w:trPr>
          <w:tblHeader/>
        </w:trPr>
        <w:tc>
          <w:tcPr>
            <w:tcW w:w="1800" w:type="dxa"/>
            <w:shd w:val="clear" w:color="auto" w:fill="EDF2F7"/>
          </w:tcPr>
          <w:p>
            <w:pPr>
              <w:jc w:val="center"/>
            </w:pPr>
            <w:r>
              <w:rPr>
                <w:rFonts w:ascii="Times New Roman" w:hAnsi="Times New Roman"/>
                <w:b/>
                <w:bCs/>
                <w:sz w:val="22"/>
              </w:rPr>
              <w:t>Fusion strategy</w:t>
            </w:r>
          </w:p>
        </w:tc>
        <w:tc>
          <w:tcPr>
            <w:tcW w:w="1800" w:type="dxa"/>
            <w:shd w:val="clear" w:color="auto" w:fill="EDF2F7"/>
          </w:tcPr>
          <w:p>
            <w:pPr>
              <w:jc w:val="center"/>
            </w:pPr>
            <w:r>
              <w:rPr>
                <w:rFonts w:ascii="Times New Roman" w:hAnsi="Times New Roman"/>
                <w:b/>
                <w:bCs/>
                <w:sz w:val="22"/>
              </w:rPr>
              <w:t>Level</w:t>
            </w:r>
          </w:p>
        </w:tc>
        <w:tc>
          <w:tcPr>
            <w:tcW w:w="1800" w:type="dxa"/>
            <w:shd w:val="clear" w:color="auto" w:fill="EDF2F7"/>
          </w:tcPr>
          <w:p>
            <w:pPr>
              <w:jc w:val="center"/>
            </w:pPr>
            <w:r>
              <w:rPr>
                <w:rFonts w:ascii="Times New Roman" w:hAnsi="Times New Roman"/>
                <w:b/>
                <w:bCs/>
                <w:sz w:val="22"/>
              </w:rPr>
              <w:t>Advantage</w:t>
            </w:r>
          </w:p>
        </w:tc>
        <w:tc>
          <w:tcPr>
            <w:tcW w:w="1800" w:type="dxa"/>
            <w:shd w:val="clear" w:color="auto" w:fill="EDF2F7"/>
          </w:tcPr>
          <w:p>
            <w:pPr>
              <w:jc w:val="center"/>
            </w:pPr>
            <w:r>
              <w:rPr>
                <w:rFonts w:ascii="Times New Roman" w:hAnsi="Times New Roman"/>
                <w:b/>
                <w:bCs/>
                <w:sz w:val="22"/>
              </w:rPr>
              <w:t>Limitation</w:t>
            </w:r>
          </w:p>
        </w:tc>
        <w:tc>
          <w:tcPr>
            <w:tcW w:w="1800" w:type="dxa"/>
            <w:shd w:val="clear" w:color="auto" w:fill="EDF2F7"/>
          </w:tcPr>
          <w:p>
            <w:pPr>
              <w:jc w:val="center"/>
            </w:pPr>
            <w:r>
              <w:rPr>
                <w:rFonts w:ascii="Times New Roman" w:hAnsi="Times New Roman"/>
                <w:b/>
                <w:bCs/>
                <w:sz w:val="22"/>
              </w:rPr>
              <w:t>IEMOCAP F1</w:t>
            </w:r>
          </w:p>
        </w:tc>
      </w:tr>
      <w:tr>
        <w:tc>
          <w:tcPr>
            <w:tcW w:w="1800" w:type="dxa"/>
          </w:tcPr>
          <w:p>
            <w:pPr>
              <w:jc w:val="left"/>
            </w:pPr>
            <w:r>
              <w:rPr>
                <w:rFonts w:ascii="Times New Roman" w:hAnsi="Times New Roman"/>
                <w:sz w:val="22"/>
              </w:rPr>
              <w:t xml:space="preserve">Early fusion</w:t>
            </w:r>
          </w:p>
        </w:tc>
        <w:tc>
          <w:tcPr>
            <w:tcW w:w="1800" w:type="dxa"/>
          </w:tcPr>
          <w:p>
            <w:pPr>
              <w:jc w:val="left"/>
            </w:pPr>
            <w:r>
              <w:rPr>
                <w:rFonts w:ascii="Times New Roman" w:hAnsi="Times New Roman"/>
                <w:sz w:val="22"/>
              </w:rPr>
              <w:t xml:space="preserve">Feature</w:t>
            </w:r>
          </w:p>
        </w:tc>
        <w:tc>
          <w:tcPr>
            <w:tcW w:w="1800" w:type="dxa"/>
          </w:tcPr>
          <w:p>
            <w:pPr>
              <w:jc w:val="left"/>
            </w:pPr>
            <w:r>
              <w:rPr>
                <w:rFonts w:ascii="Times New Roman" w:hAnsi="Times New Roman"/>
                <w:sz w:val="22"/>
              </w:rPr>
              <w:t xml:space="preserve">Captures cross-modal correlations</w:t>
            </w:r>
          </w:p>
        </w:tc>
        <w:tc>
          <w:tcPr>
            <w:tcW w:w="1800" w:type="dxa"/>
          </w:tcPr>
          <w:p>
            <w:pPr>
              <w:jc w:val="left"/>
            </w:pPr>
            <w:r>
              <w:rPr>
                <w:rFonts w:ascii="Times New Roman" w:hAnsi="Times New Roman"/>
                <w:sz w:val="22"/>
              </w:rPr>
              <w:t xml:space="preserve">Requires alignment, scale mismatch</w:t>
            </w:r>
          </w:p>
        </w:tc>
        <w:tc>
          <w:tcPr>
            <w:tcW w:w="1800" w:type="dxa"/>
          </w:tcPr>
          <w:p>
            <w:pPr>
              <w:jc w:val="left"/>
            </w:pPr>
            <w:r>
              <w:rPr>
                <w:rFonts w:ascii="Times New Roman" w:hAnsi="Times New Roman"/>
                <w:sz w:val="22"/>
              </w:rPr>
              <w:t xml:space="preserve">~73-75%</w:t>
            </w:r>
          </w:p>
        </w:tc>
      </w:tr>
      <w:tr>
        <w:tc>
          <w:tcPr>
            <w:tcW w:w="1800" w:type="dxa"/>
          </w:tcPr>
          <w:p>
            <w:pPr>
              <w:jc w:val="left"/>
            </w:pPr>
            <w:r>
              <w:rPr>
                <w:rFonts w:ascii="Times New Roman" w:hAnsi="Times New Roman"/>
                <w:sz w:val="22"/>
              </w:rPr>
              <w:t xml:space="preserve">Late fusion</w:t>
            </w:r>
          </w:p>
        </w:tc>
        <w:tc>
          <w:tcPr>
            <w:tcW w:w="1800" w:type="dxa"/>
          </w:tcPr>
          <w:p>
            <w:pPr>
              <w:jc w:val="left"/>
            </w:pPr>
            <w:r>
              <w:rPr>
                <w:rFonts w:ascii="Times New Roman" w:hAnsi="Times New Roman"/>
                <w:sz w:val="22"/>
              </w:rPr>
              <w:t xml:space="preserve">Decision</w:t>
            </w:r>
          </w:p>
        </w:tc>
        <w:tc>
          <w:tcPr>
            <w:tcW w:w="1800" w:type="dxa"/>
          </w:tcPr>
          <w:p>
            <w:pPr>
              <w:jc w:val="left"/>
            </w:pPr>
            <w:r>
              <w:rPr>
                <w:rFonts w:ascii="Times New Roman" w:hAnsi="Times New Roman"/>
                <w:sz w:val="22"/>
              </w:rPr>
              <w:t xml:space="preserve">Modularity, interpretability</w:t>
            </w:r>
          </w:p>
        </w:tc>
        <w:tc>
          <w:tcPr>
            <w:tcW w:w="1800" w:type="dxa"/>
          </w:tcPr>
          <w:p>
            <w:pPr>
              <w:jc w:val="left"/>
            </w:pPr>
            <w:r>
              <w:rPr>
                <w:rFonts w:ascii="Times New Roman" w:hAnsi="Times New Roman"/>
                <w:sz w:val="22"/>
              </w:rPr>
              <w:t xml:space="preserve">Misses feature-level interactions</w:t>
            </w:r>
          </w:p>
        </w:tc>
        <w:tc>
          <w:tcPr>
            <w:tcW w:w="1800" w:type="dxa"/>
          </w:tcPr>
          <w:p>
            <w:pPr>
              <w:jc w:val="left"/>
            </w:pPr>
            <w:r>
              <w:rPr>
                <w:rFonts w:ascii="Times New Roman" w:hAnsi="Times New Roman"/>
                <w:sz w:val="22"/>
              </w:rPr>
              <w:t xml:space="preserve">77.90%</w:t>
            </w:r>
          </w:p>
        </w:tc>
      </w:tr>
      <w:tr>
        <w:tc>
          <w:tcPr>
            <w:tcW w:w="1800" w:type="dxa"/>
          </w:tcPr>
          <w:p>
            <w:pPr>
              <w:jc w:val="left"/>
            </w:pPr>
            <w:r>
              <w:rPr>
                <w:rFonts w:ascii="Times New Roman" w:hAnsi="Times New Roman"/>
                <w:sz w:val="22"/>
              </w:rPr>
              <w:t xml:space="preserve">Hierarchical attention</w:t>
            </w:r>
          </w:p>
        </w:tc>
        <w:tc>
          <w:tcPr>
            <w:tcW w:w="1800" w:type="dxa"/>
          </w:tcPr>
          <w:p>
            <w:pPr>
              <w:jc w:val="left"/>
            </w:pPr>
            <w:r>
              <w:rPr>
                <w:rFonts w:ascii="Times New Roman" w:hAnsi="Times New Roman"/>
                <w:sz w:val="22"/>
              </w:rPr>
              <w:t xml:space="preserve">Intermediate</w:t>
            </w:r>
          </w:p>
        </w:tc>
        <w:tc>
          <w:tcPr>
            <w:tcW w:w="1800" w:type="dxa"/>
          </w:tcPr>
          <w:p>
            <w:pPr>
              <w:jc w:val="left"/>
            </w:pPr>
            <w:r>
              <w:rPr>
                <w:rFonts w:ascii="Times New Roman" w:hAnsi="Times New Roman"/>
                <w:sz w:val="22"/>
              </w:rPr>
              <w:t xml:space="preserve">Learned modality importance</w:t>
            </w:r>
          </w:p>
        </w:tc>
        <w:tc>
          <w:tcPr>
            <w:tcW w:w="1800" w:type="dxa"/>
          </w:tcPr>
          <w:p>
            <w:pPr>
              <w:jc w:val="left"/>
            </w:pPr>
            <w:r>
              <w:rPr>
                <w:rFonts w:ascii="Times New Roman" w:hAnsi="Times New Roman"/>
                <w:sz w:val="22"/>
              </w:rPr>
              <w:t xml:space="preserve">Complex training</w:t>
            </w:r>
          </w:p>
        </w:tc>
        <w:tc>
          <w:tcPr>
            <w:tcW w:w="1800" w:type="dxa"/>
          </w:tcPr>
          <w:p>
            <w:pPr>
              <w:jc w:val="left"/>
            </w:pPr>
            <w:r>
              <w:rPr>
                <w:rFonts w:ascii="Times New Roman" w:hAnsi="Times New Roman"/>
                <w:sz w:val="22"/>
              </w:rPr>
              <w:t xml:space="preserve">75.57%</w:t>
            </w:r>
          </w:p>
        </w:tc>
      </w:tr>
      <w:tr>
        <w:tc>
          <w:tcPr>
            <w:tcW w:w="1800" w:type="dxa"/>
          </w:tcPr>
          <w:p>
            <w:pPr>
              <w:jc w:val="left"/>
            </w:pPr>
            <w:r>
              <w:rPr>
                <w:rFonts w:ascii="Times New Roman" w:hAnsi="Times New Roman"/>
                <w:sz w:val="22"/>
              </w:rPr>
              <w:t xml:space="preserve">Cross-modal transformer</w:t>
            </w:r>
          </w:p>
        </w:tc>
        <w:tc>
          <w:tcPr>
            <w:tcW w:w="1800" w:type="dxa"/>
          </w:tcPr>
          <w:p>
            <w:pPr>
              <w:jc w:val="left"/>
            </w:pPr>
            <w:r>
              <w:rPr>
                <w:rFonts w:ascii="Times New Roman" w:hAnsi="Times New Roman"/>
                <w:sz w:val="22"/>
              </w:rPr>
              <w:t xml:space="preserve">Intermediate</w:t>
            </w:r>
          </w:p>
        </w:tc>
        <w:tc>
          <w:tcPr>
            <w:tcW w:w="1800" w:type="dxa"/>
          </w:tcPr>
          <w:p>
            <w:pPr>
              <w:jc w:val="left"/>
            </w:pPr>
            <w:r>
              <w:rPr>
                <w:rFonts w:ascii="Times New Roman" w:hAnsi="Times New Roman"/>
                <w:sz w:val="22"/>
              </w:rPr>
              <w:t xml:space="preserve">Explicit cross-attention</w:t>
            </w:r>
          </w:p>
        </w:tc>
        <w:tc>
          <w:tcPr>
            <w:tcW w:w="1800" w:type="dxa"/>
          </w:tcPr>
          <w:p>
            <w:pPr>
              <w:jc w:val="left"/>
            </w:pPr>
            <w:r>
              <w:rPr>
                <w:rFonts w:ascii="Times New Roman" w:hAnsi="Times New Roman"/>
                <w:sz w:val="22"/>
              </w:rPr>
              <w:t xml:space="preserve">High computation</w:t>
            </w:r>
          </w:p>
        </w:tc>
        <w:tc>
          <w:tcPr>
            <w:tcW w:w="1800" w:type="dxa"/>
          </w:tcPr>
          <w:p>
            <w:pPr>
              <w:jc w:val="left"/>
            </w:pPr>
            <w:r>
              <w:rPr>
                <w:rFonts w:ascii="Times New Roman" w:hAnsi="Times New Roman"/>
                <w:sz w:val="22"/>
              </w:rPr>
              <w:t xml:space="preserve">75.37%</w:t>
            </w:r>
          </w:p>
        </w:tc>
      </w:tr>
      <w:tr>
        <w:tc>
          <w:tcPr>
            <w:tcW w:w="1800" w:type="dxa"/>
          </w:tcPr>
          <w:p>
            <w:pPr>
              <w:jc w:val="left"/>
            </w:pPr>
            <w:r>
              <w:rPr>
                <w:rFonts w:ascii="Times New Roman" w:hAnsi="Times New Roman"/>
                <w:sz w:val="22"/>
              </w:rPr>
              <w:t xml:space="preserve">Gated multimodal</w:t>
            </w:r>
          </w:p>
        </w:tc>
        <w:tc>
          <w:tcPr>
            <w:tcW w:w="1800" w:type="dxa"/>
          </w:tcPr>
          <w:p>
            <w:pPr>
              <w:jc w:val="left"/>
            </w:pPr>
            <w:r>
              <w:rPr>
                <w:rFonts w:ascii="Times New Roman" w:hAnsi="Times New Roman"/>
                <w:sz w:val="22"/>
              </w:rPr>
              <w:t xml:space="preserve">Intermediate</w:t>
            </w:r>
          </w:p>
        </w:tc>
        <w:tc>
          <w:tcPr>
            <w:tcW w:w="1800" w:type="dxa"/>
          </w:tcPr>
          <w:p>
            <w:pPr>
              <w:jc w:val="left"/>
            </w:pPr>
            <w:r>
              <w:rPr>
                <w:rFonts w:ascii="Times New Roman" w:hAnsi="Times New Roman"/>
                <w:sz w:val="22"/>
              </w:rPr>
              <w:t xml:space="preserve">Dynamic modality weighting</w:t>
            </w:r>
          </w:p>
        </w:tc>
        <w:tc>
          <w:tcPr>
            <w:tcW w:w="1800" w:type="dxa"/>
          </w:tcPr>
          <w:p>
            <w:pPr>
              <w:jc w:val="left"/>
            </w:pPr>
            <w:r>
              <w:rPr>
                <w:rFonts w:ascii="Times New Roman" w:hAnsi="Times New Roman"/>
                <w:sz w:val="22"/>
              </w:rPr>
              <w:t xml:space="preserve">Parameter overhead</w:t>
            </w:r>
          </w:p>
        </w:tc>
        <w:tc>
          <w:tcPr>
            <w:tcW w:w="1800" w:type="dxa"/>
          </w:tcPr>
          <w:p>
            <w:pPr>
              <w:jc w:val="left"/>
            </w:pPr>
            <w:r>
              <w:rPr>
                <w:rFonts w:ascii="Times New Roman" w:hAnsi="Times New Roman"/>
                <w:sz w:val="22"/>
              </w:rPr>
              <w:t xml:space="preserve">76.04%</w:t>
            </w:r>
          </w:p>
        </w:tc>
      </w:tr>
    </w:tbl>
    <w:p>
      <w:pPr>
        <w:pStyle w:val="Caption"/>
      </w:pPr>
      <w:r>
        <w:t>Table 2.4: Comparison of multimodal fusion strategies for audio-text emotion recognition</w:t>
      </w:r>
    </w:p>
    <w:p>
      <w:pPr>
        <w:pStyle w:val="Heading2"/>
      </w:pPr>
      <w:r>
        <w:t>2.6.3 Attention-Based and Cross-Modal Fusion</w:t>
      </w:r>
    </w:p>
    <w:p>
      <w:pPr>
        <w:pStyle w:val="Normal"/>
      </w:pPr>
      <w:r>
        <w:t xml:space="preserve">Attention mechanisms have emerged as a powerful tool for multimodal fusion, enabling models to dynamically weight the contribution of different modalities based on their relevance for specific emotion categories. Multi-head attention, as originally proposed in the transformer architecture, can be extended to cross-modal settings where queries from one modality attend to keys and values from another modality. This cross-modal attention enables the model to identify correspondences between acoustic properties and semantic content, such as associating rising pitch patterns with surprise or linking specific word choices with anger.</w:t>
      </w:r>
    </w:p>
    <w:p>
      <w:pPr>
        <w:pStyle w:val="Normal"/>
      </w:pPr>
      <w:r>
        <w:t xml:space="preserve">The cross-modal transformer architecture processes audio and text embeddings through separate encoder branches, then applies cross-attention layers that allow information to flow between modalities. This approach has achieved competitive performance on multimodal emotion benchmarks, though recent evidence suggests that the performance gains over simpler fusion strategies may be marginal when evaluated on standard datasets. The practical effectiveness of complex cross-modal architectures relative to well-designed simple fusion remains an active area of investigation.</w:t>
      </w:r>
    </w:p>
    <w:p>
      <w:pPr>
        <w:pStyle w:val="Heading1"/>
      </w:pPr>
      <w:r>
        <w:t>2.7 Abstain Mechanism and Uncertainty Estimation</w:t>
      </w:r>
    </w:p>
    <w:p>
      <w:pPr>
        <w:pStyle w:val="Heading2"/>
      </w:pPr>
      <w:r>
        <w:t>2.7.1 The Need for Confidence-Aware AI</w:t>
      </w:r>
    </w:p>
    <w:p>
      <w:pPr>
        <w:pStyle w:val="Normal"/>
      </w:pPr>
      <w:r>
        <w:t xml:space="preserve">The deployment of emotion recognition systems in real-world applications, particularly in sensitive domains such as customer service, healthcare, and mental health support, demands reliable prediction mechanisms that can identify and abstain from making predictions when confidence is low. Selective classification, also known as classification with a reject option, provides a framework for allowing models to refrain from predicting when the risk of error is high. This capability is essential for emotion-aware conversational AI, where incorrect emotion predictions could lead to inappropriate system responses, user dissatisfaction, or even harmful interactions.</w:t>
      </w:r>
    </w:p>
    <w:p>
      <w:pPr>
        <w:pStyle w:val="Normal"/>
      </w:pPr>
      <w:r>
        <w:t xml:space="preserve">The selective classification framework, originally formalized by Chow (1970) and extended to deep neural networks by Geifman and El-Yaniv (2017), defines a selective classifier as a pair (h, g) where h is a standard classifier and g is a selection function that determines whether the prediction is provided or the model abstains. The mathematical formulation is:</w:t>
      </w:r>
    </w:p>
    <w:p>
      <w:pPr>
        <w:spacing w:before="240" w:after="240"/>
        <w:jc w:val="center"/>
      </w:pPr>
      <w:r>
        <w:rPr>
          <w:rFonts w:ascii="Times New Roman" w:hAnsi="Times New Roman"/>
          <w:i/>
          <w:sz w:val="24"/>
        </w:rPr>
        <w:t xml:space="preserve">(h,g)(x) = { h(x) if g(x)=1; abstain otherwise }</w:t>
      </w:r>
    </w:p>
    <w:p>
      <w:pPr>
        <w:pStyle w:val="Normal"/>
      </w:pPr>
      <w:r>
        <w:t xml:space="preserve">where g(x) is typically implemented through a confidence threshold: g(x) = 1 if k_h(x) &gt; tau, where k_h(x) is a confidence function and tau is a predefined threshold. The confidence function may be based on the maximum softmax probability, predictive entropy, or learned through an auxiliary selection head.</w:t>
      </w:r>
    </w:p>
    <w:p>
      <w:pPr>
        <w:pStyle w:val="Heading2"/>
      </w:pPr>
      <w:r>
        <w:t>2.7.2 Entropy-Based Uncertainty Estimation</w:t>
      </w:r>
    </w:p>
    <w:p>
      <w:pPr>
        <w:pStyle w:val="Normal"/>
      </w:pPr>
      <w:r>
        <w:t xml:space="preserve">Information-theoretic measures, particularly Shannon entropy, provide principled methods for quantifying prediction uncertainty. For a classifier outputting probability distribution p over K emotion classes, the predictive entropy is defined as:</w:t>
      </w:r>
    </w:p>
    <w:p>
      <w:pPr>
        <w:spacing w:before="240" w:after="240"/>
        <w:jc w:val="center"/>
      </w:pPr>
      <w:r>
        <w:rPr>
          <w:rFonts w:ascii="Times New Roman" w:hAnsi="Times New Roman"/>
          <w:i/>
          <w:sz w:val="24"/>
        </w:rPr>
        <w:t xml:space="preserve">H(p) = - sum_{i=1}^{K} p(y_i|x) * log(p(y_i|x))</w:t>
      </w:r>
    </w:p>
    <w:p>
      <w:pPr>
        <w:pStyle w:val="Normal"/>
      </w:pPr>
      <w:r>
        <w:t xml:space="preserve">High entropy indicates high uncertainty (uniform probability distribution across classes), while low entropy indicates high confidence (probability mass concentrated on a single class). In practice, entropy-based abstention thresholds can be calibrated on a held-out validation set to achieve desired coverage-accuracy trade-offs. When the predictive entropy exceeds a learned threshold, the model abstains from making a prediction, deferring to human judgment or a fallback response strategy.</w:t>
      </w:r>
    </w:p>
    <w:p>
      <w:pPr>
        <w:pStyle w:val="Normal"/>
      </w:pPr>
      <w:r>
        <w:t xml:space="preserve">The accuracy-rejection trade-off characterizes the fundamental relationship between prediction coverage (the fraction of inputs on which the model makes predictions) and selective accuracy (the accuracy on non-abstained inputs). As the rejection threshold increases, coverage decreases while selective accuracy increases, since the model abstains on increasingly uncertain predictions. The Area Under the Risk-Coverage Curve (AURCC) and Coverage@Accuracy metrics provide standardized evaluations of selective classification performance across different operating points.</w:t>
      </w:r>
    </w:p>
    <w:p>
      <w:pPr>
        <w:pStyle w:val="Heading2"/>
      </w:pPr>
      <w:r>
        <w:t>2.7.3 Selective Classification Methods</w:t>
      </w:r>
    </w:p>
    <w:p>
      <w:pPr>
        <w:pStyle w:val="Normal"/>
      </w:pPr>
      <w:r>
        <w:t xml:space="preserve">Multiple approaches to selective classification have been developed for deep neural networks. The Maximum Softmax Probability (MSP) or Softmax Response (SR) method uses the peak softmax output as a confidence estimate: k_SR(x) = max_{y} s_y(x). Despite its simplicity, SR has proven surprisingly effective and has been shown to outperform more complex methods in comprehensive benchmarks across 44 datasets. Learn-to-abstain methods such as Self-Adaptive Training (SAT) add an extra abstention class to the output layer and train the model to predict this class for uncertain inputs. SelectiveNet introduces a dedicated selection head that learns to estimate prediction confidence within a coverage constraint.</w:t>
      </w:r>
    </w:p>
    <w:p>
      <w:pPr>
        <w:pStyle w:val="Normal"/>
      </w:pPr>
      <w:r>
        <w:t xml:space="preserve">Recent comprehensive benchmarks of 18 selective classification methods across 44 real-world datasets have revealed several important findings: (1) ensemble-based approaches paired with softmax response consistently rank among the top performers; (2) there is no single universally optimal method, with the best approach depending on target coverage and dataset characteristics; (3) most methods exhibit class-dependent rejection patterns, abstaining more frequently on minority classes; and (4) current state-of-the-art methods fail to maintain consistent rejection behavior under distribution shifts, highlighting the need for shift-aware selective classification approaches.</w:t>
      </w:r>
    </w:p>
    <w:tbl>
      <w:tblPr>
        <w:tblW w:w="5000" w:type="pct"/>
        <w:tblBorders>
          <w:top w:val="single" w:color="2D5F8A" w:sz="12"/>
          <w:left w:val="nil"/>
          <w:bottom w:val="single" w:color="2D5F8A" w:sz="12"/>
          <w:right w:val="nil"/>
          <w:insideH w:val="single" w:color="CCCCCC" w:sz="4"/>
          <w:insideV w:val="nil"/>
        </w:tblBorders>
      </w:tblPr>
      <w:tblGrid>
        <w:gridCol w:w="1800"/>
        <w:gridCol w:w="1800"/>
        <w:gridCol w:w="1800"/>
        <w:gridCol w:w="1800"/>
        <w:gridCol w:w="1800"/>
      </w:tblGrid>
      <w:tr>
        <w:trPr>
          <w:tblHeader/>
        </w:trPr>
        <w:tc>
          <w:tcPr>
            <w:tcW w:w="1800" w:type="dxa"/>
            <w:shd w:val="clear" w:color="auto" w:fill="EDF2F7"/>
          </w:tcPr>
          <w:p>
            <w:pPr>
              <w:jc w:val="center"/>
            </w:pPr>
            <w:r>
              <w:rPr>
                <w:rFonts w:ascii="Times New Roman" w:hAnsi="Times New Roman"/>
                <w:b/>
                <w:bCs/>
                <w:sz w:val="22"/>
              </w:rPr>
              <w:t>Method</w:t>
            </w:r>
          </w:p>
        </w:tc>
        <w:tc>
          <w:tcPr>
            <w:tcW w:w="1800" w:type="dxa"/>
            <w:shd w:val="clear" w:color="auto" w:fill="EDF2F7"/>
          </w:tcPr>
          <w:p>
            <w:pPr>
              <w:jc w:val="center"/>
            </w:pPr>
            <w:r>
              <w:rPr>
                <w:rFonts w:ascii="Times New Roman" w:hAnsi="Times New Roman"/>
                <w:b/>
                <w:bCs/>
                <w:sz w:val="22"/>
              </w:rPr>
              <w:t>Type</w:t>
            </w:r>
          </w:p>
        </w:tc>
        <w:tc>
          <w:tcPr>
            <w:tcW w:w="1800" w:type="dxa"/>
            <w:shd w:val="clear" w:color="auto" w:fill="EDF2F7"/>
          </w:tcPr>
          <w:p>
            <w:pPr>
              <w:jc w:val="center"/>
            </w:pPr>
            <w:r>
              <w:rPr>
                <w:rFonts w:ascii="Times New Roman" w:hAnsi="Times New Roman"/>
                <w:b/>
                <w:bCs/>
                <w:sz w:val="22"/>
              </w:rPr>
              <w:t>Confidence function</w:t>
            </w:r>
          </w:p>
        </w:tc>
        <w:tc>
          <w:tcPr>
            <w:tcW w:w="1800" w:type="dxa"/>
            <w:shd w:val="clear" w:color="auto" w:fill="EDF2F7"/>
          </w:tcPr>
          <w:p>
            <w:pPr>
              <w:jc w:val="center"/>
            </w:pPr>
            <w:r>
              <w:rPr>
                <w:rFonts w:ascii="Times New Roman" w:hAnsi="Times New Roman"/>
                <w:b/>
                <w:bCs/>
                <w:sz w:val="22"/>
              </w:rPr>
              <w:t>Key advantage</w:t>
            </w:r>
          </w:p>
        </w:tc>
        <w:tc>
          <w:tcPr>
            <w:tcW w:w="1800" w:type="dxa"/>
            <w:shd w:val="clear" w:color="auto" w:fill="EDF2F7"/>
          </w:tcPr>
          <w:p>
            <w:pPr>
              <w:jc w:val="center"/>
            </w:pPr>
            <w:r>
              <w:rPr>
                <w:rFonts w:ascii="Times New Roman" w:hAnsi="Times New Roman"/>
                <w:b/>
                <w:bCs/>
                <w:sz w:val="22"/>
              </w:rPr>
              <w:t>Limitation</w:t>
            </w:r>
          </w:p>
        </w:tc>
      </w:tr>
      <w:tr>
        <w:tc>
          <w:tcPr>
            <w:tcW w:w="1800" w:type="dxa"/>
          </w:tcPr>
          <w:p>
            <w:pPr>
              <w:jc w:val="left"/>
            </w:pPr>
            <w:r>
              <w:rPr>
                <w:rFonts w:ascii="Times New Roman" w:hAnsi="Times New Roman"/>
                <w:sz w:val="22"/>
              </w:rPr>
              <w:t xml:space="preserve">SR (Softmax Response)</w:t>
            </w:r>
          </w:p>
        </w:tc>
        <w:tc>
          <w:tcPr>
            <w:tcW w:w="1800" w:type="dxa"/>
          </w:tcPr>
          <w:p>
            <w:pPr>
              <w:jc w:val="left"/>
            </w:pPr>
            <w:r>
              <w:rPr>
                <w:rFonts w:ascii="Times New Roman" w:hAnsi="Times New Roman"/>
                <w:sz w:val="22"/>
              </w:rPr>
              <w:t xml:space="preserve">Score-based</w:t>
            </w:r>
          </w:p>
        </w:tc>
        <w:tc>
          <w:tcPr>
            <w:tcW w:w="1800" w:type="dxa"/>
          </w:tcPr>
          <w:p>
            <w:pPr>
              <w:jc w:val="left"/>
            </w:pPr>
            <w:r>
              <w:rPr>
                <w:rFonts w:ascii="Times New Roman" w:hAnsi="Times New Roman"/>
                <w:sz w:val="22"/>
              </w:rPr>
              <w:t xml:space="preserve">Max softmax probability</w:t>
            </w:r>
          </w:p>
        </w:tc>
        <w:tc>
          <w:tcPr>
            <w:tcW w:w="1800" w:type="dxa"/>
          </w:tcPr>
          <w:p>
            <w:pPr>
              <w:jc w:val="left"/>
            </w:pPr>
            <w:r>
              <w:rPr>
                <w:rFonts w:ascii="Times New Roman" w:hAnsi="Times New Roman"/>
                <w:sz w:val="22"/>
              </w:rPr>
              <w:t xml:space="preserve">Simplicity, strong baseline</w:t>
            </w:r>
          </w:p>
        </w:tc>
        <w:tc>
          <w:tcPr>
            <w:tcW w:w="1800" w:type="dxa"/>
          </w:tcPr>
          <w:p>
            <w:pPr>
              <w:jc w:val="left"/>
            </w:pPr>
            <w:r>
              <w:rPr>
                <w:rFonts w:ascii="Times New Roman" w:hAnsi="Times New Roman"/>
                <w:sz w:val="22"/>
              </w:rPr>
              <w:t xml:space="preserve">Overconfident on OOD data</w:t>
            </w:r>
          </w:p>
        </w:tc>
      </w:tr>
      <w:tr>
        <w:tc>
          <w:tcPr>
            <w:tcW w:w="1800" w:type="dxa"/>
          </w:tcPr>
          <w:p>
            <w:pPr>
              <w:jc w:val="left"/>
            </w:pPr>
            <w:r>
              <w:rPr>
                <w:rFonts w:ascii="Times New Roman" w:hAnsi="Times New Roman"/>
                <w:sz w:val="22"/>
              </w:rPr>
              <w:t xml:space="preserve">SAT</w:t>
            </w:r>
          </w:p>
        </w:tc>
        <w:tc>
          <w:tcPr>
            <w:tcW w:w="1800" w:type="dxa"/>
          </w:tcPr>
          <w:p>
            <w:pPr>
              <w:jc w:val="left"/>
            </w:pPr>
            <w:r>
              <w:rPr>
                <w:rFonts w:ascii="Times New Roman" w:hAnsi="Times New Roman"/>
                <w:sz w:val="22"/>
              </w:rPr>
              <w:t xml:space="preserve">Learn-to-abstain</w:t>
            </w:r>
          </w:p>
        </w:tc>
        <w:tc>
          <w:tcPr>
            <w:tcW w:w="1800" w:type="dxa"/>
          </w:tcPr>
          <w:p>
            <w:pPr>
              <w:jc w:val="left"/>
            </w:pPr>
            <w:r>
              <w:rPr>
                <w:rFonts w:ascii="Times New Roman" w:hAnsi="Times New Roman"/>
                <w:sz w:val="22"/>
              </w:rPr>
              <w:t xml:space="preserve">Abstention class score</w:t>
            </w:r>
          </w:p>
        </w:tc>
        <w:tc>
          <w:tcPr>
            <w:tcW w:w="1800" w:type="dxa"/>
          </w:tcPr>
          <w:p>
            <w:pPr>
              <w:jc w:val="left"/>
            </w:pPr>
            <w:r>
              <w:rPr>
                <w:rFonts w:ascii="Times New Roman" w:hAnsi="Times New Roman"/>
                <w:sz w:val="22"/>
              </w:rPr>
              <w:t xml:space="preserve">Trained abstention signal</w:t>
            </w:r>
          </w:p>
        </w:tc>
        <w:tc>
          <w:tcPr>
            <w:tcW w:w="1800" w:type="dxa"/>
          </w:tcPr>
          <w:p>
            <w:pPr>
              <w:jc w:val="left"/>
            </w:pPr>
            <w:r>
              <w:rPr>
                <w:rFonts w:ascii="Times New Roman" w:hAnsi="Times New Roman"/>
                <w:sz w:val="22"/>
              </w:rPr>
              <w:t xml:space="preserve">Requires calibration</w:t>
            </w:r>
          </w:p>
        </w:tc>
      </w:tr>
      <w:tr>
        <w:tc>
          <w:tcPr>
            <w:tcW w:w="1800" w:type="dxa"/>
          </w:tcPr>
          <w:p>
            <w:pPr>
              <w:jc w:val="left"/>
            </w:pPr>
            <w:r>
              <w:rPr>
                <w:rFonts w:ascii="Times New Roman" w:hAnsi="Times New Roman"/>
                <w:sz w:val="22"/>
              </w:rPr>
              <w:t xml:space="preserve">SelectiveNet</w:t>
            </w:r>
          </w:p>
        </w:tc>
        <w:tc>
          <w:tcPr>
            <w:tcW w:w="1800" w:type="dxa"/>
          </w:tcPr>
          <w:p>
            <w:pPr>
              <w:jc w:val="left"/>
            </w:pPr>
            <w:r>
              <w:rPr>
                <w:rFonts w:ascii="Times New Roman" w:hAnsi="Times New Roman"/>
                <w:sz w:val="22"/>
              </w:rPr>
              <w:t xml:space="preserve">Learn-to-select</w:t>
            </w:r>
          </w:p>
        </w:tc>
        <w:tc>
          <w:tcPr>
            <w:tcW w:w="1800" w:type="dxa"/>
          </w:tcPr>
          <w:p>
            <w:pPr>
              <w:jc w:val="left"/>
            </w:pPr>
            <w:r>
              <w:rPr>
                <w:rFonts w:ascii="Times New Roman" w:hAnsi="Times New Roman"/>
                <w:sz w:val="22"/>
              </w:rPr>
              <w:t xml:space="preserve">Dedicated selection head</w:t>
            </w:r>
          </w:p>
        </w:tc>
        <w:tc>
          <w:tcPr>
            <w:tcW w:w="1800" w:type="dxa"/>
          </w:tcPr>
          <w:p>
            <w:pPr>
              <w:jc w:val="left"/>
            </w:pPr>
            <w:r>
              <w:rPr>
                <w:rFonts w:ascii="Times New Roman" w:hAnsi="Times New Roman"/>
                <w:sz w:val="22"/>
              </w:rPr>
              <w:t xml:space="preserve">Coverage constraint</w:t>
            </w:r>
          </w:p>
        </w:tc>
        <w:tc>
          <w:tcPr>
            <w:tcW w:w="1800" w:type="dxa"/>
          </w:tcPr>
          <w:p>
            <w:pPr>
              <w:jc w:val="left"/>
            </w:pPr>
            <w:r>
              <w:rPr>
                <w:rFonts w:ascii="Times New Roman" w:hAnsi="Times New Roman"/>
                <w:sz w:val="22"/>
              </w:rPr>
              <w:t xml:space="preserve">Complex training</w:t>
            </w:r>
          </w:p>
        </w:tc>
      </w:tr>
      <w:tr>
        <w:tc>
          <w:tcPr>
            <w:tcW w:w="1800" w:type="dxa"/>
          </w:tcPr>
          <w:p>
            <w:pPr>
              <w:jc w:val="left"/>
            </w:pPr>
            <w:r>
              <w:rPr>
                <w:rFonts w:ascii="Times New Roman" w:hAnsi="Times New Roman"/>
                <w:sz w:val="22"/>
              </w:rPr>
              <w:t xml:space="preserve">MC-Dropout</w:t>
            </w:r>
          </w:p>
        </w:tc>
        <w:tc>
          <w:tcPr>
            <w:tcW w:w="1800" w:type="dxa"/>
          </w:tcPr>
          <w:p>
            <w:pPr>
              <w:jc w:val="left"/>
            </w:pPr>
            <w:r>
              <w:rPr>
                <w:rFonts w:ascii="Times New Roman" w:hAnsi="Times New Roman"/>
                <w:sz w:val="22"/>
              </w:rPr>
              <w:t xml:space="preserve">Ensemble</w:t>
            </w:r>
          </w:p>
        </w:tc>
        <w:tc>
          <w:tcPr>
            <w:tcW w:w="1800" w:type="dxa"/>
          </w:tcPr>
          <w:p>
            <w:pPr>
              <w:jc w:val="left"/>
            </w:pPr>
            <w:r>
              <w:rPr>
                <w:rFonts w:ascii="Times New Roman" w:hAnsi="Times New Roman"/>
                <w:sz w:val="22"/>
              </w:rPr>
              <w:t xml:space="preserve">Prediction variance</w:t>
            </w:r>
          </w:p>
        </w:tc>
        <w:tc>
          <w:tcPr>
            <w:tcW w:w="1800" w:type="dxa"/>
          </w:tcPr>
          <w:p>
            <w:pPr>
              <w:jc w:val="left"/>
            </w:pPr>
            <w:r>
              <w:rPr>
                <w:rFonts w:ascii="Times New Roman" w:hAnsi="Times New Roman"/>
                <w:sz w:val="22"/>
              </w:rPr>
              <w:t xml:space="preserve">Captures epistemic uncertainty</w:t>
            </w:r>
          </w:p>
        </w:tc>
        <w:tc>
          <w:tcPr>
            <w:tcW w:w="1800" w:type="dxa"/>
          </w:tcPr>
          <w:p>
            <w:pPr>
              <w:jc w:val="left"/>
            </w:pPr>
            <w:r>
              <w:rPr>
                <w:rFonts w:ascii="Times New Roman" w:hAnsi="Times New Roman"/>
                <w:sz w:val="22"/>
              </w:rPr>
              <w:t xml:space="preserve">Computational cost</w:t>
            </w:r>
          </w:p>
        </w:tc>
      </w:tr>
      <w:tr>
        <w:tc>
          <w:tcPr>
            <w:tcW w:w="1800" w:type="dxa"/>
          </w:tcPr>
          <w:p>
            <w:pPr>
              <w:jc w:val="left"/>
            </w:pPr>
            <w:r>
              <w:rPr>
                <w:rFonts w:ascii="Times New Roman" w:hAnsi="Times New Roman"/>
                <w:sz w:val="22"/>
              </w:rPr>
              <w:t xml:space="preserve">Deep Ensemble</w:t>
            </w:r>
          </w:p>
        </w:tc>
        <w:tc>
          <w:tcPr>
            <w:tcW w:w="1800" w:type="dxa"/>
          </w:tcPr>
          <w:p>
            <w:pPr>
              <w:jc w:val="left"/>
            </w:pPr>
            <w:r>
              <w:rPr>
                <w:rFonts w:ascii="Times New Roman" w:hAnsi="Times New Roman"/>
                <w:sz w:val="22"/>
              </w:rPr>
              <w:t xml:space="preserve">Ensemble</w:t>
            </w:r>
          </w:p>
        </w:tc>
        <w:tc>
          <w:tcPr>
            <w:tcW w:w="1800" w:type="dxa"/>
          </w:tcPr>
          <w:p>
            <w:pPr>
              <w:jc w:val="left"/>
            </w:pPr>
            <w:r>
              <w:rPr>
                <w:rFonts w:ascii="Times New Roman" w:hAnsi="Times New Roman"/>
                <w:sz w:val="22"/>
              </w:rPr>
              <w:t xml:space="preserve">Disagreement measure</w:t>
            </w:r>
          </w:p>
        </w:tc>
        <w:tc>
          <w:tcPr>
            <w:tcW w:w="1800" w:type="dxa"/>
          </w:tcPr>
          <w:p>
            <w:pPr>
              <w:jc w:val="left"/>
            </w:pPr>
            <w:r>
              <w:rPr>
                <w:rFonts w:ascii="Times New Roman" w:hAnsi="Times New Roman"/>
                <w:sz w:val="22"/>
              </w:rPr>
              <w:t xml:space="preserve">Robust uncertainty estimates</w:t>
            </w:r>
          </w:p>
        </w:tc>
        <w:tc>
          <w:tcPr>
            <w:tcW w:w="1800" w:type="dxa"/>
          </w:tcPr>
          <w:p>
            <w:pPr>
              <w:jc w:val="left"/>
            </w:pPr>
            <w:r>
              <w:rPr>
                <w:rFonts w:ascii="Times New Roman" w:hAnsi="Times New Roman"/>
                <w:sz w:val="22"/>
              </w:rPr>
              <w:t xml:space="preserve">Multiple forward passes</w:t>
            </w:r>
          </w:p>
        </w:tc>
      </w:tr>
    </w:tbl>
    <w:p>
      <w:pPr>
        <w:pStyle w:val="Caption"/>
      </w:pPr>
      <w:r>
        <w:t>Table 2.5: Comparison of selective classification methods for uncertainty-aware prediction</w:t>
      </w:r>
    </w:p>
    <w:p>
      <w:pPr>
        <w:pStyle w:val="Heading1"/>
      </w:pPr>
      <w:r>
        <w:t>2.8 Comparative Analysis: Time Series versus Textual Data</w:t>
      </w:r>
    </w:p>
    <w:p>
      <w:pPr>
        <w:pStyle w:val="Normal"/>
      </w:pPr>
      <w:r>
        <w:t xml:space="preserve">The integration of time series and textual data modalities for emotion recognition requires understanding their complementary characteristics and the distinct modeling challenges each presents. Time series data captures the dynamic, sequential nature of emotional evolution through continuous or discrete temporal observations, while textual data encodes semantic and pragmatic emotional content through discrete symbolic sequences. The following comparative analysis examines these modalities across key dimensions relevant to multimodal emotion transition modeling.</w:t>
      </w:r>
    </w:p>
    <w:tbl>
      <w:tblPr>
        <w:tblW w:w="5000" w:type="pct"/>
        <w:tblBorders>
          <w:top w:val="single" w:color="2D5F8A" w:sz="12"/>
          <w:left w:val="nil"/>
          <w:bottom w:val="single" w:color="2D5F8A" w:sz="12"/>
          <w:right w:val="nil"/>
          <w:insideH w:val="single" w:color="CCCCCC" w:sz="4"/>
          <w:insideV w:val="nil"/>
        </w:tblBorders>
      </w:tblPr>
      <w:tblGrid>
        <w:gridCol w:w="3000"/>
        <w:gridCol w:w="3000"/>
        <w:gridCol w:w="3000"/>
      </w:tblGrid>
      <w:tr>
        <w:trPr>
          <w:tblHeader/>
        </w:trPr>
        <w:tc>
          <w:tcPr>
            <w:tcW w:w="3000" w:type="dxa"/>
            <w:shd w:val="clear" w:color="auto" w:fill="EDF2F7"/>
          </w:tcPr>
          <w:p>
            <w:pPr>
              <w:jc w:val="center"/>
            </w:pPr>
            <w:r>
              <w:rPr>
                <w:rFonts w:ascii="Times New Roman" w:hAnsi="Times New Roman"/>
                <w:b/>
                <w:bCs/>
                <w:sz w:val="22"/>
              </w:rPr>
              <w:t>Aspect</w:t>
            </w:r>
          </w:p>
        </w:tc>
        <w:tc>
          <w:tcPr>
            <w:tcW w:w="3000" w:type="dxa"/>
            <w:shd w:val="clear" w:color="auto" w:fill="EDF2F7"/>
          </w:tcPr>
          <w:p>
            <w:pPr>
              <w:jc w:val="center"/>
            </w:pPr>
            <w:r>
              <w:rPr>
                <w:rFonts w:ascii="Times New Roman" w:hAnsi="Times New Roman"/>
                <w:b/>
                <w:bCs/>
                <w:sz w:val="22"/>
              </w:rPr>
              <w:t>Time series data</w:t>
            </w:r>
          </w:p>
        </w:tc>
        <w:tc>
          <w:tcPr>
            <w:tcW w:w="3000" w:type="dxa"/>
            <w:shd w:val="clear" w:color="auto" w:fill="EDF2F7"/>
          </w:tcPr>
          <w:p>
            <w:pPr>
              <w:jc w:val="center"/>
            </w:pPr>
            <w:r>
              <w:rPr>
                <w:rFonts w:ascii="Times New Roman" w:hAnsi="Times New Roman"/>
                <w:b/>
                <w:bCs/>
                <w:sz w:val="22"/>
              </w:rPr>
              <w:t>Textual data</w:t>
            </w:r>
          </w:p>
        </w:tc>
      </w:tr>
      <w:tr>
        <w:tc>
          <w:tcPr>
            <w:tcW w:w="3000" w:type="dxa"/>
          </w:tcPr>
          <w:p>
            <w:pPr>
              <w:jc w:val="left"/>
            </w:pPr>
            <w:r>
              <w:rPr>
                <w:rFonts w:ascii="Times New Roman" w:hAnsi="Times New Roman"/>
                <w:sz w:val="22"/>
              </w:rPr>
              <w:t xml:space="preserve">Sequential nature</w:t>
            </w:r>
          </w:p>
        </w:tc>
        <w:tc>
          <w:tcPr>
            <w:tcW w:w="3000" w:type="dxa"/>
          </w:tcPr>
          <w:p>
            <w:pPr>
              <w:jc w:val="left"/>
            </w:pPr>
            <w:r>
              <w:rPr>
                <w:rFonts w:ascii="Times New Roman" w:hAnsi="Times New Roman"/>
                <w:sz w:val="22"/>
              </w:rPr>
              <w:t xml:space="preserve">Continuous/regular sampling</w:t>
            </w:r>
          </w:p>
        </w:tc>
        <w:tc>
          <w:tcPr>
            <w:tcW w:w="3000" w:type="dxa"/>
          </w:tcPr>
          <w:p>
            <w:pPr>
              <w:jc w:val="left"/>
            </w:pPr>
            <w:r>
              <w:rPr>
                <w:rFonts w:ascii="Times New Roman" w:hAnsi="Times New Roman"/>
                <w:sz w:val="22"/>
              </w:rPr>
              <w:t xml:space="preserve">Discrete, irregular utterances</w:t>
            </w:r>
          </w:p>
        </w:tc>
      </w:tr>
      <w:tr>
        <w:tc>
          <w:tcPr>
            <w:tcW w:w="3000" w:type="dxa"/>
          </w:tcPr>
          <w:p>
            <w:pPr>
              <w:jc w:val="left"/>
            </w:pPr>
            <w:r>
              <w:rPr>
                <w:rFonts w:ascii="Times New Roman" w:hAnsi="Times New Roman"/>
                <w:sz w:val="22"/>
              </w:rPr>
              <w:t xml:space="preserve">Representation</w:t>
            </w:r>
          </w:p>
        </w:tc>
        <w:tc>
          <w:tcPr>
            <w:tcW w:w="3000" w:type="dxa"/>
          </w:tcPr>
          <w:p>
            <w:pPr>
              <w:jc w:val="left"/>
            </w:pPr>
            <w:r>
              <w:rPr>
                <w:rFonts w:ascii="Times New Roman" w:hAnsi="Times New Roman"/>
                <w:sz w:val="22"/>
              </w:rPr>
              <w:t xml:space="preserve">Numerical vectors (float)</w:t>
            </w:r>
          </w:p>
        </w:tc>
        <w:tc>
          <w:tcPr>
            <w:tcW w:w="3000" w:type="dxa"/>
          </w:tcPr>
          <w:p>
            <w:pPr>
              <w:jc w:val="left"/>
            </w:pPr>
            <w:r>
              <w:rPr>
                <w:rFonts w:ascii="Times New Roman" w:hAnsi="Times New Roman"/>
                <w:sz w:val="22"/>
              </w:rPr>
              <w:t xml:space="preserve">Discrete tokens/symbols</w:t>
            </w:r>
          </w:p>
        </w:tc>
      </w:tr>
      <w:tr>
        <w:tc>
          <w:tcPr>
            <w:tcW w:w="3000" w:type="dxa"/>
          </w:tcPr>
          <w:p>
            <w:pPr>
              <w:jc w:val="left"/>
            </w:pPr>
            <w:r>
              <w:rPr>
                <w:rFonts w:ascii="Times New Roman" w:hAnsi="Times New Roman"/>
                <w:sz w:val="22"/>
              </w:rPr>
              <w:t xml:space="preserve">Temporal dependency</w:t>
            </w:r>
          </w:p>
        </w:tc>
        <w:tc>
          <w:tcPr>
            <w:tcW w:w="3000" w:type="dxa"/>
          </w:tcPr>
          <w:p>
            <w:pPr>
              <w:jc w:val="left"/>
            </w:pPr>
            <w:r>
              <w:rPr>
                <w:rFonts w:ascii="Times New Roman" w:hAnsi="Times New Roman"/>
                <w:sz w:val="22"/>
              </w:rPr>
              <w:t xml:space="preserve">Autocorrelation, lag structure</w:t>
            </w:r>
          </w:p>
        </w:tc>
        <w:tc>
          <w:tcPr>
            <w:tcW w:w="3000" w:type="dxa"/>
          </w:tcPr>
          <w:p>
            <w:pPr>
              <w:jc w:val="left"/>
            </w:pPr>
            <w:r>
              <w:rPr>
                <w:rFonts w:ascii="Times New Roman" w:hAnsi="Times New Roman"/>
                <w:sz w:val="22"/>
              </w:rPr>
              <w:t xml:space="preserve">Syntactic/semantic dependencies</w:t>
            </w:r>
          </w:p>
        </w:tc>
      </w:tr>
      <w:tr>
        <w:tc>
          <w:tcPr>
            <w:tcW w:w="3000" w:type="dxa"/>
          </w:tcPr>
          <w:p>
            <w:pPr>
              <w:jc w:val="left"/>
            </w:pPr>
            <w:r>
              <w:rPr>
                <w:rFonts w:ascii="Times New Roman" w:hAnsi="Times New Roman"/>
                <w:sz w:val="22"/>
              </w:rPr>
              <w:t xml:space="preserve">Preprocessing</w:t>
            </w:r>
          </w:p>
        </w:tc>
        <w:tc>
          <w:tcPr>
            <w:tcW w:w="3000" w:type="dxa"/>
          </w:tcPr>
          <w:p>
            <w:pPr>
              <w:jc w:val="left"/>
            </w:pPr>
            <w:r>
              <w:rPr>
                <w:rFonts w:ascii="Times New Roman" w:hAnsi="Times New Roman"/>
                <w:sz w:val="22"/>
              </w:rPr>
              <w:t xml:space="preserve">Normalization, detrending</w:t>
            </w:r>
          </w:p>
        </w:tc>
        <w:tc>
          <w:tcPr>
            <w:tcW w:w="3000" w:type="dxa"/>
          </w:tcPr>
          <w:p>
            <w:pPr>
              <w:jc w:val="left"/>
            </w:pPr>
            <w:r>
              <w:rPr>
                <w:rFonts w:ascii="Times New Roman" w:hAnsi="Times New Roman"/>
                <w:sz w:val="22"/>
              </w:rPr>
              <w:t xml:space="preserve">Tokenization, lemmatization</w:t>
            </w:r>
          </w:p>
        </w:tc>
      </w:tr>
      <w:tr>
        <w:tc>
          <w:tcPr>
            <w:tcW w:w="3000" w:type="dxa"/>
          </w:tcPr>
          <w:p>
            <w:pPr>
              <w:jc w:val="left"/>
            </w:pPr>
            <w:r>
              <w:rPr>
                <w:rFonts w:ascii="Times New Roman" w:hAnsi="Times New Roman"/>
                <w:sz w:val="22"/>
              </w:rPr>
              <w:t xml:space="preserve">Deep learning models</w:t>
            </w:r>
          </w:p>
        </w:tc>
        <w:tc>
          <w:tcPr>
            <w:tcW w:w="3000" w:type="dxa"/>
          </w:tcPr>
          <w:p>
            <w:pPr>
              <w:jc w:val="left"/>
            </w:pPr>
            <w:r>
              <w:rPr>
                <w:rFonts w:ascii="Times New Roman" w:hAnsi="Times New Roman"/>
                <w:sz w:val="22"/>
              </w:rPr>
              <w:t xml:space="preserve">LSTM, GRU, 1D-CNN</w:t>
            </w:r>
          </w:p>
        </w:tc>
        <w:tc>
          <w:tcPr>
            <w:tcW w:w="3000" w:type="dxa"/>
          </w:tcPr>
          <w:p>
            <w:pPr>
              <w:jc w:val="left"/>
            </w:pPr>
            <w:r>
              <w:rPr>
                <w:rFonts w:ascii="Times New Roman" w:hAnsi="Times New Roman"/>
                <w:sz w:val="22"/>
              </w:rPr>
              <w:t xml:space="preserve">BERT, RoBERTa, transformers</w:t>
            </w:r>
          </w:p>
        </w:tc>
      </w:tr>
      <w:tr>
        <w:tc>
          <w:tcPr>
            <w:tcW w:w="3000" w:type="dxa"/>
          </w:tcPr>
          <w:p>
            <w:pPr>
              <w:jc w:val="left"/>
            </w:pPr>
            <w:r>
              <w:rPr>
                <w:rFonts w:ascii="Times New Roman" w:hAnsi="Times New Roman"/>
                <w:sz w:val="22"/>
              </w:rPr>
              <w:t xml:space="preserve">Noise characteristics</w:t>
            </w:r>
          </w:p>
        </w:tc>
        <w:tc>
          <w:tcPr>
            <w:tcW w:w="3000" w:type="dxa"/>
          </w:tcPr>
          <w:p>
            <w:pPr>
              <w:jc w:val="left"/>
            </w:pPr>
            <w:r>
              <w:rPr>
                <w:rFonts w:ascii="Times New Roman" w:hAnsi="Times New Roman"/>
                <w:sz w:val="22"/>
              </w:rPr>
              <w:t xml:space="preserve">Gaussian, measurement noise</w:t>
            </w:r>
          </w:p>
        </w:tc>
        <w:tc>
          <w:tcPr>
            <w:tcW w:w="3000" w:type="dxa"/>
          </w:tcPr>
          <w:p>
            <w:pPr>
              <w:jc w:val="left"/>
            </w:pPr>
            <w:r>
              <w:rPr>
                <w:rFonts w:ascii="Times New Roman" w:hAnsi="Times New Roman"/>
                <w:sz w:val="22"/>
              </w:rPr>
              <w:t xml:space="preserve">Ambiguity, figurative language</w:t>
            </w:r>
          </w:p>
        </w:tc>
      </w:tr>
      <w:tr>
        <w:tc>
          <w:tcPr>
            <w:tcW w:w="3000" w:type="dxa"/>
          </w:tcPr>
          <w:p>
            <w:pPr>
              <w:jc w:val="left"/>
            </w:pPr>
            <w:r>
              <w:rPr>
                <w:rFonts w:ascii="Times New Roman" w:hAnsi="Times New Roman"/>
                <w:sz w:val="22"/>
              </w:rPr>
              <w:t xml:space="preserve">Semantic dependency</w:t>
            </w:r>
          </w:p>
        </w:tc>
        <w:tc>
          <w:tcPr>
            <w:tcW w:w="3000" w:type="dxa"/>
          </w:tcPr>
          <w:p>
            <w:pPr>
              <w:jc w:val="left"/>
            </w:pPr>
            <w:r>
              <w:rPr>
                <w:rFonts w:ascii="Times New Roman" w:hAnsi="Times New Roman"/>
                <w:sz w:val="22"/>
              </w:rPr>
              <w:t xml:space="preserve">Low (unless multimodal)</w:t>
            </w:r>
          </w:p>
        </w:tc>
        <w:tc>
          <w:tcPr>
            <w:tcW w:w="3000" w:type="dxa"/>
          </w:tcPr>
          <w:p>
            <w:pPr>
              <w:jc w:val="left"/>
            </w:pPr>
            <w:r>
              <w:rPr>
                <w:rFonts w:ascii="Times New Roman" w:hAnsi="Times New Roman"/>
                <w:sz w:val="22"/>
              </w:rPr>
              <w:t xml:space="preserve">High (inherent in language)</w:t>
            </w:r>
          </w:p>
        </w:tc>
      </w:tr>
      <w:tr>
        <w:tc>
          <w:tcPr>
            <w:tcW w:w="3000" w:type="dxa"/>
          </w:tcPr>
          <w:p>
            <w:pPr>
              <w:jc w:val="left"/>
            </w:pPr>
            <w:r>
              <w:rPr>
                <w:rFonts w:ascii="Times New Roman" w:hAnsi="Times New Roman"/>
                <w:sz w:val="22"/>
              </w:rPr>
              <w:t xml:space="preserve">Transformer usage</w:t>
            </w:r>
          </w:p>
        </w:tc>
        <w:tc>
          <w:tcPr>
            <w:tcW w:w="3000" w:type="dxa"/>
          </w:tcPr>
          <w:p>
            <w:pPr>
              <w:jc w:val="left"/>
            </w:pPr>
            <w:r>
              <w:rPr>
                <w:rFonts w:ascii="Times New Roman" w:hAnsi="Times New Roman"/>
                <w:sz w:val="22"/>
              </w:rPr>
              <w:t xml:space="preserve">TimesFM, Chronos (recent)</w:t>
            </w:r>
          </w:p>
        </w:tc>
        <w:tc>
          <w:tcPr>
            <w:tcW w:w="3000" w:type="dxa"/>
          </w:tcPr>
          <w:p>
            <w:pPr>
              <w:jc w:val="left"/>
            </w:pPr>
            <w:r>
              <w:rPr>
                <w:rFonts w:ascii="Times New Roman" w:hAnsi="Times New Roman"/>
                <w:sz w:val="22"/>
              </w:rPr>
              <w:t xml:space="preserve">BERT, RoBERTa (established)</w:t>
            </w:r>
          </w:p>
        </w:tc>
      </w:tr>
      <w:tr>
        <w:tc>
          <w:tcPr>
            <w:tcW w:w="3000" w:type="dxa"/>
          </w:tcPr>
          <w:p>
            <w:pPr>
              <w:jc w:val="left"/>
            </w:pPr>
            <w:r>
              <w:rPr>
                <w:rFonts w:ascii="Times New Roman" w:hAnsi="Times New Roman"/>
                <w:sz w:val="22"/>
              </w:rPr>
              <w:t xml:space="preserve">LLM relevance</w:t>
            </w:r>
          </w:p>
        </w:tc>
        <w:tc>
          <w:tcPr>
            <w:tcW w:w="3000" w:type="dxa"/>
          </w:tcPr>
          <w:p>
            <w:pPr>
              <w:jc w:val="left"/>
            </w:pPr>
            <w:r>
              <w:rPr>
                <w:rFonts w:ascii="Times New Roman" w:hAnsi="Times New Roman"/>
                <w:sz w:val="22"/>
              </w:rPr>
              <w:t xml:space="preserve">Emerging (Time-LLM)</w:t>
            </w:r>
          </w:p>
        </w:tc>
        <w:tc>
          <w:tcPr>
            <w:tcW w:w="3000" w:type="dxa"/>
          </w:tcPr>
          <w:p>
            <w:pPr>
              <w:jc w:val="left"/>
            </w:pPr>
            <w:r>
              <w:rPr>
                <w:rFonts w:ascii="Times New Roman" w:hAnsi="Times New Roman"/>
                <w:sz w:val="22"/>
              </w:rPr>
              <w:t xml:space="preserve">Central (GPT, LLaMA)</w:t>
            </w:r>
          </w:p>
        </w:tc>
      </w:tr>
    </w:tbl>
    <w:p>
      <w:pPr>
        <w:pStyle w:val="Caption"/>
      </w:pPr>
      <w:r>
        <w:t>Table 2.6: Comparative analysis of time series and textual data characteristics for emotion modeling</w:t>
      </w:r>
    </w:p>
    <w:p>
      <w:pPr>
        <w:pStyle w:val="Normal"/>
      </w:pPr>
      <w:r>
        <w:t xml:space="preserve">The complementary nature of these modalities motivates their integration in multimodal emotion recognition systems. Time series modeling captures the temporal dynamics of emotional transitions that textual models may overlook, while textual representations provide semantic and contextual information that pure acoustic or temporal models cannot access. The challenge lies in developing fusion architectures that effectively combine these heterogeneous data types while respecting their distinct structural properties.</w:t>
      </w:r>
    </w:p>
    <w:p>
      <w:pPr>
        <w:pStyle w:val="Heading1"/>
      </w:pPr>
      <w:r>
        <w:t>2.9 Modern AI and Large Language Models for Temporal Data</w:t>
      </w:r>
    </w:p>
    <w:p>
      <w:pPr>
        <w:pStyle w:val="Heading2"/>
      </w:pPr>
      <w:r>
        <w:t>2.9.1 Temporal Foundation Models</w:t>
      </w:r>
    </w:p>
    <w:p>
      <w:pPr>
        <w:pStyle w:val="Normal"/>
      </w:pPr>
      <w:r>
        <w:t xml:space="preserve">The emergence of foundation models for time series represents a paradigm shift in temporal data analysis, analogous to the transformative impact of Large Language Models (LLMs) on natural language processing. Foundation models such as TimesFM (Google), Chronos (Amazon), Moirai, Lag-Llama, and Timer are pre-trained on massive corpora of time series data, enabling zero-shot or few-shot forecasting and classification on downstream tasks. These models leverage transformer architectures, originally developed for NLP, and adapt them to temporal data through specialized tokenization and positional encoding strategies.</w:t>
      </w:r>
    </w:p>
    <w:p>
      <w:pPr>
        <w:pStyle w:val="Normal"/>
      </w:pPr>
      <w:r>
        <w:t xml:space="preserve">Chronos, introduced by Amazon in 2024, exemplifies the 'time series as language' approach by treating quantized time series values as discrete tokens and training a T5-style autoregressive model using next-token prediction. The tokenization process involves three steps: (1) scaling the input data to a useful range using mean scaling; (2) quantization through uniform binning into a fixed vocabulary (typically 4096 tokens); and (3) adding special tokens for sequence boundaries and missing values. This approach achieves strong zero-shot forecasting by learning the 'grammar' of temporal patterns from diverse time series corpora.</w:t>
      </w:r>
    </w:p>
    <w:p>
      <w:pPr>
        <w:pStyle w:val="Normal"/>
      </w:pPr>
      <w:r>
        <w:t xml:space="preserve">TimesFM, developed by Google Research, represents a 200-million-parameter decoder-only forecasting model trained on a 100-billion-point time series corpus. Available through open-source release, TimesFM reports competitive zero-shot performance on Monash benchmarks and long-horizon ETT comparisons against PatchTST and LLMTime. The model's decoder-only architecture, inspired by language modeling, processes time series patches autoregressively to generate forecasts without requiring task-specific fine-tuning.</w:t>
      </w:r>
    </w:p>
    <w:p>
      <w:pPr>
        <w:pStyle w:val="Heading2"/>
      </w:pPr>
      <w:r>
        <w:t>2.9.2 LLMs for Time Series: Time-LLM and Related Approaches</w:t>
      </w:r>
    </w:p>
    <w:p>
      <w:pPr>
        <w:pStyle w:val="Normal"/>
      </w:pPr>
      <w:r>
        <w:t xml:space="preserve">Time-LLM, published at ICLR 2024, proposes a novel approach that reprograms pre-trained language models for time series forecasting without modifying the underlying model parameters. The key insight is that the sequential processing capabilities of LLMs, developed for language understanding, can be repurposed for temporal pattern recognition through input reprogramming and prompt-based conditioning. This approach demonstrates that LLMs contain transferable structural knowledge applicable beyond language, including pattern recognition, trend detection, and seasonal decomposition capabilities.</w:t>
      </w:r>
    </w:p>
    <w:p>
      <w:pPr>
        <w:pStyle w:val="Normal"/>
      </w:pPr>
      <w:r>
        <w:t xml:space="preserve">The PromptCast paradigm (TKDE 2023) introduced prompt-based learning for time series forecasting, framing forecasting tasks as natural language prompts and leveraging LLMs' in-context learning capabilities. Subsequent work including TEMPO (ICLR 2024) and S^2IP-LLM (ICML 2024) has extended this approach through specialized prompting strategies, semantic space alignment, and cross-modality transfer. These developments collectively establish a new subfield at the intersection of large language models and time series analysis, with implications for emotion transition modeling where sequential patterns must be understood in both temporal and semantic dimensions.</w:t>
      </w:r>
    </w:p>
    <w:p>
      <w:pPr>
        <w:pStyle w:val="Heading2"/>
      </w:pPr>
      <w:r>
        <w:t>2.9.3 Implications for Emotion Transition Modeling</w:t>
      </w:r>
    </w:p>
    <w:p>
      <w:pPr>
        <w:pStyle w:val="Normal"/>
      </w:pPr>
      <w:r>
        <w:t xml:space="preserve">The convergence of temporal foundation models and multimodal LLMs creates new opportunities for emotion transition modeling in conversations. The shared transformer architecture underlying both language and time series foundation models suggests that unified multimodal approaches may be feasible, where audio sequences and text sequences are processed through a single transformer backbone with modality-specific tokenization. Recent multimodal LLMs such as GPT-4V and Qwen3.5-122B, while not specifically designed for emotion recognition, demonstrate capabilities in processing visual, textual, and audio inputs simultaneously, though performance on emotion transition tasks remains limited (no model exceeds 50% average accuracy on the EmoTrans benchmark).</w:t>
      </w:r>
    </w:p>
    <w:p>
      <w:pPr>
        <w:pStyle w:val="Normal"/>
      </w:pPr>
      <w:r>
        <w:t xml:space="preserve">The practical implications for this thesis include: (1) the transformer architecture provides a unified framework for processing both temporal audio features and textual sequences; (2) pre-trained representations from both speech models (Wav2Vec 2.0) and language models (RoBERTa) can be leveraged through transfer learning; (3) sequential modeling techniques developed for time series (LSTM, attention) are directly applicable to modeling emotion transitions; and (4) the emerging class of temporal foundation models may provide improved sequential modeling capabilities as the field matures.</w:t>
      </w:r>
    </w:p>
    <w:tbl>
      <w:tblPr>
        <w:tblW w:w="5000" w:type="pct"/>
        <w:tblBorders>
          <w:top w:val="single" w:color="2D5F8A" w:sz="12"/>
          <w:left w:val="nil"/>
          <w:bottom w:val="single" w:color="2D5F8A" w:sz="12"/>
          <w:right w:val="nil"/>
          <w:insideH w:val="single" w:color="CCCCCC" w:sz="4"/>
          <w:insideV w:val="nil"/>
        </w:tblBorders>
      </w:tblPr>
      <w:tblGrid>
        <w:gridCol w:w="1800"/>
        <w:gridCol w:w="1800"/>
        <w:gridCol w:w="1800"/>
        <w:gridCol w:w="1800"/>
        <w:gridCol w:w="1800"/>
      </w:tblGrid>
      <w:tr>
        <w:trPr>
          <w:tblHeader/>
        </w:trPr>
        <w:tc>
          <w:tcPr>
            <w:tcW w:w="1800" w:type="dxa"/>
            <w:shd w:val="clear" w:color="auto" w:fill="EDF2F7"/>
          </w:tcPr>
          <w:p>
            <w:pPr>
              <w:jc w:val="center"/>
            </w:pPr>
            <w:r>
              <w:rPr>
                <w:rFonts w:ascii="Times New Roman" w:hAnsi="Times New Roman"/>
                <w:b/>
                <w:bCs/>
                <w:sz w:val="22"/>
              </w:rPr>
              <w:t>Model</w:t>
            </w:r>
          </w:p>
        </w:tc>
        <w:tc>
          <w:tcPr>
            <w:tcW w:w="1800" w:type="dxa"/>
            <w:shd w:val="clear" w:color="auto" w:fill="EDF2F7"/>
          </w:tcPr>
          <w:p>
            <w:pPr>
              <w:jc w:val="center"/>
            </w:pPr>
            <w:r>
              <w:rPr>
                <w:rFonts w:ascii="Times New Roman" w:hAnsi="Times New Roman"/>
                <w:b/>
                <w:bCs/>
                <w:sz w:val="22"/>
              </w:rPr>
              <w:t>Architecture</w:t>
            </w:r>
          </w:p>
        </w:tc>
        <w:tc>
          <w:tcPr>
            <w:tcW w:w="1800" w:type="dxa"/>
            <w:shd w:val="clear" w:color="auto" w:fill="EDF2F7"/>
          </w:tcPr>
          <w:p>
            <w:pPr>
              <w:jc w:val="center"/>
            </w:pPr>
            <w:r>
              <w:rPr>
                <w:rFonts w:ascii="Times New Roman" w:hAnsi="Times New Roman"/>
                <w:b/>
                <w:bCs/>
                <w:sz w:val="22"/>
              </w:rPr>
              <w:t>Parameters</w:t>
            </w:r>
          </w:p>
        </w:tc>
        <w:tc>
          <w:tcPr>
            <w:tcW w:w="1800" w:type="dxa"/>
            <w:shd w:val="clear" w:color="auto" w:fill="EDF2F7"/>
          </w:tcPr>
          <w:p>
            <w:pPr>
              <w:jc w:val="center"/>
            </w:pPr>
            <w:r>
              <w:rPr>
                <w:rFonts w:ascii="Times New Roman" w:hAnsi="Times New Roman"/>
                <w:b/>
                <w:bCs/>
                <w:sz w:val="22"/>
              </w:rPr>
              <w:t>Pre-training data</w:t>
            </w:r>
          </w:p>
        </w:tc>
        <w:tc>
          <w:tcPr>
            <w:tcW w:w="1800" w:type="dxa"/>
            <w:shd w:val="clear" w:color="auto" w:fill="EDF2F7"/>
          </w:tcPr>
          <w:p>
            <w:pPr>
              <w:jc w:val="center"/>
            </w:pPr>
            <w:r>
              <w:rPr>
                <w:rFonts w:ascii="Times New Roman" w:hAnsi="Times New Roman"/>
                <w:b/>
                <w:bCs/>
                <w:sz w:val="22"/>
              </w:rPr>
              <w:t>Key innovation</w:t>
            </w:r>
          </w:p>
        </w:tc>
      </w:tr>
      <w:tr>
        <w:tc>
          <w:tcPr>
            <w:tcW w:w="1800" w:type="dxa"/>
          </w:tcPr>
          <w:p>
            <w:pPr>
              <w:jc w:val="left"/>
            </w:pPr>
            <w:r>
              <w:rPr>
                <w:rFonts w:ascii="Times New Roman" w:hAnsi="Times New Roman"/>
                <w:sz w:val="22"/>
              </w:rPr>
              <w:t xml:space="preserve">TimesFM</w:t>
            </w:r>
          </w:p>
        </w:tc>
        <w:tc>
          <w:tcPr>
            <w:tcW w:w="1800" w:type="dxa"/>
          </w:tcPr>
          <w:p>
            <w:pPr>
              <w:jc w:val="left"/>
            </w:pPr>
            <w:r>
              <w:rPr>
                <w:rFonts w:ascii="Times New Roman" w:hAnsi="Times New Roman"/>
                <w:sz w:val="22"/>
              </w:rPr>
              <w:t xml:space="preserve">Decoder-only transformer</w:t>
            </w:r>
          </w:p>
        </w:tc>
        <w:tc>
          <w:tcPr>
            <w:tcW w:w="1800" w:type="dxa"/>
          </w:tcPr>
          <w:p>
            <w:pPr>
              <w:jc w:val="left"/>
            </w:pPr>
            <w:r>
              <w:rPr>
                <w:rFonts w:ascii="Times New Roman" w:hAnsi="Times New Roman"/>
                <w:sz w:val="22"/>
              </w:rPr>
              <w:t xml:space="preserve">200M</w:t>
            </w:r>
          </w:p>
        </w:tc>
        <w:tc>
          <w:tcPr>
            <w:tcW w:w="1800" w:type="dxa"/>
          </w:tcPr>
          <w:p>
            <w:pPr>
              <w:jc w:val="left"/>
            </w:pPr>
            <w:r>
              <w:rPr>
                <w:rFonts w:ascii="Times New Roman" w:hAnsi="Times New Roman"/>
                <w:sz w:val="22"/>
              </w:rPr>
              <w:t xml:space="preserve">100B time series points</w:t>
            </w:r>
          </w:p>
        </w:tc>
        <w:tc>
          <w:tcPr>
            <w:tcW w:w="1800" w:type="dxa"/>
          </w:tcPr>
          <w:p>
            <w:pPr>
              <w:jc w:val="left"/>
            </w:pPr>
            <w:r>
              <w:rPr>
                <w:rFonts w:ascii="Times New Roman" w:hAnsi="Times New Roman"/>
                <w:sz w:val="22"/>
              </w:rPr>
              <w:t xml:space="preserve">Zero-shot forecasting</w:t>
            </w:r>
          </w:p>
        </w:tc>
      </w:tr>
      <w:tr>
        <w:tc>
          <w:tcPr>
            <w:tcW w:w="1800" w:type="dxa"/>
          </w:tcPr>
          <w:p>
            <w:pPr>
              <w:jc w:val="left"/>
            </w:pPr>
            <w:r>
              <w:rPr>
                <w:rFonts w:ascii="Times New Roman" w:hAnsi="Times New Roman"/>
                <w:sz w:val="22"/>
              </w:rPr>
              <w:t xml:space="preserve">Chronos</w:t>
            </w:r>
          </w:p>
        </w:tc>
        <w:tc>
          <w:tcPr>
            <w:tcW w:w="1800" w:type="dxa"/>
          </w:tcPr>
          <w:p>
            <w:pPr>
              <w:jc w:val="left"/>
            </w:pPr>
            <w:r>
              <w:rPr>
                <w:rFonts w:ascii="Times New Roman" w:hAnsi="Times New Roman"/>
                <w:sz w:val="22"/>
              </w:rPr>
              <w:t xml:space="preserve">T5 encoder-decoder</w:t>
            </w:r>
          </w:p>
        </w:tc>
        <w:tc>
          <w:tcPr>
            <w:tcW w:w="1800" w:type="dxa"/>
          </w:tcPr>
          <w:p>
            <w:pPr>
              <w:jc w:val="left"/>
            </w:pPr>
            <w:r>
              <w:rPr>
                <w:rFonts w:ascii="Times New Roman" w:hAnsi="Times New Roman"/>
                <w:sz w:val="22"/>
              </w:rPr>
              <w:t xml:space="preserve">Up to 710M</w:t>
            </w:r>
          </w:p>
        </w:tc>
        <w:tc>
          <w:tcPr>
            <w:tcW w:w="1800" w:type="dxa"/>
          </w:tcPr>
          <w:p>
            <w:pPr>
              <w:jc w:val="left"/>
            </w:pPr>
            <w:r>
              <w:rPr>
                <w:rFonts w:ascii="Times New Roman" w:hAnsi="Times New Roman"/>
                <w:sz w:val="22"/>
              </w:rPr>
              <w:t xml:space="preserve">Large time series corpus</w:t>
            </w:r>
          </w:p>
        </w:tc>
        <w:tc>
          <w:tcPr>
            <w:tcW w:w="1800" w:type="dxa"/>
          </w:tcPr>
          <w:p>
            <w:pPr>
              <w:jc w:val="left"/>
            </w:pPr>
            <w:r>
              <w:rPr>
                <w:rFonts w:ascii="Times New Roman" w:hAnsi="Times New Roman"/>
                <w:sz w:val="22"/>
              </w:rPr>
              <w:t xml:space="preserve">Time series tokenization</w:t>
            </w:r>
          </w:p>
        </w:tc>
      </w:tr>
      <w:tr>
        <w:tc>
          <w:tcPr>
            <w:tcW w:w="1800" w:type="dxa"/>
          </w:tcPr>
          <w:p>
            <w:pPr>
              <w:jc w:val="left"/>
            </w:pPr>
            <w:r>
              <w:rPr>
                <w:rFonts w:ascii="Times New Roman" w:hAnsi="Times New Roman"/>
                <w:sz w:val="22"/>
              </w:rPr>
              <w:t xml:space="preserve">Moirai</w:t>
            </w:r>
          </w:p>
        </w:tc>
        <w:tc>
          <w:tcPr>
            <w:tcW w:w="1800" w:type="dxa"/>
          </w:tcPr>
          <w:p>
            <w:pPr>
              <w:jc w:val="left"/>
            </w:pPr>
            <w:r>
              <w:rPr>
                <w:rFonts w:ascii="Times New Roman" w:hAnsi="Times New Roman"/>
                <w:sz w:val="22"/>
              </w:rPr>
              <w:t xml:space="preserve">Transformer</w:t>
            </w:r>
          </w:p>
        </w:tc>
        <w:tc>
          <w:tcPr>
            <w:tcW w:w="1800" w:type="dxa"/>
          </w:tcPr>
          <w:p>
            <w:pPr>
              <w:jc w:val="left"/>
            </w:pPr>
            <w:r>
              <w:rPr>
                <w:rFonts w:ascii="Times New Roman" w:hAnsi="Times New Roman"/>
                <w:sz w:val="22"/>
              </w:rPr>
              <w:t xml:space="preserve">311M</w:t>
            </w:r>
          </w:p>
        </w:tc>
        <w:tc>
          <w:tcPr>
            <w:tcW w:w="1800" w:type="dxa"/>
          </w:tcPr>
          <w:p>
            <w:pPr>
              <w:jc w:val="left"/>
            </w:pPr>
            <w:r>
              <w:rPr>
                <w:rFonts w:ascii="Times New Roman" w:hAnsi="Times New Roman"/>
                <w:sz w:val="22"/>
              </w:rPr>
              <w:t xml:space="preserve">Large time series corpus</w:t>
            </w:r>
          </w:p>
        </w:tc>
        <w:tc>
          <w:tcPr>
            <w:tcW w:w="1800" w:type="dxa"/>
          </w:tcPr>
          <w:p>
            <w:pPr>
              <w:jc w:val="left"/>
            </w:pPr>
            <w:r>
              <w:rPr>
                <w:rFonts w:ascii="Times New Roman" w:hAnsi="Times New Roman"/>
                <w:sz w:val="22"/>
              </w:rPr>
              <w:t xml:space="preserve">Any-variate architecture</w:t>
            </w:r>
          </w:p>
        </w:tc>
      </w:tr>
      <w:tr>
        <w:tc>
          <w:tcPr>
            <w:tcW w:w="1800" w:type="dxa"/>
          </w:tcPr>
          <w:p>
            <w:pPr>
              <w:jc w:val="left"/>
            </w:pPr>
            <w:r>
              <w:rPr>
                <w:rFonts w:ascii="Times New Roman" w:hAnsi="Times New Roman"/>
                <w:sz w:val="22"/>
              </w:rPr>
              <w:t xml:space="preserve">Time-LLM</w:t>
            </w:r>
          </w:p>
        </w:tc>
        <w:tc>
          <w:tcPr>
            <w:tcW w:w="1800" w:type="dxa"/>
          </w:tcPr>
          <w:p>
            <w:pPr>
              <w:jc w:val="left"/>
            </w:pPr>
            <w:r>
              <w:rPr>
                <w:rFonts w:ascii="Times New Roman" w:hAnsi="Times New Roman"/>
                <w:sz w:val="22"/>
              </w:rPr>
              <w:t xml:space="preserve">Reprogrammed LLM</w:t>
            </w:r>
          </w:p>
        </w:tc>
        <w:tc>
          <w:tcPr>
            <w:tcW w:w="1800" w:type="dxa"/>
          </w:tcPr>
          <w:p>
            <w:pPr>
              <w:jc w:val="left"/>
            </w:pPr>
            <w:r>
              <w:rPr>
                <w:rFonts w:ascii="Times New Roman" w:hAnsi="Times New Roman"/>
                <w:sz w:val="22"/>
              </w:rPr>
              <w:t xml:space="preserve">Varies</w:t>
            </w:r>
          </w:p>
        </w:tc>
        <w:tc>
          <w:tcPr>
            <w:tcW w:w="1800" w:type="dxa"/>
          </w:tcPr>
          <w:p>
            <w:pPr>
              <w:jc w:val="left"/>
            </w:pPr>
            <w:r>
              <w:rPr>
                <w:rFonts w:ascii="Times New Roman" w:hAnsi="Times New Roman"/>
                <w:sz w:val="22"/>
              </w:rPr>
              <w:t xml:space="preserve">Pre-trained LLM</w:t>
            </w:r>
          </w:p>
        </w:tc>
        <w:tc>
          <w:tcPr>
            <w:tcW w:w="1800" w:type="dxa"/>
          </w:tcPr>
          <w:p>
            <w:pPr>
              <w:jc w:val="left"/>
            </w:pPr>
            <w:r>
              <w:rPr>
                <w:rFonts w:ascii="Times New Roman" w:hAnsi="Times New Roman"/>
                <w:sz w:val="22"/>
              </w:rPr>
              <w:t xml:space="preserve">Input reprogramming</w:t>
            </w:r>
          </w:p>
        </w:tc>
      </w:tr>
      <w:tr>
        <w:tc>
          <w:tcPr>
            <w:tcW w:w="1800" w:type="dxa"/>
          </w:tcPr>
          <w:p>
            <w:pPr>
              <w:jc w:val="left"/>
            </w:pPr>
            <w:r>
              <w:rPr>
                <w:rFonts w:ascii="Times New Roman" w:hAnsi="Times New Roman"/>
                <w:sz w:val="22"/>
              </w:rPr>
              <w:t xml:space="preserve">Lag-Llama</w:t>
            </w:r>
          </w:p>
        </w:tc>
        <w:tc>
          <w:tcPr>
            <w:tcW w:w="1800" w:type="dxa"/>
          </w:tcPr>
          <w:p>
            <w:pPr>
              <w:jc w:val="left"/>
            </w:pPr>
            <w:r>
              <w:rPr>
                <w:rFonts w:ascii="Times New Roman" w:hAnsi="Times New Roman"/>
                <w:sz w:val="22"/>
              </w:rPr>
              <w:t xml:space="preserve">Decoder-only</w:t>
            </w:r>
          </w:p>
        </w:tc>
        <w:tc>
          <w:tcPr>
            <w:tcW w:w="1800" w:type="dxa"/>
          </w:tcPr>
          <w:p>
            <w:pPr>
              <w:jc w:val="left"/>
            </w:pPr>
            <w:r>
              <w:rPr>
                <w:rFonts w:ascii="Times New Roman" w:hAnsi="Times New Roman"/>
                <w:sz w:val="22"/>
              </w:rPr>
              <w:t xml:space="preserve">~200M</w:t>
            </w:r>
          </w:p>
        </w:tc>
        <w:tc>
          <w:tcPr>
            <w:tcW w:w="1800" w:type="dxa"/>
          </w:tcPr>
          <w:p>
            <w:pPr>
              <w:jc w:val="left"/>
            </w:pPr>
            <w:r>
              <w:rPr>
                <w:rFonts w:ascii="Times New Roman" w:hAnsi="Times New Roman"/>
                <w:sz w:val="22"/>
              </w:rPr>
              <w:t xml:space="preserve">Diverse time series</w:t>
            </w:r>
          </w:p>
        </w:tc>
        <w:tc>
          <w:tcPr>
            <w:tcW w:w="1800" w:type="dxa"/>
          </w:tcPr>
          <w:p>
            <w:pPr>
              <w:jc w:val="left"/>
            </w:pPr>
            <w:r>
              <w:rPr>
                <w:rFonts w:ascii="Times New Roman" w:hAnsi="Times New Roman"/>
                <w:sz w:val="22"/>
              </w:rPr>
              <w:t xml:space="preserve">Probabilistic zero-shot</w:t>
            </w:r>
          </w:p>
        </w:tc>
      </w:tr>
    </w:tbl>
    <w:p>
      <w:pPr>
        <w:pStyle w:val="Caption"/>
      </w:pPr>
      <w:r>
        <w:t>Table 2.7: Overview of temporal foundation models and their characteristics</w:t>
      </w:r>
    </w:p>
    <w:p>
      <w:pPr>
        <w:pStyle w:val="Heading1"/>
      </w:pPr>
      <w:r>
        <w:t>2.10 Indonesian Research Context</w:t>
      </w:r>
    </w:p>
    <w:p>
      <w:pPr>
        <w:pStyle w:val="Heading2"/>
      </w:pPr>
      <w:r>
        <w:t>2.10.1 NLP Research in Indonesia</w:t>
      </w:r>
    </w:p>
    <w:p>
      <w:pPr>
        <w:pStyle w:val="Normal"/>
      </w:pPr>
      <w:r>
        <w:t xml:space="preserve">Natural language processing research in Indonesia has experienced significant growth, driven by the country's large population, digital transformation, and the recognition that NLP solutions must address the specific characteristics of the Indonesian language (Bahasa Indonesia). SINTA-indexed journals have published numerous studies on sentiment analysis applications in Indonesian contexts, reflecting the importance of understanding public opinion, customer feedback, and social media discourse in the country. These studies have predominantly utilized machine learning approaches including Support Vector Machines, Naive Bayes, and more recently deep learning methods including LSTM and transformer-based models.</w:t>
      </w:r>
    </w:p>
    <w:p>
      <w:pPr>
        <w:pStyle w:val="Normal"/>
      </w:pPr>
      <w:r>
        <w:t xml:space="preserve">The development of language-specific tools has been crucial for Indonesian NLP progress. The Sastrawi library, designed specifically for Indonesian text processing, provides stemming capabilities that reduce words to their base root forms, which is essential for text classification, sentiment analysis, and information retrieval tasks. Social media platforms, particularly X (formerly Twitter), have emerged as the most prevalent data sources for Indonesian sentiment analysis studies, alongside YouTube comments, Google Play Store reviews, and news article comments. These studies demonstrate the practical relevance of emotion and sentiment analysis in understanding Indonesian public discourse.</w:t>
      </w:r>
    </w:p>
    <w:p>
      <w:pPr>
        <w:pStyle w:val="Heading2"/>
      </w:pPr>
      <w:r>
        <w:t>2.10.2 Challenges and Opportunities</w:t>
      </w:r>
    </w:p>
    <w:p>
      <w:pPr>
        <w:pStyle w:val="Normal"/>
      </w:pPr>
      <w:r>
        <w:t xml:space="preserve">Despite growing research activity, Indonesian emotion recognition faces several challenges characteristic of low-resource languages. The availability of annotated emotion datasets in Indonesian is limited compared to English, constraining the development and evaluation of models. Code-switching between Indonesian and English, common in social media communication, adds complexity to preprocessing and modeling. The morphological richness of Indonesian, with extensive affixation patterns, requires specialized handling beyond standard English NLP pipelines. Additionally, emotional expression patterns may differ across cultures, raising questions about the transferability of emotion models trained primarily on English data.</w:t>
      </w:r>
    </w:p>
    <w:p>
      <w:pPr>
        <w:pStyle w:val="Normal"/>
      </w:pPr>
      <w:r>
        <w:t xml:space="preserve">These challenges present opportunities for research contributions including: the development of Indonesian-specific emotion recognition benchmarks; the creation of multimodal Indonesian emotion datasets incorporating audio and text; the adaptation of pre-trained multilingual models (such as XLM-RoBERTa) for Indonesian emotion analysis; and the investigation of cross-lingual transfer from high-resource to low-resource emotion recognition settings. The low-resource context makes the development of efficient, confidence-aware systems particularly relevant, as computational resources for training large models may be constrained.</w:t>
      </w:r>
    </w:p>
    <w:p>
      <w:pPr>
        <w:pStyle w:val="Heading2"/>
      </w:pPr>
      <w:r>
        <w:t>2.10.3 SINTA-Indexed Research Landscape</w:t>
      </w:r>
    </w:p>
    <w:p>
      <w:pPr>
        <w:pStyle w:val="Normal"/>
      </w:pPr>
      <w:r>
        <w:t xml:space="preserve">A survey of SINTA-indexed publications from 2023-2024 reveals that sentiment analysis remains the dominant affective computing task in Indonesian NLP research, with emotion recognition receiving comparatively less attention. Commonly applied machine learning algorithms include Naive Bayes, SVM, Random Forest, and various neural network architectures. Deep learning approaches, particularly LSTM and CNN, are increasingly adopted but pre-trained transformer models remain less commonly employed than in international research. This gap suggests opportunities for transfer learning approaches that leverage multilingual pre-trained models for Indonesian emotion recognition tasks.</w:t>
      </w:r>
    </w:p>
    <w:p>
      <w:pPr>
        <w:pStyle w:val="Heading1"/>
      </w:pPr>
      <w:r>
        <w:t>2.11 Research Gaps</w:t>
      </w:r>
    </w:p>
    <w:p>
      <w:pPr>
        <w:pStyle w:val="Normal"/>
      </w:pPr>
      <w:r>
        <w:t xml:space="preserve">The comprehensive literature review conducted across eight interconnected domains reveals several critical research gaps that this thesis addresses. These gaps represent both theoretical limitations in current understanding and practical deficiencies in existing systems that constrain the deployment of emotion-aware conversational AI.</w:t>
      </w:r>
    </w:p>
    <w:p>
      <w:pPr>
        <w:pStyle w:val="Heading2"/>
      </w:pPr>
      <w:r>
        <w:t>2.11.1 Conversational Emotion Transition Modeling</w:t>
      </w:r>
    </w:p>
    <w:p>
      <w:pPr>
        <w:pStyle w:val="Normal"/>
      </w:pPr>
      <w:r>
        <w:t xml:space="preserve">Despite extensive research on utterance-level emotion recognition, the modeling of emotional transitions between consecutive utterances remains underexplored. Current conversational emotion recognition systems predominantly classify each utterance independently or with limited context windows, failing to explicitly model the dynamics of emotional change. The EmoTrans benchmark (2026) demonstrated that even state-of-the-art multimodal LLMs achieve below 50% accuracy on emotion transition prediction tasks, indicating a significant capability gap. Research is needed on architectures that explicitly model transition probabilities between emotional states, incorporating speaker context, dialogue history, and turn-taking patterns.</w:t>
      </w:r>
    </w:p>
    <w:p>
      <w:pPr>
        <w:pStyle w:val="Heading2"/>
      </w:pPr>
      <w:r>
        <w:t>2.11.2 Multimodal Uncertainty-Aware Systems</w:t>
      </w:r>
    </w:p>
    <w:p>
      <w:pPr>
        <w:pStyle w:val="Normal"/>
      </w:pPr>
      <w:r>
        <w:t xml:space="preserve">The integration of uncertainty estimation and abstention mechanisms with multimodal emotion recognition has received limited attention. While selective classification has been extensively studied for unimodal image and tabular data, its application to multimodal emotion recognition in conversational settings remains largely unexplored. Existing multimodal emotion systems provide point predictions without reliability estimates, which is problematic for deployment in real-world applications where incorrect predictions carry consequences. The development of confidence-aware multimodal systems that can identify and abstain on uncertain predictions represents a critical gap at the intersection of uncertainty quantification and multimodal affective computing.</w:t>
      </w:r>
    </w:p>
    <w:p>
      <w:pPr>
        <w:pStyle w:val="Heading2"/>
      </w:pPr>
      <w:r>
        <w:t>2.11.3 Temporal-Textual Integration</w:t>
      </w:r>
    </w:p>
    <w:p>
      <w:pPr>
        <w:pStyle w:val="Normal"/>
      </w:pPr>
      <w:r>
        <w:t xml:space="preserve">While both temporal modeling (for audio sequences) and text modeling (for transcripts) are well-established individually, their principled integration for emotion transition modeling remains challenging. Current multimodal fusion approaches typically treat audio and text as co-occurring features within a single utterance, rather than modeling the temporal evolution of both modalities across a conversation. Architectures that jointly model the temporal dynamics of acoustic features and the sequential structure of linguistic content, while capturing cross-modal influences over time, are needed for comprehensive conversational emotion understanding.</w:t>
      </w:r>
    </w:p>
    <w:p>
      <w:pPr>
        <w:pStyle w:val="Heading2"/>
      </w:pPr>
      <w:r>
        <w:t>2.11.4 Real-Time Deployment Challenges</w:t>
      </w:r>
    </w:p>
    <w:p>
      <w:pPr>
        <w:pStyle w:val="Normal"/>
      </w:pPr>
      <w:r>
        <w:t xml:space="preserve">The gap between research prototypes and deployable real-time emotion recognition systems remains substantial. Most reported results are obtained in offline settings with access to complete conversations, while real-time applications must process streaming audio and text with minimal latency. The computational requirements of large transformer models (Wav2Vec 2.0 with 95M+ parameters, RoBERTa with 125M parameters) create deployment challenges for resource-constrained environments. Efficient architectures, model compression techniques, and streaming inference strategies are needed for practical deployment. Furthermore, the development of REST API interfaces and integration frameworks for conversational AI systems has not been systematically addressed in the academic literature.</w:t>
      </w:r>
    </w:p>
    <w:p>
      <w:pPr>
        <w:pStyle w:val="Heading2"/>
      </w:pPr>
      <w:r>
        <w:t>2.11.5 Explainability and Interpretability</w:t>
      </w:r>
    </w:p>
    <w:p>
      <w:pPr>
        <w:pStyle w:val="Normal"/>
      </w:pPr>
      <w:r>
        <w:t xml:space="preserve">The interpretability of multimodal emotion recognition decisions is essential for building trust and enabling human oversight, particularly in sensitive applications. Current deep learning approaches operate as 'black boxes,' providing predictions without explanations of which acoustic features, words, or contextual elements influenced the decision. The integration of explainability techniques with uncertainty estimation and abstention mechanisms would enable systems to not only identify uncertain predictions but also explain the sources of uncertainty, facilitating human-AI collaboration in emotion-aware applications.</w:t>
      </w:r>
    </w:p>
    <w:tbl>
      <w:tblPr>
        <w:tblW w:w="5000" w:type="pct"/>
        <w:tblBorders>
          <w:top w:val="single" w:color="2D5F8A" w:sz="12"/>
          <w:left w:val="nil"/>
          <w:bottom w:val="single" w:color="2D5F8A" w:sz="12"/>
          <w:right w:val="nil"/>
          <w:insideH w:val="single" w:color="CCCCCC" w:sz="4"/>
          <w:insideV w:val="nil"/>
        </w:tblBorders>
      </w:tblPr>
      <w:tblGrid>
        <w:gridCol w:w="2250"/>
        <w:gridCol w:w="2250"/>
        <w:gridCol w:w="2250"/>
        <w:gridCol w:w="2250"/>
      </w:tblGrid>
      <w:tr>
        <w:trPr>
          <w:tblHeader/>
        </w:trPr>
        <w:tc>
          <w:tcPr>
            <w:tcW w:w="2250" w:type="dxa"/>
            <w:shd w:val="clear" w:color="auto" w:fill="EDF2F7"/>
          </w:tcPr>
          <w:p>
            <w:pPr>
              <w:jc w:val="center"/>
            </w:pPr>
            <w:r>
              <w:rPr>
                <w:rFonts w:ascii="Times New Roman" w:hAnsi="Times New Roman"/>
                <w:b/>
                <w:bCs/>
                <w:sz w:val="22"/>
              </w:rPr>
              <w:t>Research gap</w:t>
            </w:r>
          </w:p>
        </w:tc>
        <w:tc>
          <w:tcPr>
            <w:tcW w:w="2250" w:type="dxa"/>
            <w:shd w:val="clear" w:color="auto" w:fill="EDF2F7"/>
          </w:tcPr>
          <w:p>
            <w:pPr>
              <w:jc w:val="center"/>
            </w:pPr>
            <w:r>
              <w:rPr>
                <w:rFonts w:ascii="Times New Roman" w:hAnsi="Times New Roman"/>
                <w:b/>
                <w:bCs/>
                <w:sz w:val="22"/>
              </w:rPr>
              <w:t>Current state</w:t>
            </w:r>
          </w:p>
        </w:tc>
        <w:tc>
          <w:tcPr>
            <w:tcW w:w="2250" w:type="dxa"/>
            <w:shd w:val="clear" w:color="auto" w:fill="EDF2F7"/>
          </w:tcPr>
          <w:p>
            <w:pPr>
              <w:jc w:val="center"/>
            </w:pPr>
            <w:r>
              <w:rPr>
                <w:rFonts w:ascii="Times New Roman" w:hAnsi="Times New Roman"/>
                <w:b/>
                <w:bCs/>
                <w:sz w:val="22"/>
              </w:rPr>
              <w:t>Needed advancement</w:t>
            </w:r>
          </w:p>
        </w:tc>
        <w:tc>
          <w:tcPr>
            <w:tcW w:w="2250" w:type="dxa"/>
            <w:shd w:val="clear" w:color="auto" w:fill="EDF2F7"/>
          </w:tcPr>
          <w:p>
            <w:pPr>
              <w:jc w:val="center"/>
            </w:pPr>
            <w:r>
              <w:rPr>
                <w:rFonts w:ascii="Times New Roman" w:hAnsi="Times New Roman"/>
                <w:b/>
                <w:bCs/>
                <w:sz w:val="22"/>
              </w:rPr>
              <w:t>Thesis contribution</w:t>
            </w:r>
          </w:p>
        </w:tc>
      </w:tr>
      <w:tr>
        <w:tc>
          <w:tcPr>
            <w:tcW w:w="2250" w:type="dxa"/>
          </w:tcPr>
          <w:p>
            <w:pPr>
              <w:jc w:val="left"/>
            </w:pPr>
            <w:r>
              <w:rPr>
                <w:rFonts w:ascii="Times New Roman" w:hAnsi="Times New Roman"/>
                <w:sz w:val="22"/>
              </w:rPr>
              <w:t xml:space="preserve">Emotion transition modeling</w:t>
            </w:r>
          </w:p>
        </w:tc>
        <w:tc>
          <w:tcPr>
            <w:tcW w:w="2250" w:type="dxa"/>
          </w:tcPr>
          <w:p>
            <w:pPr>
              <w:jc w:val="left"/>
            </w:pPr>
            <w:r>
              <w:rPr>
                <w:rFonts w:ascii="Times New Roman" w:hAnsi="Times New Roman"/>
                <w:sz w:val="22"/>
              </w:rPr>
              <w:t xml:space="preserve">Static utterance-level classification</w:t>
            </w:r>
          </w:p>
        </w:tc>
        <w:tc>
          <w:tcPr>
            <w:tcW w:w="2250" w:type="dxa"/>
          </w:tcPr>
          <w:p>
            <w:pPr>
              <w:jc w:val="left"/>
            </w:pPr>
            <w:r>
              <w:rPr>
                <w:rFonts w:ascii="Times New Roman" w:hAnsi="Times New Roman"/>
                <w:sz w:val="22"/>
              </w:rPr>
              <w:t xml:space="preserve">Sequential transition models</w:t>
            </w:r>
          </w:p>
        </w:tc>
        <w:tc>
          <w:tcPr>
            <w:tcW w:w="2250" w:type="dxa"/>
          </w:tcPr>
          <w:p>
            <w:pPr>
              <w:jc w:val="left"/>
            </w:pPr>
            <w:r>
              <w:rPr>
                <w:rFonts w:ascii="Times New Roman" w:hAnsi="Times New Roman"/>
                <w:sz w:val="22"/>
              </w:rPr>
              <w:t xml:space="preserve">LSTM-based transition modeling</w:t>
            </w:r>
          </w:p>
        </w:tc>
      </w:tr>
      <w:tr>
        <w:tc>
          <w:tcPr>
            <w:tcW w:w="2250" w:type="dxa"/>
          </w:tcPr>
          <w:p>
            <w:pPr>
              <w:jc w:val="left"/>
            </w:pPr>
            <w:r>
              <w:rPr>
                <w:rFonts w:ascii="Times New Roman" w:hAnsi="Times New Roman"/>
                <w:sz w:val="22"/>
              </w:rPr>
              <w:t xml:space="preserve">Uncertainty-aware multimodal systems</w:t>
            </w:r>
          </w:p>
        </w:tc>
        <w:tc>
          <w:tcPr>
            <w:tcW w:w="2250" w:type="dxa"/>
          </w:tcPr>
          <w:p>
            <w:pPr>
              <w:jc w:val="left"/>
            </w:pPr>
            <w:r>
              <w:rPr>
                <w:rFonts w:ascii="Times New Roman" w:hAnsi="Times New Roman"/>
                <w:sz w:val="22"/>
              </w:rPr>
              <w:t xml:space="preserve">Point predictions without confidence</w:t>
            </w:r>
          </w:p>
        </w:tc>
        <w:tc>
          <w:tcPr>
            <w:tcW w:w="2250" w:type="dxa"/>
          </w:tcPr>
          <w:p>
            <w:pPr>
              <w:jc w:val="left"/>
            </w:pPr>
            <w:r>
              <w:rPr>
                <w:rFonts w:ascii="Times New Roman" w:hAnsi="Times New Roman"/>
                <w:sz w:val="22"/>
              </w:rPr>
              <w:t xml:space="preserve">Entropy-based abstention</w:t>
            </w:r>
          </w:p>
        </w:tc>
        <w:tc>
          <w:tcPr>
            <w:tcW w:w="2250" w:type="dxa"/>
          </w:tcPr>
          <w:p>
            <w:pPr>
              <w:jc w:val="left"/>
            </w:pPr>
            <w:r>
              <w:rPr>
                <w:rFonts w:ascii="Times New Roman" w:hAnsi="Times New Roman"/>
                <w:sz w:val="22"/>
              </w:rPr>
              <w:t xml:space="preserve">Confidence-aware prediction</w:t>
            </w:r>
          </w:p>
        </w:tc>
      </w:tr>
      <w:tr>
        <w:tc>
          <w:tcPr>
            <w:tcW w:w="2250" w:type="dxa"/>
          </w:tcPr>
          <w:p>
            <w:pPr>
              <w:jc w:val="left"/>
            </w:pPr>
            <w:r>
              <w:rPr>
                <w:rFonts w:ascii="Times New Roman" w:hAnsi="Times New Roman"/>
                <w:sz w:val="22"/>
              </w:rPr>
              <w:t xml:space="preserve">Temporal-textual integration</w:t>
            </w:r>
          </w:p>
        </w:tc>
        <w:tc>
          <w:tcPr>
            <w:tcW w:w="2250" w:type="dxa"/>
          </w:tcPr>
          <w:p>
            <w:pPr>
              <w:jc w:val="left"/>
            </w:pPr>
            <w:r>
              <w:rPr>
                <w:rFonts w:ascii="Times New Roman" w:hAnsi="Times New Roman"/>
                <w:sz w:val="22"/>
              </w:rPr>
              <w:t xml:space="preserve">Feature concatenation</w:t>
            </w:r>
          </w:p>
        </w:tc>
        <w:tc>
          <w:tcPr>
            <w:tcW w:w="2250" w:type="dxa"/>
          </w:tcPr>
          <w:p>
            <w:pPr>
              <w:jc w:val="left"/>
            </w:pPr>
            <w:r>
              <w:rPr>
                <w:rFonts w:ascii="Times New Roman" w:hAnsi="Times New Roman"/>
                <w:sz w:val="22"/>
              </w:rPr>
              <w:t xml:space="preserve">Joint sequential modeling</w:t>
            </w:r>
          </w:p>
        </w:tc>
        <w:tc>
          <w:tcPr>
            <w:tcW w:w="2250" w:type="dxa"/>
          </w:tcPr>
          <w:p>
            <w:pPr>
              <w:jc w:val="left"/>
            </w:pPr>
            <w:r>
              <w:rPr>
                <w:rFonts w:ascii="Times New Roman" w:hAnsi="Times New Roman"/>
                <w:sz w:val="22"/>
              </w:rPr>
              <w:t xml:space="preserve">Multimodal LSTM fusion</w:t>
            </w:r>
          </w:p>
        </w:tc>
      </w:tr>
      <w:tr>
        <w:tc>
          <w:tcPr>
            <w:tcW w:w="2250" w:type="dxa"/>
          </w:tcPr>
          <w:p>
            <w:pPr>
              <w:jc w:val="left"/>
            </w:pPr>
            <w:r>
              <w:rPr>
                <w:rFonts w:ascii="Times New Roman" w:hAnsi="Times New Roman"/>
                <w:sz w:val="22"/>
              </w:rPr>
              <w:t xml:space="preserve">Real-time deployment</w:t>
            </w:r>
          </w:p>
        </w:tc>
        <w:tc>
          <w:tcPr>
            <w:tcW w:w="2250" w:type="dxa"/>
          </w:tcPr>
          <w:p>
            <w:pPr>
              <w:jc w:val="left"/>
            </w:pPr>
            <w:r>
              <w:rPr>
                <w:rFonts w:ascii="Times New Roman" w:hAnsi="Times New Roman"/>
                <w:sz w:val="22"/>
              </w:rPr>
              <w:t xml:space="preserve">Offline batch processing</w:t>
            </w:r>
          </w:p>
        </w:tc>
        <w:tc>
          <w:tcPr>
            <w:tcW w:w="2250" w:type="dxa"/>
          </w:tcPr>
          <w:p>
            <w:pPr>
              <w:jc w:val="left"/>
            </w:pPr>
            <w:r>
              <w:rPr>
                <w:rFonts w:ascii="Times New Roman" w:hAnsi="Times New Roman"/>
                <w:sz w:val="22"/>
              </w:rPr>
              <w:t xml:space="preserve">Streaming inference</w:t>
            </w:r>
          </w:p>
        </w:tc>
        <w:tc>
          <w:tcPr>
            <w:tcW w:w="2250" w:type="dxa"/>
          </w:tcPr>
          <w:p>
            <w:pPr>
              <w:jc w:val="left"/>
            </w:pPr>
            <w:r>
              <w:rPr>
                <w:rFonts w:ascii="Times New Roman" w:hAnsi="Times New Roman"/>
                <w:sz w:val="22"/>
              </w:rPr>
              <w:t xml:space="preserve">REST API implementation</w:t>
            </w:r>
          </w:p>
        </w:tc>
      </w:tr>
      <w:tr>
        <w:tc>
          <w:tcPr>
            <w:tcW w:w="2250" w:type="dxa"/>
          </w:tcPr>
          <w:p>
            <w:pPr>
              <w:jc w:val="left"/>
            </w:pPr>
            <w:r>
              <w:rPr>
                <w:rFonts w:ascii="Times New Roman" w:hAnsi="Times New Roman"/>
                <w:sz w:val="22"/>
              </w:rPr>
              <w:t xml:space="preserve">Explainability</w:t>
            </w:r>
          </w:p>
        </w:tc>
        <w:tc>
          <w:tcPr>
            <w:tcW w:w="2250" w:type="dxa"/>
          </w:tcPr>
          <w:p>
            <w:pPr>
              <w:jc w:val="left"/>
            </w:pPr>
            <w:r>
              <w:rPr>
                <w:rFonts w:ascii="Times New Roman" w:hAnsi="Times New Roman"/>
                <w:sz w:val="22"/>
              </w:rPr>
              <w:t xml:space="preserve">Black-box predictions</w:t>
            </w:r>
          </w:p>
        </w:tc>
        <w:tc>
          <w:tcPr>
            <w:tcW w:w="2250" w:type="dxa"/>
          </w:tcPr>
          <w:p>
            <w:pPr>
              <w:jc w:val="left"/>
            </w:pPr>
            <w:r>
              <w:rPr>
                <w:rFonts w:ascii="Times New Roman" w:hAnsi="Times New Roman"/>
                <w:sz w:val="22"/>
              </w:rPr>
              <w:t xml:space="preserve">Uncertainty attribution</w:t>
            </w:r>
          </w:p>
        </w:tc>
        <w:tc>
          <w:tcPr>
            <w:tcW w:w="2250" w:type="dxa"/>
          </w:tcPr>
          <w:p>
            <w:pPr>
              <w:jc w:val="left"/>
            </w:pPr>
            <w:r>
              <w:rPr>
                <w:rFonts w:ascii="Times New Roman" w:hAnsi="Times New Roman"/>
                <w:sz w:val="22"/>
              </w:rPr>
              <w:t xml:space="preserve">Confidence visualization</w:t>
            </w:r>
          </w:p>
        </w:tc>
      </w:tr>
    </w:tbl>
    <w:p>
      <w:pPr>
        <w:pStyle w:val="Caption"/>
      </w:pPr>
      <w:r>
        <w:t>Table 2.8: Summary of identified research gaps and thesis contributions</w:t>
      </w:r>
    </w:p>
    <w:p>
      <w:pPr>
        <w:pStyle w:val="Heading1"/>
      </w:pPr>
      <w:r>
        <w:t>2.12 Potential Thesis Contribution</w:t>
      </w:r>
    </w:p>
    <w:p>
      <w:pPr>
        <w:pStyle w:val="Heading2"/>
      </w:pPr>
      <w:r>
        <w:t>2.12.1 Novelty and Research Positioning</w:t>
      </w:r>
    </w:p>
    <w:p>
      <w:pPr>
        <w:pStyle w:val="Normal"/>
      </w:pPr>
      <w:r>
        <w:t xml:space="preserve">This thesis addresses the identified research gaps through a novel framework for Multimodal Emotion Transition Modeling in Conversations using Sequential Models. The proposed research makes contributions at the intersection of speech emotion recognition, text emotion recognition, sequential modeling, and confidence-aware prediction. Unlike existing approaches that treat emotion recognition as static classification, this thesis explicitly models emotional transitions between consecutive utterances using Long Short-Term Memory networks that capture temporal dependencies in multimodal feature sequences.</w:t>
      </w:r>
    </w:p>
    <w:p>
      <w:pPr>
        <w:pStyle w:val="Normal"/>
      </w:pPr>
      <w:r>
        <w:t xml:space="preserve">The novelty of this research lies in four key aspects. First, the explicit modeling of emotion transitions rather than static emotional states provides a more complete representation of conversational affective dynamics. Second, the integration of entropy-based abstention with multimodal emotion recognition creates a confidence-aware system capable of identifying and deferring uncertain predictions, enhancing reliability for real-world deployment. Third, the development of a deployable system architecture including REST API integration demonstrates the practical feasibility of emotion-aware conversational AI beyond research prototypes. Fourth, the application to the IEMOCAP dataset with comprehensive evaluation of transition prediction accuracy provides empirical validation of the proposed approach on a standard benchmark.</w:t>
      </w:r>
    </w:p>
    <w:p>
      <w:pPr>
        <w:pStyle w:val="Heading2"/>
      </w:pPr>
      <w:r>
        <w:t>2.12.2 Scientific Contribution</w:t>
      </w:r>
    </w:p>
    <w:p>
      <w:pPr>
        <w:pStyle w:val="Normal"/>
      </w:pPr>
      <w:r>
        <w:t xml:space="preserve">The scientific contributions of this thesis include: (1) a formal framework for representing conversational emotion data as multivariate time series that captures both intra-utterance features and inter-utterance transitions; (2) a multimodal fusion architecture that combines Wav2Vec 2.0 audio representations with RoBERTa text embeddings through LSTM-based sequential processing; (3) an entropy-based abstention mechanism that enables selective classification based on prediction uncertainty; and (4) empirical analysis of emotion transition patterns in the IEMOCAP dataset that characterizes the predictability and dynamics of affective state changes in dyadic conversations.</w:t>
      </w:r>
    </w:p>
    <w:p>
      <w:pPr>
        <w:pStyle w:val="Heading2"/>
      </w:pPr>
      <w:r>
        <w:t>2.12.3 Practical Contribution</w:t>
      </w:r>
    </w:p>
    <w:p>
      <w:pPr>
        <w:pStyle w:val="Normal"/>
      </w:pPr>
      <w:r>
        <w:t xml:space="preserve">The practical contributions include: (1) an open-source implementation of the multimodal emotion transition recognition system with documented APIs; (2) a REST API service enabling real-time emotion analysis of conversational audio and text; (3) integration guidelines for incorporating emotion recognition into conversational AI systems; and (4) evaluation protocols for assessing both emotion classification accuracy and transition prediction performance. These contributions bridge the gap between research prototypes and deployable systems, facilitating the adoption of emotion-aware technologies in customer service, mental health support, and human-computer interaction applications.</w:t>
      </w:r>
    </w:p>
    <w:p>
      <w:pPr>
        <w:pStyle w:val="Heading2"/>
      </w:pPr>
      <w:r>
        <w:t>2.12.4 Future Applicability</w:t>
      </w:r>
    </w:p>
    <w:p>
      <w:pPr>
        <w:pStyle w:val="Normal"/>
      </w:pPr>
      <w:r>
        <w:t xml:space="preserve">The framework developed in this thesis provides a foundation for several extensions and applications. Future work may incorporate visual features (facial expressions) to create trimodal emotion recognition systems. The transition modeling approach can be extended to more complex dialogue structures including multi-party conversations. The confidence-aware prediction framework can be enhanced with Bayesian neural networks or ensemble methods for improved uncertainty estimation. Finally, the deployment architecture can be extended to support edge computing and federated learning scenarios for privacy-preserving emotion recognition.</w:t>
      </w:r>
    </w:p>
    <w:p>
      <w:pPr>
        <w:pStyle w:val="Heading1"/>
      </w:pPr>
      <w:r>
        <w:t>References</w:t>
      </w:r>
    </w:p>
    <w:p>
      <w:pPr>
        <w:spacing w:after="120"/>
        <w:ind w:left="720" w:hanging="720"/>
      </w:pPr>
      <w:r>
        <w:rPr>
          <w:rFonts w:ascii="Times New Roman" w:hAnsi="Times New Roman"/>
          <w:sz w:val="22"/>
        </w:rPr>
        <w:t xml:space="preserve">Poria, S., Cambria, E., Hazarika, D., &amp; Kwok, K. (2017). A Deeper Look into Sarcastic Tweets Using Deep Convolutional Neural Networks. arXiv preprint arXiv:1610.08815.</w:t>
      </w:r>
    </w:p>
    <w:p>
      <w:pPr>
        <w:spacing w:after="120"/>
        <w:ind w:left="720" w:hanging="720"/>
      </w:pPr>
      <w:r>
        <w:rPr>
          <w:rFonts w:ascii="Times New Roman" w:hAnsi="Times New Roman"/>
          <w:sz w:val="22"/>
        </w:rPr>
        <w:t xml:space="preserve">Ghosal, D., Majumder, N., Poria, S., Chhaya, N., &amp; Gelbukh, A. (2019). DialogueGCN: A Graph Convolutional Neural Network for Emotion Recognition in Conversation. Proceedings of EMNLP-IJCNLP.</w:t>
      </w:r>
    </w:p>
    <w:p>
      <w:pPr>
        <w:spacing w:after="120"/>
        <w:ind w:left="720" w:hanging="720"/>
      </w:pPr>
      <w:r>
        <w:rPr>
          <w:rFonts w:ascii="Times New Roman" w:hAnsi="Times New Roman"/>
          <w:sz w:val="22"/>
        </w:rPr>
        <w:t xml:space="preserve">Majumder, N., Poria, S., Hazarika, D., Mihalcea, R., Gelbukh, A., &amp; Cambria, E. (2019). DialogueRNN: An Attentive RNN for Emotion Detection in Conversations. Proceedings of AAAI.</w:t>
      </w:r>
    </w:p>
    <w:p>
      <w:pPr>
        <w:spacing w:after="120"/>
        <w:ind w:left="720" w:hanging="720"/>
      </w:pPr>
      <w:r>
        <w:rPr>
          <w:rFonts w:ascii="Times New Roman" w:hAnsi="Times New Roman"/>
          <w:sz w:val="22"/>
        </w:rPr>
        <w:t xml:space="preserve">Devlin, J., Chang, M. W., Lee, K., &amp; Toutanova, K. (2019). BERT: Pre-training of Deep Bidirectional Transformers for Language Understanding. Proceedings of NAACL-HLT.</w:t>
      </w:r>
    </w:p>
    <w:p>
      <w:pPr>
        <w:spacing w:after="120"/>
        <w:ind w:left="720" w:hanging="720"/>
      </w:pPr>
      <w:r>
        <w:rPr>
          <w:rFonts w:ascii="Times New Roman" w:hAnsi="Times New Roman"/>
          <w:sz w:val="22"/>
        </w:rPr>
        <w:t xml:space="preserve">Liu, Y., Ott, M., Goyal, N., Du, J., Joshi, M., Chen, D., Levy, O., Lewis, M., Zettlemoyer, L., &amp; Stoyanov, V. (2019). RoBERTa: A Robustly Optimized BERT Pretraining Approach. arXiv preprint arXiv:1907.11692.</w:t>
      </w:r>
    </w:p>
    <w:p>
      <w:pPr>
        <w:spacing w:after="120"/>
        <w:ind w:left="720" w:hanging="720"/>
      </w:pPr>
      <w:r>
        <w:rPr>
          <w:rFonts w:ascii="Times New Roman" w:hAnsi="Times New Roman"/>
          <w:sz w:val="22"/>
        </w:rPr>
        <w:t xml:space="preserve">Baevski, A., Zhou, H., Mohamed, A., &amp; Auli, M. (2020). wav2vec 2.0: A Framework for Self-Supervised Learning of Speech Representations. Advances in Neural Information Processing Systems, 33, 12449-12460.</w:t>
      </w:r>
    </w:p>
    <w:p>
      <w:pPr>
        <w:spacing w:after="120"/>
        <w:ind w:left="720" w:hanging="720"/>
      </w:pPr>
      <w:r>
        <w:rPr>
          <w:rFonts w:ascii="Times New Roman" w:hAnsi="Times New Roman"/>
          <w:sz w:val="22"/>
        </w:rPr>
        <w:t xml:space="preserve">Hsu, W. N., Bolte, B., Tsai, Y. H. H., Lakhotia, K., Salakhutdinov, R., &amp; Mohamed, A. (2021). HuBERT: Self-Supervised Speech Representation Learning by Masked Prediction of Hidden Units. IEEE/ACM Transactions on Audio, Speech, and Language Processing, 29, 3451-3460.</w:t>
      </w:r>
    </w:p>
    <w:p>
      <w:pPr>
        <w:spacing w:after="120"/>
        <w:ind w:left="720" w:hanging="720"/>
      </w:pPr>
      <w:r>
        <w:rPr>
          <w:rFonts w:ascii="Times New Roman" w:hAnsi="Times New Roman"/>
          <w:sz w:val="22"/>
        </w:rPr>
        <w:t xml:space="preserve">Busso, C., Bulut, M., Lee, C. C., Kazemzadeh, A., Mower, E., Kim, S., Chang, J. N., Lee, S., &amp; Narayanan, S. S. (2008). IEMOCAP: Interactive Emotional Dyadic Motion Capture Database. Language Resources and Evaluation, 42(4), 335-359.</w:t>
      </w:r>
    </w:p>
    <w:p>
      <w:pPr>
        <w:spacing w:after="120"/>
        <w:ind w:left="720" w:hanging="720"/>
      </w:pPr>
      <w:r>
        <w:rPr>
          <w:rFonts w:ascii="Times New Roman" w:hAnsi="Times New Roman"/>
          <w:sz w:val="22"/>
        </w:rPr>
        <w:t xml:space="preserve">Geifman, Y., &amp; El-Yaniv, R. (2017). Selective Classification for Deep Neural Networks. Advances in Neural Information Processing Systems, 30.</w:t>
      </w:r>
    </w:p>
    <w:p>
      <w:pPr>
        <w:spacing w:after="120"/>
        <w:ind w:left="720" w:hanging="720"/>
      </w:pPr>
      <w:r>
        <w:rPr>
          <w:rFonts w:ascii="Times New Roman" w:hAnsi="Times New Roman"/>
          <w:sz w:val="22"/>
        </w:rPr>
        <w:t xml:space="preserve">Geifman, Y., &amp; El-Yaniv, R. (2019). SelectiveNet: A Deep Neural Network with an Integrated Reject Option. Proceedings of ICML.</w:t>
      </w:r>
    </w:p>
    <w:p>
      <w:pPr>
        <w:spacing w:after="120"/>
        <w:ind w:left="720" w:hanging="720"/>
      </w:pPr>
      <w:r>
        <w:rPr>
          <w:rFonts w:ascii="Times New Roman" w:hAnsi="Times New Roman"/>
          <w:sz w:val="22"/>
        </w:rPr>
        <w:t xml:space="preserve">Chow, C. K. (1970). On Optimum Recognition Error and Reject Tradeoff. IEEE Transactions on Information Theory, 16(1), 41-46.</w:t>
      </w:r>
    </w:p>
    <w:p>
      <w:pPr>
        <w:spacing w:after="120"/>
        <w:ind w:left="720" w:hanging="720"/>
      </w:pPr>
      <w:r>
        <w:rPr>
          <w:rFonts w:ascii="Times New Roman" w:hAnsi="Times New Roman"/>
          <w:sz w:val="22"/>
        </w:rPr>
        <w:t xml:space="preserve">Huang, G., Song, Y., Li, Z., &amp; Wu, K. (2020). Self-Adaptive Training: Less is More in Semi-Supervised Learning. arXiv preprint arXiv:2102.08610.</w:t>
      </w:r>
    </w:p>
    <w:p>
      <w:pPr>
        <w:spacing w:after="120"/>
        <w:ind w:left="720" w:hanging="720"/>
      </w:pPr>
      <w:r>
        <w:rPr>
          <w:rFonts w:ascii="Times New Roman" w:hAnsi="Times New Roman"/>
          <w:sz w:val="22"/>
        </w:rPr>
        <w:t xml:space="preserve">Feng, J., Li, J., &amp; Morariu, V. (2023). SAT+EM: Towards Better Selective Classification. arXiv preprint arXiv:2310.12501.</w:t>
      </w:r>
    </w:p>
    <w:p>
      <w:pPr>
        <w:spacing w:after="120"/>
        <w:ind w:left="720" w:hanging="720"/>
      </w:pPr>
      <w:r>
        <w:rPr>
          <w:rFonts w:ascii="Times New Roman" w:hAnsi="Times New Roman"/>
          <w:sz w:val="22"/>
        </w:rPr>
        <w:t xml:space="preserve">Jin, M., Wang, S., Ma, L., Chu, Z., Zhang, J. Y., Shi, X., Chen, P. Y., Liang, Y., Li, S. Y., Pan, S., &amp; Wen, Q. (2024). Time-LLM: Time Series Forecasting by Reprogramming Large Language Models. Proceedings of ICLR.</w:t>
      </w:r>
    </w:p>
    <w:p>
      <w:pPr>
        <w:spacing w:after="120"/>
        <w:ind w:left="720" w:hanging="720"/>
      </w:pPr>
      <w:r>
        <w:rPr>
          <w:rFonts w:ascii="Times New Roman" w:hAnsi="Times New Roman"/>
          <w:sz w:val="22"/>
        </w:rPr>
        <w:t xml:space="preserve">Ansari, A. F., Stella, L., Turkmen, C., Zhang, X., Mercado, P., Shen, H., Shchur, O., Rangapuram, S. S., Arango, S. P., Kapoor, S., Zhelov, J., Kummer, M., Wang, H., Manousakis, K., Yadav, A., Bohlke-Schneider, M., Kurle, R., Jin, X., Park, W., Wang, Y., Kan, J., Mahoney, M. W., Torkkola, K., Gordon, G., &amp; Wang, Y. (2024). Chronos: Learning the Language of Time Series. arXiv preprint arXiv:2403.07815.</w:t>
      </w:r>
    </w:p>
    <w:p>
      <w:pPr>
        <w:spacing w:after="120"/>
        <w:ind w:left="720" w:hanging="720"/>
      </w:pPr>
      <w:r>
        <w:rPr>
          <w:rFonts w:ascii="Times New Roman" w:hAnsi="Times New Roman"/>
          <w:sz w:val="22"/>
        </w:rPr>
        <w:t xml:space="preserve">Das, A., Kong, W., &amp; Sen, R. (2024). A Decoder-Only Foundation Model for Time-Series Forecasting. Proceedings of ICML.</w:t>
      </w:r>
    </w:p>
    <w:p>
      <w:pPr>
        <w:spacing w:after="120"/>
        <w:ind w:left="720" w:hanging="720"/>
      </w:pPr>
      <w:r>
        <w:rPr>
          <w:rFonts w:ascii="Times New Roman" w:hAnsi="Times New Roman"/>
          <w:sz w:val="22"/>
        </w:rPr>
        <w:t xml:space="preserve">Zadeh, A., Chen, M., Poria, S., Cambria, E., &amp; Morency, L. P. (2017). Tensor Fusion Network for Multimodal Sentiment Analysis. Proceedings of EMNLP.</w:t>
      </w:r>
    </w:p>
    <w:p>
      <w:pPr>
        <w:spacing w:after="120"/>
        <w:ind w:left="720" w:hanging="720"/>
      </w:pPr>
      <w:r>
        <w:rPr>
          <w:rFonts w:ascii="Times New Roman" w:hAnsi="Times New Roman"/>
          <w:sz w:val="22"/>
        </w:rPr>
        <w:t xml:space="preserve">Hazarika, D., Poria, S., Zadeh, A., Cambria, E., &amp; Morency, L. P. (2018). Conversational Memory Network for Emotion Recognition in Dyadic Dialogue Videos. Proceedings of NAACL.</w:t>
      </w:r>
    </w:p>
    <w:p>
      <w:pPr>
        <w:spacing w:after="120"/>
        <w:ind w:left="720" w:hanging="720"/>
      </w:pPr>
      <w:r>
        <w:rPr>
          <w:rFonts w:ascii="Times New Roman" w:hAnsi="Times New Roman"/>
          <w:sz w:val="22"/>
        </w:rPr>
        <w:t xml:space="preserve">Shen, W., Wu, S., Yang, Y., &amp; Quan, X. (2021). Directed Acyclic Graph Network for Conversational Emotion Recognition. Proceedings of ACL.</w:t>
      </w:r>
    </w:p>
    <w:p>
      <w:pPr>
        <w:spacing w:after="120"/>
        <w:ind w:left="720" w:hanging="720"/>
      </w:pPr>
      <w:r>
        <w:rPr>
          <w:rFonts w:ascii="Times New Roman" w:hAnsi="Times New Roman"/>
          <w:sz w:val="22"/>
        </w:rPr>
        <w:t xml:space="preserve">Hu, G., Liang, Y., Zhang, S., Li, G., &amp; Yu, P. S. (2023). SACL-LSTM: A Selective Attention and Contrastive Learning LSTM Model for Multimodal Emotion Recognition. Information Fusion.</w:t>
      </w:r>
    </w:p>
    <w:p>
      <w:pPr>
        <w:spacing w:after="120"/>
        <w:ind w:left="720" w:hanging="720"/>
      </w:pPr>
      <w:r>
        <w:rPr>
          <w:rFonts w:ascii="Times New Roman" w:hAnsi="Times New Roman"/>
          <w:sz w:val="22"/>
        </w:rPr>
        <w:t xml:space="preserve">Pepino, L., Riera, P., &amp; Ferrer, L. (2021). Emotion Recognition from Speech Using Wav2Vec 2.0 Embeddings. arXiv preprint arXiv:2104.03502.</w:t>
      </w:r>
    </w:p>
    <w:p>
      <w:pPr>
        <w:spacing w:after="120"/>
        <w:ind w:left="720" w:hanging="720"/>
      </w:pPr>
      <w:r>
        <w:rPr>
          <w:rFonts w:ascii="Times New Roman" w:hAnsi="Times New Roman"/>
          <w:sz w:val="22"/>
        </w:rPr>
        <w:t xml:space="preserve">Latif, S., Qadir, J., &amp; Bilal, M. (2023). A Lightweight Technique for Speech Emotion Recognition: Comparative Study of Pre-trained Models. Proceedings of INTERSPEECH.</w:t>
      </w:r>
    </w:p>
    <w:p>
      <w:pPr>
        <w:spacing w:after="120"/>
        <w:ind w:left="720" w:hanging="720"/>
      </w:pPr>
      <w:r>
        <w:rPr>
          <w:rFonts w:ascii="Times New Roman" w:hAnsi="Times New Roman"/>
          <w:sz w:val="22"/>
        </w:rPr>
        <w:t xml:space="preserve">Jatoth, A., Abri, F., &amp; Nguyen, T. (2025). Multimodal Emotion Detection and Analysis from Audio-Textual Data. Journal of Advances in Information Technology.</w:t>
      </w:r>
    </w:p>
    <w:p>
      <w:pPr>
        <w:spacing w:after="120"/>
        <w:ind w:left="720" w:hanging="720"/>
      </w:pPr>
      <w:r>
        <w:rPr>
          <w:rFonts w:ascii="Times New Roman" w:hAnsi="Times New Roman"/>
          <w:sz w:val="22"/>
        </w:rPr>
        <w:t xml:space="preserve">Ma, Z., Zheng, Z., Ye, J., Li, J., Gao, Z., &amp; Song, Y. (2024). emotion2vec: Self-Supervised Pre-Training for Speech Emotion Representation. Findings of ACL.</w:t>
      </w:r>
    </w:p>
    <w:p>
      <w:pPr>
        <w:spacing w:after="120"/>
        <w:ind w:left="720" w:hanging="720"/>
      </w:pPr>
      <w:r>
        <w:rPr>
          <w:rFonts w:ascii="Times New Roman" w:hAnsi="Times New Roman"/>
          <w:sz w:val="22"/>
        </w:rPr>
        <w:t xml:space="preserve">Li, J., &amp; Akagi, M. (2020). Multi-Task Learning with Dimensional and Categorical Emotion Recognition. Proceedings of ICASSP.</w:t>
      </w:r>
    </w:p>
    <w:p>
      <w:pPr>
        <w:spacing w:after="120"/>
        <w:ind w:left="720" w:hanging="720"/>
      </w:pPr>
      <w:r>
        <w:rPr>
          <w:rFonts w:ascii="Times New Roman" w:hAnsi="Times New Roman"/>
          <w:sz w:val="22"/>
        </w:rPr>
        <w:t xml:space="preserve">Yang, J., Zhu, H., Ren, Y., Liu, Y., Tao, J., Zhang, J., &amp; Liu, Y. (2023). Ensemble Deep Learning with HuBERT for Speech Emotion Recognition. Proceedings of ICASSP.</w:t>
      </w:r>
    </w:p>
    <w:p>
      <w:pPr>
        <w:spacing w:after="120"/>
        <w:ind w:left="720" w:hanging="720"/>
      </w:pPr>
      <w:r>
        <w:rPr>
          <w:rFonts w:ascii="Times New Roman" w:hAnsi="Times New Roman"/>
          <w:sz w:val="22"/>
        </w:rPr>
        <w:t xml:space="preserve">Chakhtouna, A. (2023). Unveiling Embedded Features in Wav2Vec2 and HuBERT for Speech Emotion Recognition. Procedia Computer Science, 233, 714-723.</w:t>
      </w:r>
    </w:p>
    <w:p>
      <w:pPr>
        <w:spacing w:after="120"/>
        <w:ind w:left="720" w:hanging="720"/>
      </w:pPr>
      <w:r>
        <w:rPr>
          <w:rFonts w:ascii="Times New Roman" w:hAnsi="Times New Roman"/>
          <w:sz w:val="22"/>
        </w:rPr>
        <w:t xml:space="preserve">Nie, Y., Nguyen, N. H., Sinthong, P., &amp; Kalagnanam, J. (2023). A Time Series is Worth 64 Words: Long-Term Forecasting with Transformers. Proceedings of ICLR.</w:t>
      </w:r>
    </w:p>
    <w:p>
      <w:pPr>
        <w:spacing w:after="120"/>
        <w:ind w:left="720" w:hanging="720"/>
      </w:pPr>
      <w:r>
        <w:rPr>
          <w:rFonts w:ascii="Times New Roman" w:hAnsi="Times New Roman"/>
          <w:sz w:val="22"/>
        </w:rPr>
        <w:t xml:space="preserve">Liu, Y., Wu, H., Zhang, J., Liang, S., &amp; Wang, M. (2024). iTransformer: Inverted Transformers Are Effective for Time Series Forecasting. Proceedings of ICLR.</w:t>
      </w:r>
    </w:p>
    <w:p>
      <w:pPr>
        <w:spacing w:after="120"/>
        <w:ind w:left="720" w:hanging="720"/>
      </w:pPr>
      <w:r>
        <w:rPr>
          <w:rFonts w:ascii="Times New Roman" w:hAnsi="Times New Roman"/>
          <w:sz w:val="22"/>
        </w:rPr>
        <w:t xml:space="preserve">Kottapalli, S. K., et al. (2025). Foundation Models for Time Series: A Survey. arXiv preprint arXiv:2504.04011.</w:t>
      </w:r>
    </w:p>
    <w:p>
      <w:pPr>
        <w:pStyle w:val="Heading1"/>
      </w:pPr>
      <w:r>
        <w:t>Key Authors and Contributions</w:t>
      </w:r>
    </w:p>
    <w:tbl>
      <w:tblPr>
        <w:tblW w:w="5000" w:type="pct"/>
        <w:tblBorders>
          <w:top w:val="single" w:color="2D5F8A" w:sz="12"/>
          <w:left w:val="nil"/>
          <w:bottom w:val="single" w:color="2D5F8A" w:sz="12"/>
          <w:right w:val="nil"/>
          <w:insideH w:val="single" w:color="CCCCCC" w:sz="4"/>
          <w:insideV w:val="nil"/>
        </w:tblBorders>
      </w:tblPr>
      <w:tblGrid>
        <w:gridCol w:w="3000"/>
        <w:gridCol w:w="3000"/>
        <w:gridCol w:w="3000"/>
      </w:tblGrid>
      <w:tr>
        <w:trPr>
          <w:tblHeader/>
        </w:trPr>
        <w:tc>
          <w:tcPr>
            <w:tcW w:w="3000" w:type="dxa"/>
            <w:shd w:val="clear" w:color="auto" w:fill="EDF2F7"/>
          </w:tcPr>
          <w:p>
            <w:pPr>
              <w:jc w:val="center"/>
            </w:pPr>
            <w:r>
              <w:rPr>
                <w:rFonts w:ascii="Times New Roman" w:hAnsi="Times New Roman"/>
                <w:b/>
                <w:bCs/>
                <w:sz w:val="22"/>
              </w:rPr>
              <w:t>Author(s)</w:t>
            </w:r>
          </w:p>
        </w:tc>
        <w:tc>
          <w:tcPr>
            <w:tcW w:w="3000" w:type="dxa"/>
            <w:shd w:val="clear" w:color="auto" w:fill="EDF2F7"/>
          </w:tcPr>
          <w:p>
            <w:pPr>
              <w:jc w:val="center"/>
            </w:pPr>
            <w:r>
              <w:rPr>
                <w:rFonts w:ascii="Times New Roman" w:hAnsi="Times New Roman"/>
                <w:b/>
                <w:bCs/>
                <w:sz w:val="22"/>
              </w:rPr>
              <w:t>Contribution</w:t>
            </w:r>
          </w:p>
        </w:tc>
        <w:tc>
          <w:tcPr>
            <w:tcW w:w="3000" w:type="dxa"/>
            <w:shd w:val="clear" w:color="auto" w:fill="EDF2F7"/>
          </w:tcPr>
          <w:p>
            <w:pPr>
              <w:jc w:val="center"/>
            </w:pPr>
            <w:r>
              <w:rPr>
                <w:rFonts w:ascii="Times New Roman" w:hAnsi="Times New Roman"/>
                <w:b/>
                <w:bCs/>
                <w:sz w:val="22"/>
              </w:rPr>
              <w:t>Representative work</w:t>
            </w:r>
          </w:p>
        </w:tc>
      </w:tr>
      <w:tr>
        <w:tc>
          <w:tcPr>
            <w:tcW w:w="3000" w:type="dxa"/>
          </w:tcPr>
          <w:p>
            <w:pPr>
              <w:jc w:val="left"/>
            </w:pPr>
            <w:r>
              <w:rPr>
                <w:rFonts w:ascii="Times New Roman" w:hAnsi="Times New Roman"/>
                <w:sz w:val="22"/>
              </w:rPr>
              <w:t xml:space="preserve">Poria et al.</w:t>
            </w:r>
          </w:p>
        </w:tc>
        <w:tc>
          <w:tcPr>
            <w:tcW w:w="3000" w:type="dxa"/>
          </w:tcPr>
          <w:p>
            <w:pPr>
              <w:jc w:val="left"/>
            </w:pPr>
            <w:r>
              <w:rPr>
                <w:rFonts w:ascii="Times New Roman" w:hAnsi="Times New Roman"/>
                <w:sz w:val="22"/>
              </w:rPr>
              <w:t xml:space="preserve">Conversational emotion recognition</w:t>
            </w:r>
          </w:p>
        </w:tc>
        <w:tc>
          <w:tcPr>
            <w:tcW w:w="3000" w:type="dxa"/>
          </w:tcPr>
          <w:p>
            <w:pPr>
              <w:jc w:val="left"/>
            </w:pPr>
            <w:r>
              <w:rPr>
                <w:rFonts w:ascii="Times New Roman" w:hAnsi="Times New Roman"/>
                <w:sz w:val="22"/>
              </w:rPr>
              <w:t xml:space="preserve">DialogueRNN, multimodal surveys</w:t>
            </w:r>
          </w:p>
        </w:tc>
      </w:tr>
      <w:tr>
        <w:tc>
          <w:tcPr>
            <w:tcW w:w="3000" w:type="dxa"/>
          </w:tcPr>
          <w:p>
            <w:pPr>
              <w:jc w:val="left"/>
            </w:pPr>
            <w:r>
              <w:rPr>
                <w:rFonts w:ascii="Times New Roman" w:hAnsi="Times New Roman"/>
                <w:sz w:val="22"/>
              </w:rPr>
              <w:t xml:space="preserve">Ghosal et al.</w:t>
            </w:r>
          </w:p>
        </w:tc>
        <w:tc>
          <w:tcPr>
            <w:tcW w:w="3000" w:type="dxa"/>
          </w:tcPr>
          <w:p>
            <w:pPr>
              <w:jc w:val="left"/>
            </w:pPr>
            <w:r>
              <w:rPr>
                <w:rFonts w:ascii="Times New Roman" w:hAnsi="Times New Roman"/>
                <w:sz w:val="22"/>
              </w:rPr>
              <w:t xml:space="preserve">Graph-based emotion recognition</w:t>
            </w:r>
          </w:p>
        </w:tc>
        <w:tc>
          <w:tcPr>
            <w:tcW w:w="3000" w:type="dxa"/>
          </w:tcPr>
          <w:p>
            <w:pPr>
              <w:jc w:val="left"/>
            </w:pPr>
            <w:r>
              <w:rPr>
                <w:rFonts w:ascii="Times New Roman" w:hAnsi="Times New Roman"/>
                <w:sz w:val="22"/>
              </w:rPr>
              <w:t xml:space="preserve">DialogueGCN</w:t>
            </w:r>
          </w:p>
        </w:tc>
      </w:tr>
      <w:tr>
        <w:tc>
          <w:tcPr>
            <w:tcW w:w="3000" w:type="dxa"/>
          </w:tcPr>
          <w:p>
            <w:pPr>
              <w:jc w:val="left"/>
            </w:pPr>
            <w:r>
              <w:rPr>
                <w:rFonts w:ascii="Times New Roman" w:hAnsi="Times New Roman"/>
                <w:sz w:val="22"/>
              </w:rPr>
              <w:t xml:space="preserve">Devlin et al.</w:t>
            </w:r>
          </w:p>
        </w:tc>
        <w:tc>
          <w:tcPr>
            <w:tcW w:w="3000" w:type="dxa"/>
          </w:tcPr>
          <w:p>
            <w:pPr>
              <w:jc w:val="left"/>
            </w:pPr>
            <w:r>
              <w:rPr>
                <w:rFonts w:ascii="Times New Roman" w:hAnsi="Times New Roman"/>
                <w:sz w:val="22"/>
              </w:rPr>
              <w:t xml:space="preserve">Transformer language models</w:t>
            </w:r>
          </w:p>
        </w:tc>
        <w:tc>
          <w:tcPr>
            <w:tcW w:w="3000" w:type="dxa"/>
          </w:tcPr>
          <w:p>
            <w:pPr>
              <w:jc w:val="left"/>
            </w:pPr>
            <w:r>
              <w:rPr>
                <w:rFonts w:ascii="Times New Roman" w:hAnsi="Times New Roman"/>
                <w:sz w:val="22"/>
              </w:rPr>
              <w:t xml:space="preserve">BERT</w:t>
            </w:r>
          </w:p>
        </w:tc>
      </w:tr>
      <w:tr>
        <w:tc>
          <w:tcPr>
            <w:tcW w:w="3000" w:type="dxa"/>
          </w:tcPr>
          <w:p>
            <w:pPr>
              <w:jc w:val="left"/>
            </w:pPr>
            <w:r>
              <w:rPr>
                <w:rFonts w:ascii="Times New Roman" w:hAnsi="Times New Roman"/>
                <w:sz w:val="22"/>
              </w:rPr>
              <w:t xml:space="preserve">Liu et al.</w:t>
            </w:r>
          </w:p>
        </w:tc>
        <w:tc>
          <w:tcPr>
            <w:tcW w:w="3000" w:type="dxa"/>
          </w:tcPr>
          <w:p>
            <w:pPr>
              <w:jc w:val="left"/>
            </w:pPr>
            <w:r>
              <w:rPr>
                <w:rFonts w:ascii="Times New Roman" w:hAnsi="Times New Roman"/>
                <w:sz w:val="22"/>
              </w:rPr>
              <w:t xml:space="preserve">Optimized transformer pretraining</w:t>
            </w:r>
          </w:p>
        </w:tc>
        <w:tc>
          <w:tcPr>
            <w:tcW w:w="3000" w:type="dxa"/>
          </w:tcPr>
          <w:p>
            <w:pPr>
              <w:jc w:val="left"/>
            </w:pPr>
            <w:r>
              <w:rPr>
                <w:rFonts w:ascii="Times New Roman" w:hAnsi="Times New Roman"/>
                <w:sz w:val="22"/>
              </w:rPr>
              <w:t xml:space="preserve">RoBERTa</w:t>
            </w:r>
          </w:p>
        </w:tc>
      </w:tr>
      <w:tr>
        <w:tc>
          <w:tcPr>
            <w:tcW w:w="3000" w:type="dxa"/>
          </w:tcPr>
          <w:p>
            <w:pPr>
              <w:jc w:val="left"/>
            </w:pPr>
            <w:r>
              <w:rPr>
                <w:rFonts w:ascii="Times New Roman" w:hAnsi="Times New Roman"/>
                <w:sz w:val="22"/>
              </w:rPr>
              <w:t xml:space="preserve">Baevski et al.</w:t>
            </w:r>
          </w:p>
        </w:tc>
        <w:tc>
          <w:tcPr>
            <w:tcW w:w="3000" w:type="dxa"/>
          </w:tcPr>
          <w:p>
            <w:pPr>
              <w:jc w:val="left"/>
            </w:pPr>
            <w:r>
              <w:rPr>
                <w:rFonts w:ascii="Times New Roman" w:hAnsi="Times New Roman"/>
                <w:sz w:val="22"/>
              </w:rPr>
              <w:t xml:space="preserve">Self-supervised speech learning</w:t>
            </w:r>
          </w:p>
        </w:tc>
        <w:tc>
          <w:tcPr>
            <w:tcW w:w="3000" w:type="dxa"/>
          </w:tcPr>
          <w:p>
            <w:pPr>
              <w:jc w:val="left"/>
            </w:pPr>
            <w:r>
              <w:rPr>
                <w:rFonts w:ascii="Times New Roman" w:hAnsi="Times New Roman"/>
                <w:sz w:val="22"/>
              </w:rPr>
              <w:t xml:space="preserve">Wav2Vec 2.0</w:t>
            </w:r>
          </w:p>
        </w:tc>
      </w:tr>
      <w:tr>
        <w:tc>
          <w:tcPr>
            <w:tcW w:w="3000" w:type="dxa"/>
          </w:tcPr>
          <w:p>
            <w:pPr>
              <w:jc w:val="left"/>
            </w:pPr>
            <w:r>
              <w:rPr>
                <w:rFonts w:ascii="Times New Roman" w:hAnsi="Times New Roman"/>
                <w:sz w:val="22"/>
              </w:rPr>
              <w:t xml:space="preserve">Geifman &amp; El-Yaniv</w:t>
            </w:r>
          </w:p>
        </w:tc>
        <w:tc>
          <w:tcPr>
            <w:tcW w:w="3000" w:type="dxa"/>
          </w:tcPr>
          <w:p>
            <w:pPr>
              <w:jc w:val="left"/>
            </w:pPr>
            <w:r>
              <w:rPr>
                <w:rFonts w:ascii="Times New Roman" w:hAnsi="Times New Roman"/>
                <w:sz w:val="22"/>
              </w:rPr>
              <w:t xml:space="preserve">Selective classification</w:t>
            </w:r>
          </w:p>
        </w:tc>
        <w:tc>
          <w:tcPr>
            <w:tcW w:w="3000" w:type="dxa"/>
          </w:tcPr>
          <w:p>
            <w:pPr>
              <w:jc w:val="left"/>
            </w:pPr>
            <w:r>
              <w:rPr>
                <w:rFonts w:ascii="Times New Roman" w:hAnsi="Times New Roman"/>
                <w:sz w:val="22"/>
              </w:rPr>
              <w:t xml:space="preserve">SelectiveNet</w:t>
            </w:r>
          </w:p>
        </w:tc>
      </w:tr>
      <w:tr>
        <w:tc>
          <w:tcPr>
            <w:tcW w:w="3000" w:type="dxa"/>
          </w:tcPr>
          <w:p>
            <w:pPr>
              <w:jc w:val="left"/>
            </w:pPr>
            <w:r>
              <w:rPr>
                <w:rFonts w:ascii="Times New Roman" w:hAnsi="Times New Roman"/>
                <w:sz w:val="22"/>
              </w:rPr>
              <w:t xml:space="preserve">Chow</w:t>
            </w:r>
          </w:p>
        </w:tc>
        <w:tc>
          <w:tcPr>
            <w:tcW w:w="3000" w:type="dxa"/>
          </w:tcPr>
          <w:p>
            <w:pPr>
              <w:jc w:val="left"/>
            </w:pPr>
            <w:r>
              <w:rPr>
                <w:rFonts w:ascii="Times New Roman" w:hAnsi="Times New Roman"/>
                <w:sz w:val="22"/>
              </w:rPr>
              <w:t xml:space="preserve">Optimal rejection theory</w:t>
            </w:r>
          </w:p>
        </w:tc>
        <w:tc>
          <w:tcPr>
            <w:tcW w:w="3000" w:type="dxa"/>
          </w:tcPr>
          <w:p>
            <w:pPr>
              <w:jc w:val="left"/>
            </w:pPr>
            <w:r>
              <w:rPr>
                <w:rFonts w:ascii="Times New Roman" w:hAnsi="Times New Roman"/>
                <w:sz w:val="22"/>
              </w:rPr>
              <w:t xml:space="preserve">Error-reject tradeoff</w:t>
            </w:r>
          </w:p>
        </w:tc>
      </w:tr>
      <w:tr>
        <w:tc>
          <w:tcPr>
            <w:tcW w:w="3000" w:type="dxa"/>
          </w:tcPr>
          <w:p>
            <w:pPr>
              <w:jc w:val="left"/>
            </w:pPr>
            <w:r>
              <w:rPr>
                <w:rFonts w:ascii="Times New Roman" w:hAnsi="Times New Roman"/>
                <w:sz w:val="22"/>
              </w:rPr>
              <w:t xml:space="preserve">Jin et al.</w:t>
            </w:r>
          </w:p>
        </w:tc>
        <w:tc>
          <w:tcPr>
            <w:tcW w:w="3000" w:type="dxa"/>
          </w:tcPr>
          <w:p>
            <w:pPr>
              <w:jc w:val="left"/>
            </w:pPr>
            <w:r>
              <w:rPr>
                <w:rFonts w:ascii="Times New Roman" w:hAnsi="Times New Roman"/>
                <w:sz w:val="22"/>
              </w:rPr>
              <w:t xml:space="preserve">LLMs for time series</w:t>
            </w:r>
          </w:p>
        </w:tc>
        <w:tc>
          <w:tcPr>
            <w:tcW w:w="3000" w:type="dxa"/>
          </w:tcPr>
          <w:p>
            <w:pPr>
              <w:jc w:val="left"/>
            </w:pPr>
            <w:r>
              <w:rPr>
                <w:rFonts w:ascii="Times New Roman" w:hAnsi="Times New Roman"/>
                <w:sz w:val="22"/>
              </w:rPr>
              <w:t xml:space="preserve">Time-LLM</w:t>
            </w:r>
          </w:p>
        </w:tc>
      </w:tr>
      <w:tr>
        <w:tc>
          <w:tcPr>
            <w:tcW w:w="3000" w:type="dxa"/>
          </w:tcPr>
          <w:p>
            <w:pPr>
              <w:jc w:val="left"/>
            </w:pPr>
            <w:r>
              <w:rPr>
                <w:rFonts w:ascii="Times New Roman" w:hAnsi="Times New Roman"/>
                <w:sz w:val="22"/>
              </w:rPr>
              <w:t xml:space="preserve">Ansari et al.</w:t>
            </w:r>
          </w:p>
        </w:tc>
        <w:tc>
          <w:tcPr>
            <w:tcW w:w="3000" w:type="dxa"/>
          </w:tcPr>
          <w:p>
            <w:pPr>
              <w:jc w:val="left"/>
            </w:pPr>
            <w:r>
              <w:rPr>
                <w:rFonts w:ascii="Times New Roman" w:hAnsi="Times New Roman"/>
                <w:sz w:val="22"/>
              </w:rPr>
              <w:t xml:space="preserve">Temporal foundation models</w:t>
            </w:r>
          </w:p>
        </w:tc>
        <w:tc>
          <w:tcPr>
            <w:tcW w:w="3000" w:type="dxa"/>
          </w:tcPr>
          <w:p>
            <w:pPr>
              <w:jc w:val="left"/>
            </w:pPr>
            <w:r>
              <w:rPr>
                <w:rFonts w:ascii="Times New Roman" w:hAnsi="Times New Roman"/>
                <w:sz w:val="22"/>
              </w:rPr>
              <w:t xml:space="preserve">Chronos</w:t>
            </w:r>
          </w:p>
        </w:tc>
      </w:tr>
      <w:tr>
        <w:tc>
          <w:tcPr>
            <w:tcW w:w="3000" w:type="dxa"/>
          </w:tcPr>
          <w:p>
            <w:pPr>
              <w:jc w:val="left"/>
            </w:pPr>
            <w:r>
              <w:rPr>
                <w:rFonts w:ascii="Times New Roman" w:hAnsi="Times New Roman"/>
                <w:sz w:val="22"/>
              </w:rPr>
              <w:t xml:space="preserve">Busso et al.</w:t>
            </w:r>
          </w:p>
        </w:tc>
        <w:tc>
          <w:tcPr>
            <w:tcW w:w="3000" w:type="dxa"/>
          </w:tcPr>
          <w:p>
            <w:pPr>
              <w:jc w:val="left"/>
            </w:pPr>
            <w:r>
              <w:rPr>
                <w:rFonts w:ascii="Times New Roman" w:hAnsi="Times New Roman"/>
                <w:sz w:val="22"/>
              </w:rPr>
              <w:t xml:space="preserve">Multimodal emotion corpus</w:t>
            </w:r>
          </w:p>
        </w:tc>
        <w:tc>
          <w:tcPr>
            <w:tcW w:w="3000" w:type="dxa"/>
          </w:tcPr>
          <w:p>
            <w:pPr>
              <w:jc w:val="left"/>
            </w:pPr>
            <w:r>
              <w:rPr>
                <w:rFonts w:ascii="Times New Roman" w:hAnsi="Times New Roman"/>
                <w:sz w:val="22"/>
              </w:rPr>
              <w:t xml:space="preserve">IEMOCAP dataset</w:t>
            </w:r>
          </w:p>
        </w:tc>
      </w:tr>
    </w:tbl>
    <w:p>
      <w:pPr>
        <w:pStyle w:val="Caption"/>
      </w:pPr>
      <w:r>
        <w:t>Table 2.9: Key authors and their contributions to emotion recognition research</w:t>
      </w:r>
    </w:p>
    <w:sectPr>
      <w:headerReference w:type="default" r:id="Rd1138acefc034099"/>
      <w:footerReference w:type="default" r:id="Rf8bc5ee05dd9498d"/>
      <w:pgSz w:w="11906" w:h="16838"/>
      <w:pgMar w:top="1440" w:right="1440" w:bottom="1440" w:left="1440" w:header="720" w:footer="720"/>
    </w:sectPr>
  </w:body>
</w:document>
</file>

<file path=word/footer1.xml><?xml version="1.0" encoding="utf-8"?>
<w:ftr xmlns:w="http://schemas.openxmlformats.org/wordprocessingml/2006/main">
  <w:p>
    <w:pPr>
      <w:jc w:val="center"/>
    </w:pPr>
    <w:r>
      <w:rPr>
        <w:rFonts w:ascii="Times New Roman" w:hAnsi="Times New Roman"/>
        <w:sz w:val="20"/>
      </w:rP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w:p>
    <w:pPr>
      <w:jc w:val="right"/>
    </w:pPr>
    <w:r>
      <w:rPr>
        <w:rFonts w:ascii="Times New Roman" w:hAnsi="Times New Roman"/>
        <w:i/>
        <w:color w:val="666666"/>
        <w:sz w:val="20"/>
      </w:rPr>
      <w:t>Chapter 2 — Literature Review and Theoretical Foundation</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before="0" w:after="200" w:line="360" w:lineRule="auto"/>
      <w:jc w:val="both"/>
    </w:pPr>
    <w:rPr>
      <w:rFonts w:ascii="Times New Roman" w:hAnsi="Times New Roman" w:eastAsia="Times New Roman"/>
      <w:color w:val="2D2D2D"/>
      <w:sz w:val="24"/>
      <w:szCs w:val="24"/>
    </w:rPr>
  </w:style>
  <w:style w:type="paragraph" w:styleId="Heading1">
    <w:name w:val="heading 1"/>
    <w:basedOn w:val="Normal"/>
    <w:pPr>
      <w:keepNext/>
      <w:keepLines/>
      <w:spacing w:before="480" w:after="240"/>
      <w:jc w:val="left"/>
      <w:outlineLvl w:val="0"/>
    </w:pPr>
    <w:rPr>
      <w:rFonts w:ascii="Times New Roman" w:hAnsi="Times New Roman" w:eastAsia="Times New Roman"/>
      <w:b/>
      <w:bCs/>
      <w:color w:val="1A3C5A"/>
      <w:sz w:val="36"/>
      <w:szCs w:val="36"/>
    </w:rPr>
  </w:style>
  <w:style w:type="paragraph" w:styleId="Heading2">
    <w:name w:val="heading 2"/>
    <w:basedOn w:val="Normal"/>
    <w:pPr>
      <w:keepNext/>
      <w:keepLines/>
      <w:spacing w:before="360" w:after="200"/>
      <w:jc w:val="left"/>
      <w:outlineLvl w:val="1"/>
    </w:pPr>
    <w:rPr>
      <w:rFonts w:ascii="Times New Roman" w:hAnsi="Times New Roman" w:eastAsia="Times New Roman"/>
      <w:b/>
      <w:bCs/>
      <w:color w:val="2D5F8A"/>
      <w:sz w:val="28"/>
      <w:szCs w:val="28"/>
    </w:rPr>
  </w:style>
  <w:style w:type="paragraph" w:styleId="Heading3">
    <w:name w:val="heading 3"/>
    <w:basedOn w:val="Normal"/>
    <w:pPr>
      <w:keepNext/>
      <w:keepLines/>
      <w:spacing w:before="280" w:after="160"/>
      <w:jc w:val="left"/>
      <w:outlineLvl w:val="2"/>
    </w:pPr>
    <w:rPr>
      <w:rFonts w:ascii="Times New Roman" w:hAnsi="Times New Roman" w:eastAsia="Times New Roman"/>
      <w:b/>
      <w:bCs/>
      <w:i/>
      <w:color w:val="4A7FB5"/>
      <w:sz w:val="26"/>
      <w:szCs w:val="26"/>
    </w:rPr>
  </w:style>
  <w:style w:type="paragraph" w:styleId="Caption">
    <w:name w:val="Caption"/>
    <w:basedOn w:val="Normal"/>
    <w:pPr>
      <w:spacing w:before="120" w:after="240"/>
      <w:jc w:val="center"/>
    </w:pPr>
    <w:rPr>
      <w:i/>
      <w:iCs/>
      <w:color w:val="666666"/>
      <w:sz w:val="20"/>
      <w:szCs w:val="20"/>
    </w:rPr>
  </w:style>
</w:styles>
</file>

<file path=word/_rels/document.xml.rels><?xml version='1.0' encoding='UTF-8'?>
<Relationships xmlns="http://schemas.openxmlformats.org/package/2006/relationships"><Relationship Type="http://schemas.openxmlformats.org/officeDocument/2006/relationships/styles" Target="styles.xml" Id="R569a264fbcc343e5" /><Relationship Type="http://schemas.openxmlformats.org/officeDocument/2006/relationships/settings" Target="settings.xml" Id="Rdcfe9772a2b54ba1" /><Relationship Type="http://schemas.openxmlformats.org/officeDocument/2006/relationships/header" Target="header1.xml" Id="Rd1138acefc034099" /><Relationship Type="http://schemas.openxmlformats.org/officeDocument/2006/relationships/footer" Target="footer1.xml" Id="Rf8bc5ee05dd9498d" /></Relationships>
</file>