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r>
        <w:tc>
          <w:tcPr>
            <w:tcW w:type="dxa" w:w="1838"/>
          </w:tcPr>
          <w:p>
            <w:r/>
            <w:r>
              <w:rPr>
                <w:color w:val="FFFFFF"/>
              </w:rPr>
              <w:t>ИНН: 6722040109</w:t>
              <w:br/>
              <w:t>ИНН: 6722040109</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4004010173</w:t>
              <w:br/>
              <w:t>ИНН: 4004010173</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7708586191</w:t>
              <w:br/>
              <w:t>ИНН: 7708586191</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1000013690</w:t>
              <w:br/>
              <w:t>ИНН: 1000013690</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6723018900</w:t>
              <w:br/>
              <w:t>ИНН: 6723018900</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4004011522</w:t>
              <w:br/>
              <w:t>ИНН: 4004011522</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1005080636</w:t>
              <w:br/>
              <w:t>ИНН: 1005080636</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1001240039</w:t>
              <w:br/>
              <w:t>ИНН: 1001240039</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4027088810</w:t>
              <w:br/>
              <w:t>ИНН: 4027088810</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7708160935</w:t>
              <w:br/>
              <w:t>ИНН: 7708160935</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4004010800</w:t>
              <w:br/>
              <w:t>ИНН: 4004010800</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7125024793</w:t>
              <w:br/>
              <w:t>ИНН: 7125024793</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7743379649</w:t>
              <w:br/>
              <w:t>ИНН: 7743379649</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7723128340</w:t>
              <w:br/>
              <w:t>ИНН: 7723128340</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7743663339</w:t>
              <w:br/>
              <w:t>ИНН: 7743663339</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7708582768</w:t>
              <w:br/>
              <w:t>ИНН: 7708582768</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7716021519</w:t>
              <w:br/>
              <w:t>ИНН: 7716021519</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771617209840</w:t>
              <w:br/>
              <w:t>ИНН: 771617209840</w:t>
            </w:r>
          </w:p>
        </w:tc>
        <w:tc>
          <w:tcPr>
            <w:tcW w:type="dxa" w:w="1843"/>
          </w:tcPr>
          <w:p>
            <w:r>
              <w:t>Бедрединов Сергей Викторович, , 13.10.2010, ИНН 771617209840</w:t>
            </w:r>
          </w:p>
        </w:tc>
        <w:tc>
          <w:tcPr>
            <w:tcW w:type="dxa" w:w="2021"/>
          </w:tcPr>
          <w:p>
            <w:r>
              <w:t>1) Брежнев Владимир Аркадьевич, ИНН 770400127478,100%</w:t>
            </w:r>
          </w:p>
        </w:tc>
        <w:tc>
          <w:tcPr>
            <w:tcW w:type="dxa" w:w="1419"/>
          </w:tcPr>
          <w:p>
            <w:r/>
          </w:p>
        </w:tc>
        <w:tc>
          <w:tcPr>
            <w:tcW w:type="dxa" w:w="2224"/>
          </w:tcPr>
          <w:p>
            <w:r/>
          </w:p>
        </w:tc>
      </w:tr>
      <w:tr>
        <w:tc>
          <w:tcPr>
            <w:tcW w:type="dxa" w:w="1838"/>
          </w:tcPr>
          <w:p>
            <w:r/>
            <w:r>
              <w:rPr>
                <w:color w:val="FFFFFF"/>
              </w:rPr>
              <w:t>ИНН: 7713101131</w:t>
              <w:br/>
              <w:t>ИНН: 7713101131</w:t>
            </w:r>
          </w:p>
        </w:tc>
        <w:tc>
          <w:tcPr>
            <w:tcW w:type="dxa" w:w="1843"/>
          </w:tcPr>
          <w:p>
            <w:r/>
          </w:p>
        </w:tc>
        <w:tc>
          <w:tcPr>
            <w:tcW w:type="dxa" w:w="2021"/>
          </w:tcPr>
          <w:p>
            <w:r/>
          </w:p>
        </w:tc>
        <w:tc>
          <w:tcPr>
            <w:tcW w:type="dxa" w:w="1419"/>
          </w:tcPr>
          <w:p>
            <w:r/>
          </w:p>
        </w:tc>
        <w:tc>
          <w:tcPr>
            <w:tcW w:type="dxa" w:w="2224"/>
          </w:tcPr>
          <w:p>
            <w:r/>
          </w:p>
        </w:tc>
      </w:tr>
      <w:tr>
        <w:tc>
          <w:tcPr>
            <w:tcW w:type="dxa" w:w="1838"/>
          </w:tcPr>
          <w:p>
            <w:r/>
            <w:r>
              <w:rPr>
                <w:color w:val="FFFFFF"/>
              </w:rPr>
              <w:t>ИНН: 7703297598</w:t>
              <w:br/>
              <w:t>ИНН: 7703297598</w:t>
            </w:r>
          </w:p>
        </w:tc>
        <w:tc>
          <w:tcPr>
            <w:tcW w:type="dxa" w:w="1843"/>
          </w:tcPr>
          <w:p>
            <w:r/>
          </w:p>
        </w:tc>
        <w:tc>
          <w:tcPr>
            <w:tcW w:type="dxa" w:w="2021"/>
          </w:tcPr>
          <w:p>
            <w:r/>
          </w:p>
        </w:tc>
        <w:tc>
          <w:tcPr>
            <w:tcW w:type="dxa" w:w="1419"/>
          </w:tcPr>
          <w:p>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