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8"/>
      </w:tblGrid>
      <w:tr w:rsidR="002140E8" w:rsidRPr="002140E8" w14:paraId="7656BAF0" w14:textId="77777777" w:rsidTr="009F5C2F">
        <w:tc>
          <w:tcPr>
            <w:tcW w:w="1384" w:type="dxa"/>
          </w:tcPr>
          <w:p w14:paraId="1FB46E27" w14:textId="77777777" w:rsidR="002140E8" w:rsidRPr="002140E8" w:rsidRDefault="002140E8" w:rsidP="002140E8">
            <w:pPr>
              <w:spacing w:after="100"/>
              <w:jc w:val="center"/>
              <w:rPr>
                <w:b/>
                <w:lang w:val="ru-RU"/>
              </w:rPr>
            </w:pPr>
            <w:r w:rsidRPr="002140E8">
              <w:rPr>
                <w:noProof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4229BD7A" wp14:editId="5656D4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7F281A4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D64689D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00E286C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высшего образования</w:t>
            </w:r>
          </w:p>
          <w:p w14:paraId="6A31ABD2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0E998968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имени Н.Э. Баумана</w:t>
            </w:r>
          </w:p>
          <w:p w14:paraId="333926C2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290C15C" w14:textId="77777777" w:rsidR="002140E8" w:rsidRPr="002140E8" w:rsidRDefault="002140E8" w:rsidP="00824800">
            <w:pPr>
              <w:spacing w:after="100" w:line="240" w:lineRule="auto"/>
              <w:jc w:val="center"/>
              <w:rPr>
                <w:b/>
                <w:lang w:val="ru-RU"/>
              </w:rPr>
            </w:pPr>
            <w:r w:rsidRPr="002140E8">
              <w:rPr>
                <w:b/>
                <w:lang w:val="ru-RU"/>
              </w:rPr>
              <w:t>(МГТУ им. Н.Э. Баумана)</w:t>
            </w:r>
          </w:p>
        </w:tc>
      </w:tr>
    </w:tbl>
    <w:p w14:paraId="784E8531" w14:textId="77777777" w:rsidR="002140E8" w:rsidRPr="002140E8" w:rsidRDefault="002140E8" w:rsidP="002140E8">
      <w:pPr>
        <w:spacing w:after="100"/>
        <w:jc w:val="center"/>
        <w:rPr>
          <w:b/>
          <w:lang w:val="ru-RU"/>
        </w:rPr>
      </w:pPr>
    </w:p>
    <w:p w14:paraId="77589A50" w14:textId="77777777" w:rsidR="002140E8" w:rsidRPr="002140E8" w:rsidRDefault="002140E8" w:rsidP="002140E8">
      <w:pPr>
        <w:spacing w:after="100"/>
        <w:jc w:val="center"/>
        <w:rPr>
          <w:b/>
          <w:lang w:val="ru-RU"/>
        </w:rPr>
      </w:pPr>
    </w:p>
    <w:p w14:paraId="1D24F676" w14:textId="77777777" w:rsidR="002140E8" w:rsidRPr="002140E8" w:rsidRDefault="002140E8" w:rsidP="002140E8">
      <w:pPr>
        <w:spacing w:after="100"/>
        <w:jc w:val="center"/>
        <w:rPr>
          <w:lang w:val="ru-RU"/>
        </w:rPr>
      </w:pPr>
      <w:r w:rsidRPr="002140E8">
        <w:rPr>
          <w:lang w:val="ru-RU"/>
        </w:rPr>
        <w:t xml:space="preserve">ФАКУЛЬТЕТ </w:t>
      </w:r>
      <w:r w:rsidRPr="002140E8">
        <w:rPr>
          <w:u w:val="single"/>
          <w:lang w:val="ru-RU"/>
        </w:rPr>
        <w:tab/>
        <w:t>ИНФОРМАТИКА И СИСТЕМЫ УПРАВЛЕНИЯ</w:t>
      </w:r>
      <w:r w:rsidRPr="002140E8">
        <w:rPr>
          <w:u w:val="single"/>
          <w:lang w:val="ru-RU"/>
        </w:rPr>
        <w:tab/>
      </w:r>
    </w:p>
    <w:p w14:paraId="2E0FC909" w14:textId="77777777" w:rsidR="002140E8" w:rsidRPr="002140E8" w:rsidRDefault="002140E8" w:rsidP="002140E8">
      <w:pPr>
        <w:spacing w:after="100"/>
        <w:jc w:val="center"/>
        <w:rPr>
          <w:lang w:val="ru-RU"/>
        </w:rPr>
      </w:pPr>
    </w:p>
    <w:p w14:paraId="2EA032A4" w14:textId="77777777" w:rsidR="002140E8" w:rsidRPr="002140E8" w:rsidRDefault="002140E8" w:rsidP="002140E8">
      <w:pPr>
        <w:spacing w:after="100"/>
        <w:jc w:val="center"/>
        <w:rPr>
          <w:lang w:val="ru-RU"/>
        </w:rPr>
      </w:pPr>
      <w:r w:rsidRPr="002140E8">
        <w:rPr>
          <w:lang w:val="ru-RU"/>
        </w:rPr>
        <w:t xml:space="preserve">КАФЕДРА </w:t>
      </w:r>
      <w:r w:rsidRPr="002140E8">
        <w:rPr>
          <w:u w:val="single"/>
          <w:lang w:val="ru-RU"/>
        </w:rPr>
        <w:tab/>
        <w:t>СИСТЕМЫ ОБРАБОТКИ ИНФОРМАЦИИ И УПРАВЛЕНИЯ</w:t>
      </w:r>
      <w:r w:rsidRPr="002140E8">
        <w:rPr>
          <w:u w:val="single"/>
          <w:lang w:val="ru-RU"/>
        </w:rPr>
        <w:tab/>
      </w:r>
    </w:p>
    <w:p w14:paraId="52C38549" w14:textId="77777777" w:rsidR="002140E8" w:rsidRPr="002140E8" w:rsidRDefault="002140E8" w:rsidP="002140E8">
      <w:pPr>
        <w:spacing w:after="100"/>
        <w:jc w:val="center"/>
        <w:rPr>
          <w:i/>
          <w:lang w:val="ru-RU"/>
        </w:rPr>
      </w:pPr>
    </w:p>
    <w:p w14:paraId="31DD14D7" w14:textId="77777777" w:rsidR="002140E8" w:rsidRPr="002140E8" w:rsidRDefault="002140E8" w:rsidP="002140E8">
      <w:pPr>
        <w:spacing w:after="100"/>
        <w:jc w:val="center"/>
        <w:rPr>
          <w:i/>
          <w:lang w:val="ru-RU"/>
        </w:rPr>
      </w:pPr>
    </w:p>
    <w:p w14:paraId="09755559" w14:textId="77777777" w:rsidR="002140E8" w:rsidRPr="002140E8" w:rsidRDefault="002140E8" w:rsidP="002140E8">
      <w:pPr>
        <w:spacing w:after="100"/>
        <w:jc w:val="center"/>
        <w:rPr>
          <w:lang w:val="ru-RU"/>
        </w:rPr>
      </w:pPr>
      <w:r w:rsidRPr="002140E8">
        <w:rPr>
          <w:b/>
          <w:lang w:val="ru-RU"/>
        </w:rPr>
        <w:t>ОТЧЕТ</w:t>
      </w:r>
    </w:p>
    <w:p w14:paraId="7557F79E" w14:textId="77777777" w:rsidR="00C87FD5" w:rsidRPr="009A21A6" w:rsidRDefault="00C173B5">
      <w:pPr>
        <w:spacing w:after="100"/>
        <w:jc w:val="center"/>
        <w:rPr>
          <w:lang w:val="ru-RU"/>
        </w:rPr>
      </w:pPr>
      <w:r w:rsidRPr="009A21A6">
        <w:rPr>
          <w:b/>
          <w:lang w:val="ru-RU"/>
        </w:rPr>
        <w:t>ПО ДОМАШНЕМУ ЗАДАНИЮ</w:t>
      </w:r>
    </w:p>
    <w:p w14:paraId="4AC362C2" w14:textId="77777777" w:rsidR="00C87FD5" w:rsidRPr="009A21A6" w:rsidRDefault="00C173B5">
      <w:pPr>
        <w:spacing w:after="100"/>
        <w:jc w:val="center"/>
        <w:rPr>
          <w:lang w:val="ru-RU"/>
        </w:rPr>
      </w:pPr>
      <w:r w:rsidRPr="009A21A6">
        <w:rPr>
          <w:lang w:val="ru-RU"/>
        </w:rPr>
        <w:t>По дисциплине «Методы машинного обучения»</w:t>
      </w:r>
    </w:p>
    <w:p w14:paraId="44B077C8" w14:textId="77777777" w:rsidR="00C87FD5" w:rsidRPr="009A21A6" w:rsidRDefault="00C87FD5">
      <w:pPr>
        <w:jc w:val="center"/>
        <w:rPr>
          <w:lang w:val="ru-RU"/>
        </w:rPr>
      </w:pPr>
    </w:p>
    <w:p w14:paraId="40EFFC30" w14:textId="41BF70E8" w:rsidR="00C87FD5" w:rsidRPr="009A21A6" w:rsidRDefault="00C173B5">
      <w:pPr>
        <w:spacing w:after="100"/>
        <w:jc w:val="center"/>
        <w:rPr>
          <w:lang w:val="ru-RU"/>
        </w:rPr>
      </w:pPr>
      <w:r w:rsidRPr="009A21A6">
        <w:rPr>
          <w:lang w:val="ru-RU"/>
        </w:rPr>
        <w:t>«Сравнение функций потерь обучения моделей эмбеддинга текстов»</w:t>
      </w:r>
      <w:r w:rsidR="00995B26" w:rsidRPr="00995B26">
        <w:rPr>
          <w:lang w:val="ru-RU"/>
        </w:rPr>
      </w:r>
      <w:r w:rsidRPr="009A21A6">
        <w:rPr>
          <w:lang w:val="ru-RU"/>
        </w:rPr>
      </w:r>
    </w:p>
    <w:p w14:paraId="51AA90AF" w14:textId="77777777" w:rsidR="00C87FD5" w:rsidRPr="009A21A6" w:rsidRDefault="00C87FD5">
      <w:pPr>
        <w:jc w:val="center"/>
        <w:rPr>
          <w:lang w:val="ru-RU"/>
        </w:rPr>
      </w:pPr>
    </w:p>
    <w:p w14:paraId="177D5BD9" w14:textId="77777777" w:rsidR="002140E8" w:rsidRPr="003F5C84" w:rsidRDefault="002140E8" w:rsidP="002140E8">
      <w:pPr>
        <w:widowControl w:val="0"/>
        <w:spacing w:after="0" w:line="240" w:lineRule="auto"/>
        <w:rPr>
          <w:rFonts w:cs="Times New Roman"/>
          <w:szCs w:val="24"/>
          <w:lang w:val="ru-RU" w:eastAsia="ru-RU"/>
        </w:rPr>
      </w:pPr>
    </w:p>
    <w:p w14:paraId="3F39583E" w14:textId="77777777" w:rsidR="002140E8" w:rsidRPr="003F5C84" w:rsidRDefault="002140E8" w:rsidP="002140E8">
      <w:pPr>
        <w:widowControl w:val="0"/>
        <w:spacing w:after="0" w:line="240" w:lineRule="auto"/>
        <w:rPr>
          <w:rFonts w:cs="Times New Roman"/>
          <w:b/>
          <w:szCs w:val="24"/>
          <w:lang w:val="ru-RU" w:eastAsia="ru-RU"/>
        </w:rPr>
      </w:pPr>
      <w:r w:rsidRPr="003F5C84">
        <w:rPr>
          <w:rFonts w:cs="Times New Roman"/>
          <w:szCs w:val="24"/>
          <w:lang w:val="ru-RU" w:eastAsia="ru-RU"/>
        </w:rPr>
        <w:t>Студент __</w:t>
      </w:r>
      <w:r w:rsidRPr="003F5C84">
        <w:rPr>
          <w:rFonts w:cs="Times New Roman"/>
          <w:szCs w:val="24"/>
          <w:u w:val="single"/>
          <w:lang w:val="ru-RU" w:eastAsia="ru-RU"/>
        </w:rPr>
        <w:t>ИУ5-21М</w:t>
      </w:r>
      <w:r w:rsidRPr="003F5C84">
        <w:rPr>
          <w:rFonts w:cs="Times New Roman"/>
          <w:szCs w:val="24"/>
          <w:lang w:val="ru-RU" w:eastAsia="ru-RU"/>
        </w:rPr>
        <w:t>__</w:t>
      </w:r>
      <w:r w:rsidRPr="003F5C84">
        <w:rPr>
          <w:rFonts w:cs="Times New Roman"/>
          <w:szCs w:val="24"/>
          <w:lang w:val="ru-RU" w:eastAsia="ru-RU"/>
        </w:rPr>
        <w:tab/>
      </w:r>
      <w:r w:rsidRPr="003F5C84">
        <w:rPr>
          <w:rFonts w:cs="Times New Roman"/>
          <w:szCs w:val="24"/>
          <w:lang w:val="ru-RU" w:eastAsia="ru-RU"/>
        </w:rPr>
        <w:tab/>
      </w:r>
      <w:r w:rsidRPr="003F5C84">
        <w:rPr>
          <w:rFonts w:cs="Times New Roman"/>
          <w:b/>
          <w:szCs w:val="24"/>
          <w:lang w:val="ru-RU" w:eastAsia="ru-RU"/>
        </w:rPr>
        <w:t>_________________</w:t>
      </w:r>
      <w:r w:rsidRPr="003F5C84">
        <w:rPr>
          <w:rFonts w:cs="Times New Roman"/>
          <w:b/>
          <w:szCs w:val="24"/>
          <w:lang w:val="ru-RU" w:eastAsia="ru-RU"/>
        </w:rPr>
        <w:tab/>
        <w:t>__</w:t>
      </w:r>
      <w:r w:rsidRPr="003F5C84">
        <w:rPr>
          <w:rFonts w:cs="Times New Roman"/>
          <w:b/>
          <w:szCs w:val="24"/>
          <w:u w:val="single"/>
          <w:lang w:val="ru-RU" w:eastAsia="ru-RU"/>
        </w:rPr>
        <w:t>Н.М. Горкунов</w:t>
      </w:r>
      <w:r w:rsidRPr="003F5C84">
        <w:rPr>
          <w:rFonts w:cs="Times New Roman"/>
          <w:b/>
          <w:szCs w:val="24"/>
          <w:lang w:val="ru-RU" w:eastAsia="ru-RU"/>
        </w:rPr>
        <w:t>__</w:t>
      </w:r>
    </w:p>
    <w:p w14:paraId="15FB1625" w14:textId="77777777" w:rsidR="002140E8" w:rsidRPr="003F5C84" w:rsidRDefault="002140E8" w:rsidP="002140E8">
      <w:pPr>
        <w:widowControl w:val="0"/>
        <w:tabs>
          <w:tab w:val="left" w:pos="1985"/>
          <w:tab w:val="left" w:pos="4678"/>
          <w:tab w:val="left" w:pos="6804"/>
        </w:tabs>
        <w:spacing w:after="0" w:line="240" w:lineRule="auto"/>
        <w:ind w:left="709" w:right="565" w:firstLine="709"/>
        <w:rPr>
          <w:rFonts w:cs="Times New Roman"/>
          <w:sz w:val="18"/>
          <w:szCs w:val="18"/>
          <w:lang w:val="ru-RU" w:eastAsia="ru-RU"/>
        </w:rPr>
      </w:pPr>
      <w:r w:rsidRPr="003F5C84">
        <w:rPr>
          <w:rFonts w:cs="Times New Roman"/>
          <w:sz w:val="18"/>
          <w:szCs w:val="18"/>
          <w:lang w:val="ru-RU" w:eastAsia="ru-RU"/>
        </w:rPr>
        <w:tab/>
        <w:t>(Группа)</w:t>
      </w:r>
      <w:r w:rsidRPr="003F5C84">
        <w:rPr>
          <w:rFonts w:cs="Times New Roman"/>
          <w:sz w:val="18"/>
          <w:szCs w:val="18"/>
          <w:lang w:val="ru-RU" w:eastAsia="ru-RU"/>
        </w:rPr>
        <w:tab/>
        <w:t>(Подпись, дата)</w:t>
      </w:r>
      <w:r w:rsidRPr="003F5C84">
        <w:rPr>
          <w:rFonts w:cs="Times New Roman"/>
          <w:sz w:val="18"/>
          <w:szCs w:val="18"/>
          <w:lang w:val="ru-RU" w:eastAsia="ru-RU"/>
        </w:rPr>
        <w:tab/>
        <w:t>(И.О.Фамилия)</w:t>
      </w:r>
    </w:p>
    <w:p w14:paraId="5C8D5831" w14:textId="77777777" w:rsidR="002140E8" w:rsidRPr="003F5C84" w:rsidRDefault="002140E8" w:rsidP="002140E8">
      <w:pPr>
        <w:widowControl w:val="0"/>
        <w:spacing w:after="0" w:line="240" w:lineRule="auto"/>
        <w:ind w:left="709" w:right="565" w:firstLine="709"/>
        <w:rPr>
          <w:rFonts w:cs="Times New Roman"/>
          <w:sz w:val="18"/>
          <w:szCs w:val="18"/>
          <w:lang w:val="ru-RU" w:eastAsia="ru-RU"/>
        </w:rPr>
      </w:pPr>
      <w:r w:rsidRPr="003F5C84">
        <w:rPr>
          <w:rFonts w:cs="Times New Roman"/>
          <w:sz w:val="18"/>
          <w:szCs w:val="18"/>
          <w:lang w:val="ru-RU" w:eastAsia="ru-RU"/>
        </w:rPr>
        <w:t xml:space="preserve"> </w:t>
      </w:r>
    </w:p>
    <w:p w14:paraId="357D25F8" w14:textId="77777777" w:rsidR="002140E8" w:rsidRPr="003F5C84" w:rsidRDefault="002140E8" w:rsidP="002140E8">
      <w:pPr>
        <w:widowControl w:val="0"/>
        <w:spacing w:after="0" w:line="240" w:lineRule="auto"/>
        <w:rPr>
          <w:rFonts w:cs="Times New Roman"/>
          <w:b/>
          <w:szCs w:val="24"/>
          <w:lang w:val="ru-RU" w:eastAsia="ru-RU"/>
        </w:rPr>
      </w:pPr>
      <w:r w:rsidRPr="003F5C84">
        <w:rPr>
          <w:rFonts w:cs="Times New Roman"/>
          <w:szCs w:val="24"/>
          <w:lang w:val="ru-RU" w:eastAsia="ru-RU"/>
        </w:rPr>
        <w:t xml:space="preserve">Преподаватель </w:t>
        <w:tab/>
        <w:tab/>
        <w:tab/>
        <w:t>_________________</w:t>
        <w:tab/>
        <w:t>__Ю.Е. Гапанюк__</w:t>
      </w:r>
      <w:r w:rsidRPr="003F5C84">
        <w:rPr>
          <w:rFonts w:cs="Times New Roman"/>
          <w:szCs w:val="24"/>
          <w:lang w:val="ru-RU" w:eastAsia="ru-RU"/>
        </w:rPr>
      </w:r>
      <w:r w:rsidRPr="003F5C84">
        <w:rPr>
          <w:rFonts w:cs="Times New Roman"/>
          <w:szCs w:val="24"/>
          <w:lang w:val="ru-RU" w:eastAsia="ru-RU"/>
        </w:rPr>
      </w:r>
      <w:r w:rsidRPr="003F5C84">
        <w:rPr>
          <w:rFonts w:cs="Times New Roman"/>
          <w:szCs w:val="24"/>
          <w:lang w:val="ru-RU" w:eastAsia="ru-RU"/>
        </w:rPr>
      </w:r>
      <w:r w:rsidRPr="003F5C84">
        <w:rPr>
          <w:rFonts w:cs="Times New Roman"/>
          <w:b/>
          <w:szCs w:val="24"/>
          <w:lang w:val="ru-RU" w:eastAsia="ru-RU"/>
        </w:rPr>
      </w:r>
      <w:r w:rsidRPr="003F5C84">
        <w:rPr>
          <w:rFonts w:cs="Times New Roman"/>
          <w:b/>
          <w:szCs w:val="24"/>
          <w:lang w:val="ru-RU" w:eastAsia="ru-RU"/>
        </w:rPr>
      </w:r>
      <w:r w:rsidRPr="003F5C84">
        <w:rPr>
          <w:rFonts w:cs="Times New Roman"/>
          <w:b/>
          <w:szCs w:val="24"/>
          <w:u w:val="single"/>
          <w:lang w:val="ru-RU" w:eastAsia="ru-RU"/>
        </w:rPr>
      </w:r>
      <w:r w:rsidRPr="003F5C84">
        <w:rPr>
          <w:rFonts w:cs="Times New Roman"/>
          <w:b/>
          <w:szCs w:val="24"/>
          <w:lang w:val="ru-RU" w:eastAsia="ru-RU"/>
        </w:rPr>
      </w:r>
    </w:p>
    <w:p w14:paraId="1D267097" w14:textId="77777777" w:rsidR="002140E8" w:rsidRPr="006C0852" w:rsidRDefault="002140E8" w:rsidP="002140E8">
      <w:pPr>
        <w:widowControl w:val="0"/>
        <w:tabs>
          <w:tab w:val="left" w:pos="4678"/>
          <w:tab w:val="left" w:pos="6804"/>
        </w:tabs>
        <w:spacing w:after="0" w:line="240" w:lineRule="auto"/>
        <w:ind w:left="709" w:right="565" w:firstLine="709"/>
        <w:rPr>
          <w:rFonts w:cs="Times New Roman"/>
          <w:sz w:val="18"/>
          <w:szCs w:val="18"/>
          <w:lang w:val="ru-RU" w:eastAsia="ru-RU"/>
        </w:rPr>
      </w:pPr>
      <w:r w:rsidRPr="003F5C84">
        <w:rPr>
          <w:rFonts w:cs="Times New Roman"/>
          <w:sz w:val="18"/>
          <w:szCs w:val="18"/>
          <w:lang w:val="ru-RU" w:eastAsia="ru-RU"/>
        </w:rPr>
        <w:tab/>
        <w:t>(Подпись, дата)</w:t>
      </w:r>
      <w:r w:rsidRPr="003F5C84">
        <w:rPr>
          <w:rFonts w:cs="Times New Roman"/>
          <w:sz w:val="18"/>
          <w:szCs w:val="18"/>
          <w:lang w:val="ru-RU" w:eastAsia="ru-RU"/>
        </w:rPr>
        <w:tab/>
        <w:t>(И.О.Фамилия)</w:t>
      </w:r>
    </w:p>
    <w:p w14:paraId="66BA0DFF" w14:textId="77777777" w:rsidR="00C87FD5" w:rsidRPr="009A21A6" w:rsidRDefault="00C87FD5">
      <w:pPr>
        <w:jc w:val="center"/>
        <w:rPr>
          <w:lang w:val="ru-RU"/>
        </w:rPr>
      </w:pPr>
    </w:p>
    <w:p w14:paraId="0AB7D1DF" w14:textId="77777777" w:rsidR="00C87FD5" w:rsidRPr="009A21A6" w:rsidRDefault="00C87FD5">
      <w:pPr>
        <w:jc w:val="center"/>
        <w:rPr>
          <w:lang w:val="ru-RU"/>
        </w:rPr>
      </w:pPr>
    </w:p>
    <w:p w14:paraId="48FB1082" w14:textId="77777777" w:rsidR="00C87FD5" w:rsidRPr="009A21A6" w:rsidRDefault="00C87FD5">
      <w:pPr>
        <w:jc w:val="center"/>
        <w:rPr>
          <w:lang w:val="ru-RU"/>
        </w:rPr>
      </w:pPr>
    </w:p>
    <w:p w14:paraId="62B5236A" w14:textId="77777777" w:rsidR="00C87FD5" w:rsidRPr="009A21A6" w:rsidRDefault="00C87FD5">
      <w:pPr>
        <w:jc w:val="center"/>
        <w:rPr>
          <w:lang w:val="ru-RU"/>
        </w:rPr>
      </w:pPr>
    </w:p>
    <w:p w14:paraId="5A1C91B1" w14:textId="77777777" w:rsidR="00C87FD5" w:rsidRPr="009A21A6" w:rsidRDefault="00C173B5" w:rsidP="00C173B5">
      <w:pPr>
        <w:spacing w:after="100"/>
        <w:jc w:val="center"/>
        <w:rPr>
          <w:lang w:val="ru-RU"/>
        </w:rPr>
      </w:pPr>
      <w:r w:rsidRPr="009A21A6">
        <w:rPr>
          <w:lang w:val="ru-RU"/>
        </w:rPr>
        <w:t>Москва – 2026</w:t>
      </w:r>
    </w:p>
    <w:p>
      <w:pPr>
        <w:sectPr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ind w:firstLine="709"/>
        <w:jc w:val="both"/>
      </w:pPr>
      <w:r>
        <w:t>В работе сравниваются функции потерь, применяемые для обучения моделей текстовых эмбеддингов. Цель эксперимента - проверить, как разные функции потерь изменяют качество представлений при одинаковых данных, одинаковом числе обучающих записей и одинаковом количестве обучаемых параметров.</w:t>
      </w:r>
    </w:p>
    <w:p>
      <w:pPr>
        <w:ind w:firstLine="709"/>
        <w:jc w:val="both"/>
      </w:pPr>
      <w:r>
        <w:t>В качестве базовой модели используется sentence-transformers/msmarco-distilbert-base-dot-prod-v3. Transformer encoder и pooling остаются замороженными, а Dense projection head размерности 768x768 переинициализируется перед каждым запуском. Такой режим изолирует влияние функции потерь лучше, чем полное дообучение всех весов модели на малом наборе данных.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Задание</w:t>
      </w:r>
    </w:p>
    <w:p>
      <w:pPr>
        <w:ind w:firstLine="709"/>
        <w:jc w:val="both"/>
      </w:pPr>
      <w:r>
        <w:t>Необходимо подготовить несколько качественных датасетов для разных форматов обучения эмбеддингов, привести их к одинаковому размеру и сравнить Contrastive Loss, Triplet Loss, InfoNCE Loss, NT-Xent Loss, Supervised Contrastive Loss и Circle Loss. Результаты эксперимента фиксируются в Jupyter Notebook и используются для анализа качества функций потерь.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Подготовка данных</w:t>
      </w:r>
    </w:p>
    <w:p>
      <w:pPr>
        <w:ind w:firstLine="709"/>
        <w:jc w:val="both"/>
      </w:pPr>
      <w:r>
        <w:t>Для основного сравнения выбраны четыре англоязычных датасета: all-nli, quora-duplicates, banking77 и twenty-newsgroups. Для каждого применимого представления используется 5000 train-записей и 1000 test-записей. Датасет STS-B используется только как внешняя проверка семантической близости.</w:t>
      </w:r>
    </w:p>
    <w:p>
      <w:pPr>
        <w:ind w:firstLine="709"/>
        <w:jc w:val="both"/>
      </w:pPr>
      <w:r>
        <w:t>Таблица 1 - Нормализованные представления датасетов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dataset_id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view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split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rows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all_nli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class_text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class_text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quora_duplicates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stsb_eval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1379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stsb_eval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5749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class_text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class_text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contrastive_pair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twenty_newsgroups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positive_pair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train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</w:tbl>
    <w:p/>
    <w:p>
      <w:pPr>
        <w:ind w:firstLine="709"/>
        <w:jc w:val="both"/>
      </w:pPr>
      <w:r>
        <w:t>Для pair/triplet датасетов class_text представление не строится, так как у них нет устойчивых single-text классов. Поэтому SupCon и Circle Loss сравниваются на banking77 и twenty-newsgroups.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Методика эксперимента</w:t>
      </w:r>
    </w:p>
    <w:p>
      <w:pPr>
        <w:ind w:firstLine="709"/>
        <w:jc w:val="both"/>
      </w:pPr>
      <w:r>
        <w:t>Во всех запусках используется seed = 42, batch_size = 256, epochs = 6, learning_rate = 0.01, weight_decay = 0.0001. Количество обучаемых параметров projection head равно 589824.</w:t>
      </w:r>
    </w:p>
    <w:p>
      <w:pPr>
        <w:ind w:firstLine="709"/>
        <w:jc w:val="both"/>
      </w:pPr>
      <w:r>
        <w:t>Перед обучением для всех текстов кэшируются эмбеддинги замороженной части модели: DistilBERT encoder и mean pooling. Затем для каждой функции потерь создается новая Linear projection head с Xavier-инициализацией. Именно эта матрица обучается на соответствующем представлении датасета.</w:t>
      </w:r>
    </w:p>
    <w:p>
      <w:pPr>
        <w:ind w:firstLine="709"/>
        <w:jc w:val="both"/>
      </w:pPr>
      <w:r>
        <w:t>Для раннего останова 5000 исходных train-записей детерминированно делятся на 4000 обучающих и 1000 validation-записей. После каждой эпохи вычисляется validation-метрика; если она не улучшается на 0.0001 в течение 2 эпох, обучение останавливается, а веса откатываются к лучшей эпохе. Test-выборка применяется только для финальной оценки.</w:t>
      </w:r>
    </w:p>
    <w:p>
      <w:pPr>
        <w:ind w:firstLine="709"/>
        <w:jc w:val="both"/>
      </w:pPr>
      <w:r>
        <w:t>Таблица 2 - Конфигурация эксперимента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Базовая модель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sentence-transformers/msmarco-distilbert-base-dot-prod-v3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Архитектура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DistilBERT encoder + mean pooling + Dense(768, 768, bias=False)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Режим обучения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Frozen transformer and pooling; Dense projection head reinitialized and trained.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Projection dim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768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Temperature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0.05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Contrastive margin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0.4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Triplet margin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0.2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Circle margin / gamma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4"/>
              </w:rPr>
              <w:t>0.25 / 32.0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Результаты</w:t>
      </w:r>
    </w:p>
    <w:p>
      <w:pPr>
        <w:ind w:firstLine="709"/>
        <w:jc w:val="both"/>
      </w:pPr>
      <w:r>
        <w:t>Основная метрика зависит от формата обучения: для contrastive pair используется ROC-AUC, для triplet - доля триплетов с большей близостью positive, для InfoNCE/NT-Xent - top-1 retrieval, для SupCon/Circle - accuracy 1-NN классификации по эмбеддингам.</w:t>
      </w:r>
    </w:p>
    <w:p>
      <w:pPr>
        <w:ind w:firstLine="709"/>
        <w:jc w:val="both"/>
      </w:pPr>
      <w:r>
        <w:t>Таблица 3 - Итоговые метрики по функциям потерь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dataset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loss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metric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value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best epoch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val metric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train metric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val loss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train loss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contrastive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0.757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0.763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0.151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0.095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0.866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0.869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0.065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0.041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infonce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0.769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0.753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0.702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0.683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0.789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nt_xent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0.758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0.747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0.708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0.772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0.774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contrastive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0.851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0.117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0.072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0.999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0.003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infonce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0.853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0.844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0.730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0.416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0.439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nt_xent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0.848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0.835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0.742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0.194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0.140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contrastive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0.972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0.974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0.992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0.109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0.076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0.974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0.966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0.002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infonce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0.066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2.702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2.307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nt_xent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0.073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2.514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2.006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supcon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0.879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0.878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0.897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2.579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2.486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circle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0.903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0.880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0.928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16.407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14.050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contrastive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0.826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0.840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0.931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0.246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0.185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0.827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0.835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0.954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0.077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0.042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infonce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0.005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0.014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4.654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4.509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nt_xent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0.002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4.653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4.197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supcon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0.611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0.648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0.664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4.497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4.491</w:t>
            </w:r>
          </w:p>
        </w:tc>
      </w:tr>
      <w:tr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circle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0.609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0.672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0.702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21.390</w:t>
            </w:r>
          </w:p>
        </w:tc>
        <w:tc>
          <w:tcPr>
            <w:tcW w:type="dxa" w:w="1071"/>
          </w:tcPr>
          <w:p>
            <w:r>
              <w:rPr>
                <w:rFonts w:ascii="Times New Roman" w:hAnsi="Times New Roman"/>
                <w:sz w:val="24"/>
              </w:rPr>
              <w:t>20.284</w:t>
            </w:r>
          </w:p>
        </w:tc>
      </w:tr>
    </w:tbl>
    <w:p/>
    <w:p>
      <w:pPr>
        <w:ind w:firstLine="709"/>
        <w:jc w:val="both"/>
      </w:pPr>
      <w:r>
        <w:t>Таблица 4 - Baseline без обучения projection head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dataset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view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value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0.695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0.805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NLI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Pos. 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0.733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0.82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0.952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Quora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Pos. 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0.848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0.92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0.913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Pos. 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0.02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Banking77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0.881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Pair AUC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0.698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Triplet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0.728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Pos. pair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Top-1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0.004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20News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Class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1-NN acc.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0.584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STS-B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STS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Spearman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/>
                <w:sz w:val="24"/>
              </w:rPr>
              <w:t>0.786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metr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1 - Основные метрики по датасетам и функциям потерь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869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contrast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2 - Contrastive Loss: train/val loss и целевая метрика по датасетам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8698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tripl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3 - Triplet Loss: train/val loss и целевая метрика по датасетам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8698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info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4 - InfoNCE Loss: train/val loss и целевая метрика по датасетам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8698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nt_x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5 - NT-Xent Loss: train/val loss и целевая метрика по датасетам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349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supc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6 - SupCon Loss: train/val loss и целевая метрика по датасетам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349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panels_by_loss_circ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Рисунок 7 - Circle Loss: train/val loss и целевая метрика по датасетам</w:t>
      </w:r>
    </w:p>
    <w:p>
      <w:pPr>
        <w:ind w:firstLine="709"/>
        <w:jc w:val="both"/>
      </w:pPr>
      <w:r>
        <w:t>Для all-nli и quora-duplicates наиболее естественными являются pair, triplet и in-batch retrieval постановки. Для banking77 и twenty-newsgroups class-label losses показывают смысловую структуру классов через 1-NN accuracy. Низкие значения retrieval_top1 у InfoNCE/NT-Xent на class-derived positive_pair не означают провал обучения: в этих датасетах у одного класса много равноправных positive-примеров, а метрика требует попасть ровно в пару с тем же индексом.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  <w:jc w:val="both"/>
      </w:pPr>
      <w:r>
        <w:t>Итоговые графики и таблица метрик показывают, что loss-функции нельзя корректно сравнивать по одной числовой шкале: для разных форматов данных основными метриками были pair AUC, triplet accuracy, retrieval top-1 и 1-NN accuracy. Поэтому главный вывод не в том, что один loss «лучше» всех, а в том, какая функция потерь соответствует задаче и организации labels.</w:t>
      </w:r>
    </w:p>
    <w:p>
      <w:pPr>
        <w:ind w:firstLine="709"/>
        <w:jc w:val="both"/>
      </w:pPr>
      <w:r>
        <w:t>Contrastive Loss лучше всего интерпретируется как loss для binary pair verification: поиск дубликатов, same/different пары, entailment/contradiction и другие сценарии, где нужен порог схожести. В этом формате он дает сильные test pair AUC: 0.757 на NLI, 0.877 на Quora, 0.972 на Banking77 и 0.826 на 20News. На графиках у него часто виден разрыв между train и val метрикой, поэтому его стоит использовать с early stopping по validation-метрике.</w:t>
      </w:r>
    </w:p>
    <w:p>
      <w:pPr>
        <w:ind w:firstLine="709"/>
        <w:jc w:val="both"/>
      </w:pPr>
      <w:r>
        <w:t>Triplet Loss наиболее нагляден для задач ранжирования и относительной близости, где есть осмысленная тройка anchor-positive-negative. Итоговые графики показывают, что best epoch для него обычно наступает рано, но test triplet accuracy остается высокой: 0.866 на NLI, 0.954 на Quora, 0.974 на Banking77 и 0.827 на 20News. Это делает Triplet Loss сильным выбором для retrieval/ranking-сценариев, но требует качественного способа семплировать negatives.</w:t>
      </w:r>
    </w:p>
    <w:p>
      <w:pPr>
        <w:ind w:firstLine="709"/>
        <w:jc w:val="both"/>
      </w:pPr>
      <w:r>
        <w:t>InfoNCE и NT-Xent подходят для in-batch retrieval, где у anchor есть один целевой positive в батче. На NLI и Quora эти loss дают адекватный test retrieval top-1: для InfoNCE 0.769 и 0.853, для NT-Xent 0.758 и 0.848. На Banking77 и 20News они выглядят плохо именно в exact paired-index метрике: test top-1 снижается до 0.019/0.005 у InfoNCE и 0.018/0.002 у NT-Xent. Это не доказывает непригодность самих loss-функций, а показывает несовпадение loss, разметки и метрики: на class-label данных у одного anchor есть много равноправных positives.</w:t>
      </w:r>
    </w:p>
    <w:p>
      <w:pPr>
        <w:ind w:firstLine="709"/>
        <w:jc w:val="both"/>
      </w:pPr>
      <w:r>
        <w:t>SupCon и Circle Loss стоит брать для class-label данных: intent classification, topic clustering и других сценариев, где нужно сблизить все объекты одного класса. На Banking77 Circle Loss дает лучший class-label test результат: 1-NN accuracy 0.903 против 0.879 у SupCon. На 20News test-разница мала: 0.611 у SupCon и 0.609 у Circle, но на validation-графике Circle выше (0.672 против 0.648). Для сильно размеченных классов по этим графикам Circle выглядит чуть более устойчивым, а SupCon - более простым и близким по качеству вариантом.</w:t>
      </w:r>
    </w:p>
    <w:p>
      <w:pPr>
        <w:ind w:firstLine="709"/>
        <w:jc w:val="both"/>
      </w:pPr>
      <w:r>
        <w:t>Практическая карта выбора по итогам эксперимента такая: для pair verification - Contrastive Loss; для ranking/retrieval с явным negative - Triplet Loss; для in-batch retrieval с одним целевым positive - InfoNCE и NT-Xent; для данных с метками классов - SupCon и Circle Loss. Во всех случаях best epoch нужно выбирать по целевой validation-метрике: итоговые графики показывают, что train loss может падать дальше без улучшения целевой метрики на validation.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709"/>
        <w:jc w:val="both"/>
      </w:pPr>
      <w:r>
        <w:t>1. Hadsell R., Chopra S., LeCun Y. Dimensionality Reduction by Learning an Invariant Mapping. 2006.</w:t>
      </w:r>
    </w:p>
    <w:p>
      <w:pPr>
        <w:ind w:firstLine="709"/>
        <w:jc w:val="both"/>
      </w:pPr>
      <w:r>
        <w:t>2. Hoffer E., Ailon N. Deep Metric Learning using Triplet Network. 2014.</w:t>
      </w:r>
    </w:p>
    <w:p>
      <w:pPr>
        <w:ind w:firstLine="709"/>
        <w:jc w:val="both"/>
      </w:pPr>
      <w:r>
        <w:t>3. van den Oord A., Li Y., Vinyals O. Representation Learning with Contrastive Predictive Coding. 2018.</w:t>
      </w:r>
    </w:p>
    <w:p>
      <w:pPr>
        <w:ind w:firstLine="709"/>
        <w:jc w:val="both"/>
      </w:pPr>
      <w:r>
        <w:t>4. Chen T., Kornblith S., Norouzi M., Hinton G. A Simple Framework for Contrastive Learning of Visual Representations. 2020.</w:t>
      </w:r>
    </w:p>
    <w:p>
      <w:pPr>
        <w:ind w:firstLine="709"/>
        <w:jc w:val="both"/>
      </w:pPr>
      <w:r>
        <w:t>5. Khosla P. et al. Supervised Contrastive Learning. 2020.</w:t>
      </w:r>
    </w:p>
    <w:p>
      <w:pPr>
        <w:ind w:firstLine="709"/>
        <w:jc w:val="both"/>
      </w:pPr>
      <w:r>
        <w:t>6. Sun Y. et al. Circle Loss: A Unified Perspective of Pair Similarity Optimization. 2020.</w:t>
      </w:r>
    </w:p>
    <w:p>
      <w:pPr>
        <w:ind w:firstLine="709"/>
        <w:jc w:val="both"/>
      </w:pPr>
      <w:r>
        <w:t>7. Reimers N., Gurevych I. Sentence-BERT: Sentence Embeddings using Siamese BERT-Networks. 2019.</w:t>
      </w:r>
    </w:p>
    <w:p>
      <w:pPr>
        <w:ind w:firstLine="709"/>
        <w:jc w:val="both"/>
      </w:pPr>
      <w:r>
        <w:t>8. Hugging Face model card: sentence-transformers/msmarco-distilbert-base-dot-prod-v3.</w:t>
      </w:r>
    </w:p>
    <w:p>
      <w:pPr>
        <w:ind w:firstLine="709"/>
        <w:jc w:val="both"/>
      </w:pPr>
      <w:r>
        <w:t>9. Hugging Face datasets: sentence-transformers/all-nli, sentence-transformers/quora-duplicates, mteb/banking77, SetFit/20_newsgroups, sentence-transformers/stsb.</w:t>
      </w:r>
    </w:p>
    <w:sectPr w:rsidR="00E660B5" w:rsidRPr="00995B26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0E8"/>
    <w:rsid w:val="0029639D"/>
    <w:rsid w:val="00326F90"/>
    <w:rsid w:val="00381E40"/>
    <w:rsid w:val="00492C25"/>
    <w:rsid w:val="00560391"/>
    <w:rsid w:val="0059262A"/>
    <w:rsid w:val="006E7855"/>
    <w:rsid w:val="00824800"/>
    <w:rsid w:val="00995B26"/>
    <w:rsid w:val="009A21A6"/>
    <w:rsid w:val="00AA1D8D"/>
    <w:rsid w:val="00B47730"/>
    <w:rsid w:val="00B71C54"/>
    <w:rsid w:val="00C173B5"/>
    <w:rsid w:val="00C649CA"/>
    <w:rsid w:val="00C87FD5"/>
    <w:rsid w:val="00CB0664"/>
    <w:rsid w:val="00E660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67B5D"/>
  <w14:defaultImageDpi w14:val="300"/>
  <w15:docId w15:val="{8DC64B95-70C1-4BE9-BFA6-42C43E1D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Nikolay Gorkunov</cp:lastModifiedBy>
  <cp:revision>13</cp:revision>
  <dcterms:created xsi:type="dcterms:W3CDTF">2013-12-23T23:15:00Z</dcterms:created>
  <dcterms:modified xsi:type="dcterms:W3CDTF">2026-06-12T09:22:00Z</dcterms:modified>
  <cp:category/>
</cp:coreProperties>
</file>