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4f5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Реализовать клиент-серверное приложение. Начало его можно увидеть в презентации к первому уроку, а можно ориентироваться на скриншоты. Результат можно увидеть на скриншотах, которые также можно найти в материалах к уроку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4f5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Клиентское приложение должно отправлять сообщения из текстового поля сообщения в серверное приложение по нажатию кнопки или по нажатию клавиши Enter на поле ввода сообщения;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4f5fa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Продублировать импровизированный лог (историю) чата в файле;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4f5fa" w:val="clear"/>
        <w:spacing w:after="1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rtl w:val="0"/>
        </w:rPr>
        <w:t xml:space="preserve">При запуске клиента чата заполнять поле истории из файла, если он существует. Обратите внимание, что чаще всего история сообщений хранится на сервере и заполнение истории чата лучше делать при соединении с сервером, а не при открытии окна клиента.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c2d30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