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6msazd74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NovaCart Employee HR Policies (Internal)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People Operations (HR)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2026-05-15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gsthxfw2c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and Scope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handbook applies to all full-time and part-time NovaCart employees in offices, fulfillment centers, and remote roles.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minimum standards for conduct, attendance, leave, compensation practices, and workplace behavior.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and agency workers should follow their contract terms first. If a conflict exists between this handbook and local labor law, local labor law takes priority.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0672wmvc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Employment Categories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Full-time employee:</w:t>
      </w:r>
      <w:r w:rsidDel="00000000" w:rsidR="00000000" w:rsidRPr="00000000">
        <w:rPr>
          <w:rtl w:val="0"/>
        </w:rPr>
        <w:t xml:space="preserve"> 40 hours per week unless local contract states otherwise.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Part-time employee:</w:t>
      </w:r>
      <w:r w:rsidDel="00000000" w:rsidR="00000000" w:rsidRPr="00000000">
        <w:rPr>
          <w:rtl w:val="0"/>
        </w:rPr>
        <w:t xml:space="preserve"> Fewer than 40 weekly hours according to contract.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Probationary employee:</w:t>
      </w:r>
      <w:r w:rsidDel="00000000" w:rsidR="00000000" w:rsidRPr="00000000">
        <w:rPr>
          <w:rtl w:val="0"/>
        </w:rPr>
        <w:t xml:space="preserve"> First 3 months of employment.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Probation may be extended once by up to 3 additional months when performance expectations are not yet met but improvement is likely.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xex5k0yx6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Working Hours and Attendance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hours for office roles are Monday to Friday, 9:00 to 18:00 local time, including a 1-hour break.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Shift-based teams, including customer support and fulfillment, follow rosters published by Operations.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expectations: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be available during scheduled hours.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arrivals over 15 minutes should be reported to the direct manager.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unreported absences within a rolling 60-day period trigger an attendance review with HR.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lg81rt0bq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Remote and Hybrid Work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roles may follow a hybrid schedule with up to 3 remote days per week, subject to manager approval.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remote roles must maintain reliable internet, a secure workspace, and availability during agreed core hours.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Remote-work requirements: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company-managed devices for work systems.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download confidential customer or employee data to personal devices.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mandatory team meetings unless approved leave is recorded.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zuan62kjk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Leave Policies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wt20qst8y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Annual Leave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Full-time employees receive 25 working days of paid annual leave per calendar year.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Part-time leave is pro-rated by contracted hours.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Unused leave may carry forward up to 5 days to the next year and must be used by March 31.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requests should be submitted at least 10 calendar days in advance when possible.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should respond to leave requests within 3 business days.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akhcv7ro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Public Holidays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receive paid public holidays according to the country where they are contracted.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operations require holiday work, equivalent time off in lieu or holiday premium pay applies as defined by local rules.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233jfntc5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Sick Leave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take up to 10 paid sick days per calendar year without loss of base pay.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medical certificate may be requested for absences longer than 2 consecutive working days.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illness exceeds paid sick entitlement, HR will advise on unpaid sick leave or statutory benefits where available.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8bigra37f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Parental Leave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NovaCart supports parental leave for birth, adoption, and foster placement.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caregiver leave: up to 16 weeks paid.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caregiver leave: up to 4 weeks paid.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notify HR at least 30 days before expected leave where possible.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Flexible return plans, including a reduced schedule for up to 8 weeks, may be approved by manager and HR.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osmql2bs1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Bereavement Leave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take up to 5 paid working days for the death of an immediate family member.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unpaid leave may be approved case-by-case.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tfaq6yxdc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Compensation, Payroll, and Overtime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is processed monthly and paid on or before the final working day of each month.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view payslips through the HR portal.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Overtime rules: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Overtime must be pre-approved by the direct manager.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Non-exempt employees receive overtime pay or time off in lieu based on local law and contract terms.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Exempt employees are generally not eligible for overtime payments unless local law requires otherwise.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discrepancies should be reported within 30 calendar days of payment.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and Finance aim to resolve confirmed errors in the next payroll cycle.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9ca3hcchl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Performance Management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NovaCart uses a semi-annual performance review cycle: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Mid-year review in June.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Year-end review in December.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cycle includes: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setting and measurable outcomes.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feedback.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self-assessment.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plan for the next period.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ratings guide promotion, bonus, and learning decisions but do not guarantee pay changes.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pgeuy8nc1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Code of Conduct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are expected to act with professionalism, respect, and integrity.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behaviors are prohibited: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Harassment, discrimination, bullying, or retaliation.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Threats, abuse, or intimidation.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Fraud, theft, or deliberate misuse of company resources.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disclosure of confidential customer, seller, or employee information.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may result in disciplinary action up to and including termination.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dc12fx3tr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Anti-Harassment and Equal Opportunity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NovaCart provides equal employment opportunity regardless of gender, race, nationality, religion, disability, age, marital status, sexual orientation, or other legally protected characteristics.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who experience or witness harassment should report concerns to: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manager,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Business Partner, or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confidential ethics channel.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reports are reviewed promptly and as confidentially as possible.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Retaliation against reporters or witnesses is strictly prohibited.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ea2c8cvuu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 Protection and Acceptable Use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NovaCart handles sensitive marketplace and customer data, employees must: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strong passwords and multifactor authentication.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screens when away from devices.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data only on approved systems.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suspected phishing or security incidents within 1 hour of discovery.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personal email for work-related customer data is prohibited.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iq83unr7n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Expenses and Travel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travel requires prior approval from the manager and budget owner.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Reasonable and necessary expenses are reimbursable when submitted with receipts within 30 days.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Non-reimbursable examples include: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entertainment,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Unapproved upgrades,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 without business justification,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Missing-receipt claims above local policy thresholds.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3hgpp04lw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Learning and Development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full-time employee is eligible for an annual learning budget of USD 600 equivalent, or local currency equivalent, for approved job-related courses, certifications, or conferences.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Pre-approval is required.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submit proof of completion within 45 days after training.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er9lcnwio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Grievance Procedure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employee has a workplace concern, they should: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 with direct manager when appropriate.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HR if unresolved or sensitive.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formal grievance review by People Operations.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acknowledges formal grievances within 3 business days and targets resolution within 20 business days, depending on case complexity.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mcq320nw1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Disciplinary Process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disciplinary stages: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Informal coaching.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warning.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written warning.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of employment.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NovaCart may skip stages for severe misconduct, for example serious data breach, violence, fraud, or harassment.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r0crsxydz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Policy Questions and Contacts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policy clarification: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Operations inbox: peopleops@novacart.internal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support: payroll@novacart.internal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ethics channel: ethics@novacart.internal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use official HR channels for case-specific advice.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handbook is a general policy guide and not an employment contract.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