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Kicker"/>
        <w:spacing w:before="560"/>
      </w:pPr>
      <w:r>
        <w:t>PROJEKTOVANJE DISTRIBUIRANIH SISTEMA</w:t>
      </w:r>
    </w:p>
    <w:p>
      <w:pPr>
        <w:pStyle w:val="CoverTitle"/>
        <w:jc w:val="left"/>
      </w:pPr>
      <w:r>
        <w:t>MiniBanking</w:t>
      </w:r>
    </w:p>
    <w:p>
      <w:pPr>
        <w:pStyle w:val="CoverSubtitle"/>
        <w:jc w:val="left"/>
      </w:pPr>
      <w:r>
        <w:t>Projektni izveštaj o mikroservisnoj bankarskoj platformi</w:t>
      </w:r>
    </w:p>
    <w:p>
      <w:pPr>
        <w:pStyle w:val="Metadata"/>
        <w:jc w:val="left"/>
      </w:pPr>
      <w:r>
        <w:rPr>
          <w:rFonts w:ascii="Calibri" w:hAnsi="Calibri" w:eastAsia="Calibri"/>
          <w:b/>
          <w:color w:val="5B6775"/>
          <w:sz w:val="21"/>
        </w:rPr>
        <w:t xml:space="preserve">Akademska godina: </w:t>
      </w:r>
      <w:r>
        <w:rPr>
          <w:rFonts w:ascii="Calibri" w:hAnsi="Calibri" w:eastAsia="Calibri"/>
          <w:color w:val="18222E"/>
          <w:sz w:val="21"/>
        </w:rPr>
        <w:t>2025/2026</w:t>
      </w:r>
    </w:p>
    <w:p>
      <w:pPr>
        <w:pStyle w:val="Metadata"/>
        <w:jc w:val="left"/>
      </w:pPr>
      <w:r>
        <w:rPr>
          <w:rFonts w:ascii="Calibri" w:hAnsi="Calibri" w:eastAsia="Calibri"/>
          <w:b/>
          <w:color w:val="5B6775"/>
          <w:sz w:val="21"/>
        </w:rPr>
        <w:t xml:space="preserve">Implementacija: </w:t>
      </w:r>
      <w:r>
        <w:rPr>
          <w:rFonts w:ascii="Calibri" w:hAnsi="Calibri" w:eastAsia="Calibri"/>
          <w:color w:val="18222E"/>
          <w:sz w:val="21"/>
        </w:rPr>
        <w:t>Java 21, Spring Boot 4.1.0 i Spring Cloud 2025.1.2</w:t>
      </w:r>
    </w:p>
    <w:p>
      <w:pPr>
        <w:pStyle w:val="Metadata"/>
        <w:jc w:val="left"/>
      </w:pPr>
      <w:r>
        <w:rPr>
          <w:rFonts w:ascii="Calibri" w:hAnsi="Calibri" w:eastAsia="Calibri"/>
          <w:b/>
          <w:color w:val="5B6775"/>
          <w:sz w:val="21"/>
        </w:rPr>
        <w:t xml:space="preserve">Repozitorijum: </w:t>
      </w:r>
      <w:r>
        <w:rPr>
          <w:rFonts w:ascii="Calibri" w:hAnsi="Calibri" w:eastAsia="Calibri"/>
          <w:color w:val="18222E"/>
          <w:sz w:val="21"/>
        </w:rPr>
        <w:t>Mini-Banking</w:t>
      </w:r>
    </w:p>
    <w:p>
      <w:pPr>
        <w:spacing w:after="2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 xml:space="preserve">Sažetak: </w:t>
            </w: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Sistem realizuje obavezne zahteve zadatka, sva četiri opciona bloka i bonus funkcionalnosti: distribuirano praćenje, metrike, skaliranje, WebSocket obaveštenja, profile, globalnu obradu grešaka i Testcontainers E2E test.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Cilj i obim projekta</w:t>
      </w:r>
    </w:p>
    <w:p>
      <w:r>
        <w:t>MiniBanking je distribuirana aplikacija koja demonstrira kako se poslovni domen banke deli na nezavisne servise, kako se oni pronalaze i komuniciraju bez fiksnih adresa i kako sistem nastavlja kontrolisano da radi kada deo zavisnosti nije dostupan. Implementacija nije zamišljena kao produkciona banka, već kao tehnički kompletna nastavna platforma sa jasno vidljivim obrascima distribuiranih sistema.</w:t>
      </w:r>
    </w:p>
    <w:p>
      <w:r>
        <w:t>Rešenje obuhvata devet Spring Boot aplikacija. Tri infrastrukturne aplikacije obezbeđuju service discovery, centralnu konfiguraciju i jedinstvenu ulaznu tačku. Pet domenskih servisa upravlja klijentima, računima, transakcijama, karticama i obaveštenjima, dok Overview servis agregira podatke iz više izvora. Svaki servis ima sopstvenu odgovornost, konfiguraciju i granicu podataka.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 xml:space="preserve">Rezultat verifikacije: </w:t>
            </w: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Kompletan Maven reactor sadrži 22 unit, integration i Testcontainers E2E testa. Završno lokalno izvršavanje prošlo je sa 0 failure-a, 0 error-a i 0 preskočenih testova.</w:t>
            </w:r>
          </w:p>
        </w:tc>
      </w:tr>
    </w:tbl>
    <w:p>
      <w:pPr>
        <w:spacing w:after="20"/>
      </w:pPr>
    </w:p>
    <w:p>
      <w:pPr>
        <w:pStyle w:val="Heading1"/>
      </w:pPr>
      <w:r>
        <w:t>2. Logička arhitektura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8FA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Klijent -&gt; Keycloak -&gt; API Gateway -&gt; Eureka LoadBalancer -&gt; poslovni servis</w:t>
              <w:br/>
              <w:t xml:space="preserve">                                      |-&gt; customer-service</w:t>
              <w:br/>
              <w:t xml:space="preserve">                                      |-&gt; account-service</w:t>
              <w:br/>
              <w:t xml:space="preserve">                                      |-&gt; transaction-service -&gt; account-service</w:t>
              <w:br/>
              <w:t xml:space="preserve">                                      |-&gt; card-service --------&gt; account-service</w:t>
              <w:br/>
              <w:t xml:space="preserve">                                      |-&gt; overview-service ----&gt; customer/account/card/transaction</w:t>
              <w:br/>
              <w:br/>
              <w:t>transaction-service -&gt; RabbitMQ -&gt; notification-service -&gt; WebSocket klijent</w:t>
              <w:br/>
              <w:t>svi servisi -&gt; Config Server / Actuator / Zipkin / Prometheus -&gt; Grafana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400"/>
        <w:gridCol w:w="6960"/>
      </w:tblGrid>
      <w:tr>
        <w:trPr>
          <w:cantSplit w:val="true"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Komponenta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Uloga u sistemu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Discovery Server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Eureka registar čuva aktivne instance pod logičkim imenom servisa.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Config Server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Isporučuje zajedničku i servisnu YAML konfiguraciju, uključujući docker i production profile.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API Gateway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Rutira javne zahteve preko lb:// URI-ja, validira JWT i sprovodi CUSTOMER/ADMIN pravila.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Customer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CRUD profila klijenata uz validaciju i jedinstven email.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Account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Računi, stanje, uplate/isplate i atomski, idempotentan interni transfer.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Transaction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Audit zapis i orkestracija transfera preko OpenFeign klijenta.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Card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Izdavanje i životni ciklus tokenizovane kartice uz proveru računa.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Notification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Idempotentna obrada Rabbit događaja, trajna i WebSocket obaveštenja.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Overview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Resilient agregacija klijenta, računa, kartica i transakcija.</w:t>
            </w:r>
          </w:p>
        </w:tc>
      </w:tr>
    </w:tbl>
    <w:p>
      <w:pPr>
        <w:spacing w:after="40"/>
      </w:pPr>
    </w:p>
    <w:p>
      <w:pPr>
        <w:pStyle w:val="Heading1"/>
      </w:pPr>
      <w:r>
        <w:t>3. Domen i vlasništvo podataka</w:t>
      </w:r>
    </w:p>
    <w:p>
      <w:r>
        <w:t>Domenski servisi koriste zasebne H2 in-memory baze. Customer servis je vlasnik identiteta i statusa klijenta; Account servis je vlasnik stanja novca i evidencije izvršenih internih transfera; Transaction servis je vlasnik poslovnog audit zapisa; Card servis čuva samo token, maskirani PAN i poslednje četiri cifre; Notification servis čuva obaveštenja i jedinstveni ID obrađenog događaja. Nijedan servis ne čita tabelu drugog servisa.</w:t>
      </w:r>
    </w:p>
    <w:p>
      <w:r>
        <w:t>REST sloj koristi request/response record DTO objekte, dok JPA entiteti ostaju interni. Bean Validation odbija neispravne email adrese, brojeve telefona, valute, iznose i dužine polja pre ulaska u poslovnu logiku. Globalni @RestControllerAdvice vraća ujednačen Spring ProblemDetail sa statusom, naslovom, detaljem, URI-jem zahteva, vremenom i mapom validacionih grešaka.</w:t>
      </w:r>
    </w:p>
    <w:p>
      <w:pPr>
        <w:numPr>
          <w:ilvl w:val="0"/>
          <w:numId w:val="10"/>
        </w:numPr>
        <w:spacing w:after="80" w:line="300" w:lineRule="auto"/>
      </w:pPr>
      <w:r>
        <w:t>Novčani iznosi su BigDecimal sa najviše dve decimale, čime se izbegava binarna greška tipa double.</w:t>
      </w:r>
    </w:p>
    <w:p>
      <w:pPr>
        <w:numPr>
          <w:ilvl w:val="0"/>
          <w:numId w:val="10"/>
        </w:numPr>
        <w:spacing w:after="80" w:line="300" w:lineRule="auto"/>
      </w:pPr>
      <w:r>
        <w:t>H2 radi u PostgreSQL compatibility režimu, a Hibernate create-drop čini svako pokretanje ponovljivim za demonstraciju.</w:t>
      </w:r>
    </w:p>
    <w:p>
      <w:pPr>
        <w:numPr>
          <w:ilvl w:val="0"/>
          <w:numId w:val="10"/>
        </w:numPr>
        <w:spacing w:after="80" w:line="300" w:lineRule="auto"/>
      </w:pPr>
      <w:r>
        <w:t>UUID identifikatori ne zavise od jedne centralne sekvence i pogodni su za granice servisa.</w:t>
      </w:r>
    </w:p>
    <w:p>
      <w:pPr>
        <w:numPr>
          <w:ilvl w:val="0"/>
          <w:numId w:val="10"/>
        </w:numPr>
        <w:spacing w:after="80" w:line="300" w:lineRule="auto"/>
      </w:pPr>
      <w:r>
        <w:t>Završena transakcija je neizmenjiv audit u smislu brisanja; brisanje je dozvoljeno samo za neuspešan zapis.</w:t>
      </w:r>
    </w:p>
    <w:p>
      <w:pPr>
        <w:pStyle w:val="Heading1"/>
      </w:pPr>
      <w:r>
        <w:t>4. Ključni poslovni tokovi</w:t>
      </w:r>
    </w:p>
    <w:p>
      <w:pPr>
        <w:pStyle w:val="Heading2"/>
      </w:pPr>
      <w:r>
        <w:t>4.1 Transfer novca</w:t>
      </w:r>
    </w:p>
    <w:p>
      <w:pPr>
        <w:numPr>
          <w:ilvl w:val="0"/>
          <w:numId w:val="12"/>
        </w:numPr>
        <w:spacing w:after="80" w:line="300" w:lineRule="auto"/>
      </w:pPr>
      <w:r>
        <w:t>Klijent šalje POST /api/transactions/transfers kroz Gateway sa JWT tokenom i idempotencyKey vrednošću.</w:t>
      </w:r>
    </w:p>
    <w:p>
      <w:pPr>
        <w:numPr>
          <w:ilvl w:val="0"/>
          <w:numId w:val="12"/>
        </w:numPr>
        <w:spacing w:after="80" w:line="300" w:lineRule="auto"/>
      </w:pPr>
      <w:r>
        <w:t>Transaction servis proverava da li isti ključ već postoji. Identičan ponovljen zahtev vraća isti rezultat; drugačiji sadržaj sa istim ključem vraća konflikt.</w:t>
      </w:r>
    </w:p>
    <w:p>
      <w:pPr>
        <w:numPr>
          <w:ilvl w:val="0"/>
          <w:numId w:val="12"/>
        </w:numPr>
        <w:spacing w:after="80" w:line="300" w:lineRule="auto"/>
      </w:pPr>
      <w:r>
        <w:t>OpenFeign klijent pronalazi account-service preko Eureka registra i šalje interni transfer sa ID-jem novog transakcionog zapisa.</w:t>
      </w:r>
    </w:p>
    <w:p>
      <w:pPr>
        <w:numPr>
          <w:ilvl w:val="0"/>
          <w:numId w:val="12"/>
        </w:numPr>
        <w:spacing w:after="80" w:line="300" w:lineRule="auto"/>
      </w:pPr>
      <w:r>
        <w:t>Account servis pesimistički zaključava oba računa u stabilnom UUID redosledu, proverava statuse, valutu, limit i raspoloživo stanje, a zatim debit i credit izvršava u jednoj lokalnoj DB transakciji.</w:t>
      </w:r>
    </w:p>
    <w:p>
      <w:pPr>
        <w:numPr>
          <w:ilvl w:val="0"/>
          <w:numId w:val="12"/>
        </w:numPr>
        <w:spacing w:after="80" w:line="300" w:lineRule="auto"/>
      </w:pPr>
      <w:r>
        <w:t>Transaction servis zaključuje audit. Tek posle uspešnog DB commita objavljuje dva stabilno identifikovana RabbitMQ događaja, po jedan za pošiljaoca i primaoca.</w:t>
      </w:r>
    </w:p>
    <w:p>
      <w:pPr>
        <w:numPr>
          <w:ilvl w:val="0"/>
          <w:numId w:val="12"/>
        </w:numPr>
        <w:spacing w:after="80" w:line="300" w:lineRule="auto"/>
      </w:pPr>
      <w:r>
        <w:t>Notification consumer čuva svaki eventId najviše jednom i novo obaveštenje prosleđuje na /topic/notifications/{customerId}.</w:t>
      </w:r>
    </w:p>
    <w:p>
      <w:pPr>
        <w:pStyle w:val="Heading2"/>
      </w:pPr>
      <w:r>
        <w:t>4.2 Izdavanje kartice i agregirani pregled</w:t>
      </w:r>
    </w:p>
    <w:p>
      <w:r>
        <w:t>Card servis pre izdavanja kartice preko Feign-a proverava da račun postoji, da pripada navedenom klijentu i da je aktivan. Ne generiše niti vraća stvarni PAN/CVV; demonstracioni model čuva nasumičan token, masku i poslednje četiri cifre.</w:t>
      </w:r>
    </w:p>
    <w:p>
      <w:r>
        <w:t>Overview servis predstavlja composition pattern. Customer pregled spaja profil, sve račune, kartice i istoriju transakcija. Account pregled spaja jedan račun, njegove kartice i transakcije. Svaki udaljeni poziv ima zaseban Retry i Circuit Breaker, pa nedostupan servis daje praznu sekciju i zapis u degradedServices umesto rušenja kompletnog odgovora.</w:t>
      </w:r>
    </w:p>
    <w:p>
      <w:pPr>
        <w:pStyle w:val="Heading1"/>
      </w:pPr>
      <w:r>
        <w:t>5. Distribuirani obrasci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900"/>
        <w:gridCol w:w="3860"/>
        <w:gridCol w:w="3600"/>
      </w:tblGrid>
      <w:tr>
        <w:trPr>
          <w:cantSplit w:val="true"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Obrazac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Realizacija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Dobit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Service discovery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Eureka registracija i lookup po spring.application.name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Nema fiksnih hostova i portova između servisa.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Client-side load balancing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Spring Cloud LoadBalancer bira Overview instancu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Horizontalno skaliranje bez promene klijenta.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Declarative HTTP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@FeignClient(name = "account-service") i drugi klijenti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Interfejs opisuje ugovor, infrastruktura pravi HTTP poziv.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Circuit Breaker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CLOSED/OPEN/HALF_OPEN sa failure threshold 50%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Sprečava lavinu sporih poziva ka neispravnoj zavisnosti.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Retry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3 pokušaja, 250 ms, eksponencijalni backoff x2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Apsorbuje kratkotrajne mrežne greške.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Idempotency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Tri nivoa: API ključ, transfer record i eventId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Retry ne skida novac i ne pravi obaveštenje dva puta.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Async event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Topic exchange, durable queue, retry i DLQ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Transaction ne čeka isporuku korisničkog obaveštenja.</w:t>
            </w:r>
          </w:p>
        </w:tc>
      </w:tr>
    </w:tbl>
    <w:p>
      <w:pPr>
        <w:spacing w:after="40"/>
      </w:pPr>
    </w:p>
    <w:p>
      <w:pPr>
        <w:pStyle w:val="Heading1"/>
      </w:pPr>
      <w:r>
        <w:t>6. Bezbednost i operativna vidljivost</w:t>
      </w:r>
    </w:p>
    <w:p>
      <w:r>
        <w:t>Keycloak je authorization server i izdaje potpisan JWT za realm minibanking. Gateway je OAuth2 Resource Server: proverava potpis preko JWK skupa, issuer claim i rok važenja, zatim realm role mapira u Spring Security authorities. CUSTOMER i ADMIN mogu da pristupe /api/**, ali DELETE zahteva ADMIN. Neautentifikovan zahtev dobija 401, a autentifikovan korisnik bez dovoljne uloge 403.</w:t>
      </w:r>
    </w:p>
    <w:p>
      <w:r>
        <w:t>Actuator na svim aplikacijama izlaže health, info, metrics i prometheus. Micrometer dodaje application tag i custom brojače za ishod transfera i Rabbit događaja. Prometheus periodično scrape-uje metrike, Grafana automatski učitava dashboard, a Zipkin prikazuje trace/span lanac i correlation identifikatore u logovima. Time su pokrivena tri stuba: metrike, distribuirani tragovi i korelisani logovi.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 xml:space="preserve">Bezbednosna granica: </w:t>
            </w: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Direktni portovi servisa izloženi su samo radi Swagger/H2 demonstracije. U produkciji bi bili dostupni isključivo na internoj mreži, a Gateway bi ostao jedina javna ulazna tačka.</w:t>
            </w:r>
          </w:p>
        </w:tc>
      </w:tr>
    </w:tbl>
    <w:p>
      <w:pPr>
        <w:spacing w:after="20"/>
      </w:pPr>
    </w:p>
    <w:p>
      <w:pPr>
        <w:pStyle w:val="Heading1"/>
      </w:pPr>
      <w:r>
        <w:t>7. Deploy, profili i testiranje</w:t>
      </w:r>
    </w:p>
    <w:p>
      <w:r>
        <w:t>Svaka Java aplikacija ima multi-stage Dockerfile. Build faza koristi Temurin 21 JDK i Maven cache, a runtime faza manji Temurin 21 JRE image i neprivilegovanog spring korisnika. HEALTHCHECK poziva Actuator. Compose definiše redosled zavisnosti, centralne promenljive, portove i volume-e. Osnovni profil pokreće jezgro; scale dodaje drugu Overview instancu, a observability dodaje Prometheus i Grafanu. Heap je ograničen da bi ceo sistem stabilno radio na studentskom računaru.</w:t>
      </w:r>
    </w:p>
    <w:p>
      <w:r>
        <w:t>Testovi pokrivaju kontekst infrastrukturnih aplikacija, validaciju i CRUD, konkurentno važna pravila računa, idempotency transfera, Feign orkestraciju, bezbednosno mapiranje JWT uloga, fallback agregaciju i event publisher. RabbitNotificationEndToEndTests preko Testcontainers-a pokreće pravi RabbitMQ, šalje duplikat događaja i dokazuje da nastaju jedan H2 zapis i jedna WebSocket poruka.</w:t>
      </w:r>
    </w:p>
    <w:p>
      <w:pPr>
        <w:pStyle w:val="Heading1"/>
      </w:pPr>
      <w:r>
        <w:t>8. Matrica zahteva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1320"/>
        <w:gridCol w:w="2820"/>
        <w:gridCol w:w="1320"/>
        <w:gridCol w:w="3900"/>
      </w:tblGrid>
      <w:tr>
        <w:trPr>
          <w:cantSplit w:val="true"/>
          <w:tblHeader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Kategorija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Zahtev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Status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 w:eastAsia="Calibri"/>
                <w:b/>
                <w:color w:val="18222E"/>
                <w:sz w:val="19"/>
              </w:rPr>
              <w:t>Dokaz u projektu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Obavezno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Eureka, Gateway YAML lb://, LoadBalancer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discovery-server, api-gateway i dve Overview instance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Obavezno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Feign, CB + Retry + fallback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servisni klijenti i centralni overview-service.yml pragovi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Obavezno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CRUD, Validation, JPA, H2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pet domenskih servisa, DTO validacija i zasebne baze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Obavezno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2+ multi-service operacije i agregacija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transfer, kartica, customer/account overview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Obavezno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Actuator i Swagger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health/info/metrics i Swagger UI svakog poslovnog servisa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Opcije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Config, RabbitMQ, Docker, JWT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4/4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sva četiri opciona bloka implementirana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Bonus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Tracing, metrike, skaliranje, WS, profili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Zipkin, Prometheus/Grafana, scale, STOMP i docker/production profili</w:t>
            </w:r>
          </w:p>
        </w:tc>
      </w:tr>
      <w:tr>
        <w:trPr>
          <w:cantSplit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Bonus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Global errors i Testcontainers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Ispunjeno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pStyle w:val="TableText"/>
              <w:spacing w:after="0"/>
            </w:pPr>
            <w:r>
              <w:rPr>
                <w:rFonts w:ascii="Calibri" w:hAnsi="Calibri" w:eastAsia="Calibri"/>
                <w:b w:val="0"/>
                <w:color w:val="18222E"/>
                <w:sz w:val="19"/>
              </w:rPr>
              <w:t>ProblemDetail advice i pravi RabbitMQ E2E test</w:t>
            </w:r>
          </w:p>
        </w:tc>
      </w:tr>
    </w:tbl>
    <w:p>
      <w:pPr>
        <w:spacing w:after="40"/>
      </w:pPr>
    </w:p>
    <w:p>
      <w:pPr>
        <w:pStyle w:val="Heading1"/>
      </w:pPr>
      <w:r>
        <w:t>9. Ograničenja i dalji razvoj</w:t>
      </w:r>
    </w:p>
    <w:p>
      <w:r>
        <w:t>H2 memorijske baze, demo nalozi i javno izloženi direktni portovi prikladni su za fakultetsku demonstraciju, ali ne za produkciju. Produkciona verzija bi koristila zaseban PostgreSQL po servisu, Flyway migracije, tajne iz vault-a, TLS/mTLS, authorization code flow sa PKCE, granularno vlasništvo nad resursima i zatvorenu servisnu mrežu.</w:t>
      </w:r>
    </w:p>
    <w:p>
      <w:r>
        <w:t>Objavljivanje Rabbit događaja posle commita sprečava slanje događaja za rollback-ovanu transakciju, ali između DB commita i uspešne objave i dalje postoji mali failure window. Transactional outbox i publisher worker uklonili bi taj dual-write rizik. Za finansijski sistem dodatno bi bili potrebni immutable ledger sa dvostrukim knjiženjem, saglasnost salda, sagas/kompenzacije, rate limiting, revizija pristupa i produkcioni SLO/alarmi.</w:t>
      </w:r>
    </w:p>
    <w:p>
      <w:r>
        <w:t>U okviru zadatka izabrano rešenje daje pregledan kompromis: dovoljno je malo da se može pokrenuti i objasniti lokalno, a dovoljno kompletno da demonstrira stvarne probleme i obrasce distribuiranih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775"/>
        <w:sz w:val="17"/>
      </w:rPr>
      <w:t xml:space="preserve">MiniBanking | 2025/2026 | Strana </w:t>
    </w:r>
    <w:r>
      <w:rPr>
        <w:rFonts w:ascii="Calibri" w:hAnsi="Calibri" w:eastAsia="Calibri"/>
        <w:color w:val="5B67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775"/>
        <w:sz w:val="17"/>
      </w:rPr>
      <w:t>MINIBANKING | PROJEKTNI IZVEŠTAJ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8222E"/>
      <w:sz w:val="2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sr-Latn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sr-Latn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sr-Latn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widowControl/>
      <w:spacing w:before="0" w:after="120" w:line="276" w:lineRule="auto"/>
    </w:pPr>
    <w:rPr>
      <w:rFonts w:ascii="Calibri" w:hAnsi="Calibri"/>
      <w:b/>
      <w:i w:val="0"/>
      <w:color w:val="2E74B5"/>
      <w:sz w:val="21"/>
      <w:lang w:val="sr-Latn-RS"/>
    </w:rPr>
  </w:style>
  <w:style w:type="paragraph" w:customStyle="1" w:styleId="CoverTitle">
    <w:name w:val="Cover Title"/>
    <w:pPr>
      <w:widowControl/>
      <w:spacing w:before="0" w:after="160" w:line="240" w:lineRule="auto"/>
    </w:pPr>
    <w:rPr>
      <w:rFonts w:ascii="Calibri" w:hAnsi="Calibri"/>
      <w:b/>
      <w:i w:val="0"/>
      <w:color w:val="0B2545"/>
      <w:sz w:val="58"/>
      <w:lang w:val="sr-Latn-RS"/>
    </w:rPr>
  </w:style>
  <w:style w:type="paragraph" w:customStyle="1" w:styleId="CoverSubtitle">
    <w:name w:val="Cover Subtitle"/>
    <w:pPr>
      <w:widowControl/>
      <w:spacing w:before="0" w:after="360" w:line="276" w:lineRule="auto"/>
    </w:pPr>
    <w:rPr>
      <w:rFonts w:ascii="Calibri" w:hAnsi="Calibri"/>
      <w:b w:val="0"/>
      <w:i w:val="0"/>
      <w:color w:val="5B6775"/>
      <w:sz w:val="28"/>
      <w:lang w:val="sr-Latn-RS"/>
    </w:rPr>
  </w:style>
  <w:style w:type="paragraph" w:customStyle="1" w:styleId="Metadata">
    <w:name w:val="Metadata"/>
    <w:pPr>
      <w:widowControl/>
      <w:spacing w:before="0" w:after="60" w:line="276" w:lineRule="auto"/>
    </w:pPr>
    <w:rPr>
      <w:rFonts w:ascii="Calibri" w:hAnsi="Calibri"/>
      <w:b w:val="0"/>
      <w:i w:val="0"/>
      <w:color w:val="18222E"/>
      <w:sz w:val="21"/>
      <w:lang w:val="sr-Latn-RS"/>
    </w:rPr>
  </w:style>
  <w:style w:type="paragraph" w:customStyle="1" w:styleId="TableText">
    <w:name w:val="Table Text"/>
    <w:pPr>
      <w:widowControl/>
      <w:spacing w:before="0" w:after="80" w:line="276" w:lineRule="auto"/>
    </w:pPr>
    <w:rPr>
      <w:rFonts w:ascii="Calibri" w:hAnsi="Calibri"/>
      <w:b w:val="0"/>
      <w:i w:val="0"/>
      <w:color w:val="18222E"/>
      <w:sz w:val="19"/>
      <w:lang w:val="sr-Latn-RS"/>
    </w:rPr>
  </w:style>
  <w:style w:type="paragraph" w:customStyle="1" w:styleId="CodeBlock">
    <w:name w:val="Code Block"/>
    <w:pPr>
      <w:widowControl/>
      <w:spacing w:before="0" w:after="80" w:line="240" w:lineRule="auto"/>
    </w:pPr>
    <w:rPr>
      <w:rFonts w:ascii="Consolas" w:hAnsi="Consolas"/>
      <w:b w:val="0"/>
      <w:i w:val="0"/>
      <w:color w:val="18222E"/>
      <w:sz w:val="18"/>
      <w:lang w:val="sr-Latn-RS"/>
    </w:rPr>
  </w:style>
  <w:style w:type="paragraph" w:customStyle="1" w:styleId="Question">
    <w:name w:val="Question"/>
    <w:pPr>
      <w:keepNext/>
      <w:widowControl/>
      <w:spacing w:before="160" w:after="60" w:line="276" w:lineRule="auto"/>
    </w:pPr>
    <w:rPr>
      <w:rFonts w:ascii="Calibri" w:hAnsi="Calibri"/>
      <w:b/>
      <w:i w:val="0"/>
      <w:color w:val="1F4D78"/>
      <w:sz w:val="23"/>
      <w:lang w:val="sr-Latn-R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MiniBanking - projektni izveštaj</dc:title>
  <dc:subject>Kratak izveštaj o arhitekturi i realizaciji distribuirane bankarske aplikacije</dc:subject>
  <dc:creator>MiniBanking project</dc:creator>
  <cp:keywords>MiniBanking, Java, Spring Boot, microservices, faculty project</cp:keywords>
  <dc:description>Generated and visually verified as part of the MiniBanking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