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ТЕХНИЧЕСКОЕ ЗАДАНИЕ И АРХИТЕКТУРНАЯ КОНЦЕПЦИЯ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Программное обеспечение для анализа и обработки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мультимодальных медицинских изображений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Рабочий документ по итогам обсуждения концепции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Язык реализации: Python</w:t>
      </w:r>
    </w:p>
    <w:p>
      <w:pPr>
        <w:spacing w:after="5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Версия документа: 1.0</w:t>
      </w:r>
    </w:p>
    <w:p>
      <w:pPr>
        <w:pStyle w:val="Heading2"/>
        <w:spacing w:after="120" w:before="260"/>
      </w:pPr>
      <w:r>
        <w:rPr>
          <w:b/>
          <w:bCs/>
        </w:rPr>
        <w:t xml:space="preserve">Назначение документа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Документ фиксирует согласованную концепцию архитектуры программного обеспечения для анализа мультимодальных медицинских изображений в научно-исследовательских целях. Приведённые решения обоснованы причинно-следственными связями: каждое архитектурное решение сопровождается объяснением, какую проблему оно решает и к каким последствиям приводит его отсутствие. Документ является рабочим и подлежит уточнению по мере детализации отдельных модулей.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1. Общая концепция интерфейса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Исходное техническое задание определяет интерфейс как систему вкладок (tabs), разделённых по функциональному назначению. Такое разделение обосновано тем, что задачи загрузки данных, их визуальной обработки и клинического анализа предъявляют разные требования к рабочему пространству, и совмещение их в одном экране привело бы к перегруженному и трудно масштабируемому интерфейсу.</w:t>
      </w:r>
    </w:p>
    <w:p>
      <w:pPr>
        <w:pStyle w:val="Heading2"/>
        <w:spacing w:after="120" w:before="260"/>
      </w:pPr>
      <w:r>
        <w:rPr>
          <w:b/>
          <w:bCs/>
        </w:rPr>
        <w:t xml:space="preserve">1.1. Вкладка загрузки данных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Назначение вкладки — импорт, каталогизация и первичный просмотр исследований. Функционально она должна включать: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панель управления файлами (открыть, добавить, сохранить);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таблицу паспортных данных пациента: ФИО, возраст, тип исследования;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окно предпросмотра изображения — текущего либо выбранного из таблицы;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таблицу расширенных сведений об исследовании: DICOM-метаданные (DICOM info — служебная информация формата DICOM, стандарта хранения медицинских изображений) и перечень уже рассчитанных или предобработанных данных.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Причинно-следственная связь: разделение на «паспортные данные» и «расширенные данные» продиктовано тем, что первые нужны для идентификации пациента при рутинной работе, тогда как вторые требуются эпизодически — при отладке протокола или проверке параметров съёмки. Совмещение этих таблиц в одну перегрузило бы основной рабочий экран второстепенной информацией.</w:t>
      </w:r>
    </w:p>
    <w:p>
      <w:pPr>
        <w:pStyle w:val="Heading2"/>
        <w:spacing w:after="120" w:before="260"/>
      </w:pPr>
      <w:r>
        <w:rPr>
          <w:b/>
          <w:bCs/>
        </w:rPr>
        <w:t xml:space="preserve">1.2. Вкладка работы с изображением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Данная вкладка является основной рабочей зоной анализа и должна содержать инструментальную панель и набор синхронизированных панелей просмотра: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инструменты: выделение зон интереса (ROI — Region of Interest, область/зона интереса), фильтрация, просмотр характеристик изображения, окно параметров изображения, совмещение изображений (image fusion / registration — регистрация изображений), измерение размеров;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панель прокрутки для динамических исследований (временны́е серии — например, серии с контрастным усилением);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панели проекций: сагиттальной, фронтальной, поперечной (аксиальной);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панель параметров изображения: выбор модальности, палитра (colormap), отсечка и добавление фона (windowing / thresholding — выбор диапазона отображаемых значений);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таблицу результатов измерений;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таблицу расчётных параметров по зонам интереса.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Причинно-следственная связь: объединение трёх ортогональных проекций (MPR — Multiplanar Reconstruction, мультипланарная реконструкция) в одной вкладке продиктовано тем, что клиническая и научная интерпретация объёмных данных требует одновременного визуального контроля по всем плоскостям — без этого невозможно корректно позиционировать зону интереса в трёхмерном объёме.</w:t>
      </w:r>
    </w:p>
    <w:p>
      <w:pPr>
        <w:pStyle w:val="Heading2"/>
        <w:spacing w:after="120" w:before="260"/>
      </w:pPr>
      <w:r>
        <w:rPr>
          <w:b/>
          <w:bCs/>
        </w:rPr>
        <w:t xml:space="preserve">1.3. Клинические подпрограммы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Клинические подпрограммы (например, специализированные алгоритмы для конкретных нозологий или типов анализа) должны быть вынесены в отдельные вкладки, но обязаны переиспользовать базовые инструменты — ROI, измерения, фильтрацию — из общего ядра, а не дублировать их реализацию. Причина такого требования: дублирование логики в каждом клиническом модуле приводит к рассогласованию версий алгоритмов и делает невозможной унифицированную валидацию результатов при научной публикации.</w:t>
      </w:r>
    </w:p>
    <w:p>
      <w:pPr>
        <w:pStyle w:val="Heading2"/>
        <w:spacing w:after="120" w:before="260"/>
      </w:pPr>
      <w:r>
        <w:rPr>
          <w:b/>
          <w:bCs/>
        </w:rPr>
        <w:t xml:space="preserve">1.4. Идентификация пациента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На каждой вкладке должна отображаться ФИО пациента и/или однозначный идентификатор. Требование связано с минимизацией риска ошибочного анализа данных не того пациента при работе с большим количеством одновременно открытых исследований — данная функция должна быть реализована на уровне общего для всех вкладок компонента-заголовка, а не дублироваться в коде каждой вкладки отдельно.</w:t>
      </w:r>
    </w:p>
    <w:p>
      <w:pPr>
        <w:pStyle w:val="Heading2"/>
        <w:spacing w:after="120" w:before="260"/>
      </w:pPr>
      <w:r>
        <w:rPr>
          <w:b/>
          <w:bCs/>
        </w:rPr>
        <w:t xml:space="preserve">1.5. Поддержка многомониторной конфигурации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Требование работы с двумя мониторами вытекает из специфики клинических подпрограмм: интенсивная 3D-визуализация, MPR-панели и графики результатов одновременно требуют значительной площади экрана. Технически это реализуется через докируемые панели (dockable panels) на базе Qt (QDockWidget), которые позволяют отделять панель от главного окна и переносить её на второй монитор, а также через программное позиционирование окон средствами QScreen API. Такое решение выбрано вместо жёсткого разнесения экранов на уровне приложения, поскольку сохраняет гибкость: пользователь сам определяет, какие панели вынести на второй монитор, в зависимости от задачи.</w:t>
      </w:r>
    </w:p>
    <w:p>
      <w:pPr>
        <w:pStyle w:val="Heading1"/>
        <w:spacing w:after="160" w:before="360"/>
      </w:pPr>
      <w:r>
        <w:rPr>
          <w:b/>
          <w:bCs/>
        </w:rPr>
        <w:t xml:space="preserve">2. Технологический стек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Выбор библиотек обусловлен требованием профессионального уровня приложения и необходимостью работы с объёмными медицинскими данными без написания низкоуровневой математики визуализации с нуля.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6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446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Обоснование выбора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Графический интерфейс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PySide6 (или PyQt6)</w:t>
            </w:r>
          </w:p>
        </w:tc>
        <w:tc>
          <w:tcPr>
            <w:tcW w:type="dxa" w:w="4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Поддержка многооконности, докируемых панелей, нескольких мониторов; промышленный стандарт для desktop-приложений на Python</w:t>
            </w:r>
          </w:p>
        </w:tc>
      </w:tr>
      <w:tr>
        <w:tc>
          <w:tcPr>
            <w:tcW w:type="dxa" w:w="26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Чтение/запись DICOM</w:t>
            </w:r>
          </w:p>
        </w:tc>
        <w:tc>
          <w:tcPr>
            <w:tcW w:type="dxa" w:w="26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pydicom</w:t>
            </w:r>
          </w:p>
        </w:tc>
        <w:tc>
          <w:tcPr>
            <w:tcW w:type="dxa" w:w="446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Полная поддержка стандарта DICOM и его метаданных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Обработка объёмных данных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SimpleITK / ITK</w:t>
            </w:r>
          </w:p>
        </w:tc>
        <w:tc>
          <w:tcPr>
            <w:tcW w:type="dxa" w:w="4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Ресемплинг, регистрация изображений, фильтрация; работа с 3D и 4D данными</w:t>
            </w:r>
          </w:p>
        </w:tc>
      </w:tr>
      <w:tr>
        <w:tc>
          <w:tcPr>
            <w:tcW w:type="dxa" w:w="26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3D-визуализация и MPR</w:t>
            </w:r>
          </w:p>
        </w:tc>
        <w:tc>
          <w:tcPr>
            <w:tcW w:type="dxa" w:w="26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VTK</w:t>
            </w:r>
          </w:p>
        </w:tc>
        <w:tc>
          <w:tcPr>
            <w:tcW w:type="dxa" w:w="446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Промышленный стандарт для мультипланарной реконструкции и объёмного рендеринга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2D-просмотр, интерактивные ROI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pyqtgraph</w:t>
            </w:r>
          </w:p>
        </w:tc>
        <w:tc>
          <w:tcPr>
            <w:tcW w:type="dxa" w:w="4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 скорость отрисовки, встроенные интерактивные элементы</w:t>
            </w:r>
          </w:p>
        </w:tc>
      </w:tr>
      <w:tr>
        <w:tc>
          <w:tcPr>
            <w:tcW w:type="dxa" w:w="26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Сегментация, морфология</w:t>
            </w:r>
          </w:p>
        </w:tc>
        <w:tc>
          <w:tcPr>
            <w:tcW w:type="dxa" w:w="26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scikit-image</w:t>
            </w:r>
          </w:p>
        </w:tc>
        <w:tc>
          <w:tcPr>
            <w:tcW w:type="dxa" w:w="446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Готовые алгоритмы обработки изображений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Хранение метаданных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4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Компактность, простота переноса, лёгкая миграция на PostgreSQL при росте нагрузки</w:t>
            </w:r>
          </w:p>
        </w:tc>
      </w:tr>
    </w:tbl>
    <w:p>
      <w:pPr>
        <w:spacing w:after="16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Следствие данного выбора: основная часть функциональности вкладки «работа с изображением» реализуется как настройка и интеграция перечисленных библиотек поверх собственной модели данных, а не как самостоятельная разработка алгоритмов визуализации — это существенно снижает сроки разработки и риск ошибок в математике визуализации.</w:t>
      </w:r>
    </w:p>
    <w:p>
      <w:pPr>
        <w:pStyle w:val="Heading1"/>
        <w:spacing w:after="160" w:before="360"/>
      </w:pPr>
      <w:r>
        <w:rPr>
          <w:b/>
          <w:bCs/>
        </w:rPr>
        <w:t xml:space="preserve">3. Архитектурный паттерн и структура репозитория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Рекомендуется паттерн MVC/MVVM с жёстким разделением слоя бизнес-логики (core) и слоя интерфейса (gui). Основание для такого решения: клинические подпрограммы и обработка данных должны быть тестируемы и воспроизводимы независимо от интерфейса, а также пригодны для использования в пакетном (batch) режиме без графического окружения — без разделения слоёв это было бы недостижимо.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4" w:val="clear"/>
        <w:spacing w:after="0" w:before="80" w:line="240"/>
      </w:pPr>
      <w:r>
        <w:rPr>
          <w:rFonts w:ascii="Consolas" w:cs="Consolas" w:eastAsia="Consolas" w:hAnsi="Consolas"/>
          <w:sz w:val="19"/>
          <w:szCs w:val="19"/>
        </w:rPr>
        <w:t xml:space="preserve">core/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├── model/        — Patient, Study, Series, Image, ROI, Measurement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├── io/           — загрузка и сохранение (DICOM, NIfTI, файлы проекта)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├── processing/   — фильтрация, регистрация, сегментация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└── plugins/      — интерфейс клинических подмодулей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gui/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├── tabs/         — DataTab, ImageTab, ClinicalTabs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├── widgets/      — переиспользуемые компоненты (viewer, ROI-панель)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└── windows/      — MainWindow, DetachedWindow (для второго монитора)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app.py             — точка входа, сборка зависимостей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Ключевое следствие: любой модуль из core (в том числе клинические алгоритмы) может быть вызван как из графического интерфейса, так и из автономного скрипта пакетной обработки — реализация алгоритма пишется один раз.</w:t>
      </w:r>
    </w:p>
    <w:p>
      <w:pPr>
        <w:pStyle w:val="Heading1"/>
        <w:spacing w:after="160" w:before="360"/>
      </w:pPr>
      <w:r>
        <w:rPr>
          <w:b/>
          <w:bCs/>
        </w:rPr>
        <w:t xml:space="preserve">4. Модель данных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Иерархия базовых классов повторяет модель данных стандарта DICOM. Такое соответствие выбрано намеренно: отклонение от стандартной иерархии на старте проекта неизбежно потребовало бы последующего сопоставления (mapping) между собственной моделью и DICOM при каждом импорте/экспорте, что является источником ошибок и избыточной сложности.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4" w:val="clear"/>
        <w:spacing w:after="0" w:before="80" w:line="240"/>
      </w:pPr>
      <w:r>
        <w:rPr>
          <w:rFonts w:ascii="Consolas" w:cs="Consolas" w:eastAsia="Consolas" w:hAnsi="Consolas"/>
          <w:sz w:val="19"/>
          <w:szCs w:val="19"/>
        </w:rPr>
        <w:t xml:space="preserve">Patient (пациент)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└── Study (исследование)      — дата, тип, направление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└── Series (серия)       — модальность, протокол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└── ImageStack / Volume — 2D/3D/4D данные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</w:rPr>
        <w:t xml:space="preserve">4.1. Назначение базовых классов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Patient — </w:t>
      </w:r>
      <w:r>
        <w:rPr>
          <w:rFonts w:ascii="Calibri" w:cs="Calibri" w:eastAsia="Calibri" w:hAnsi="Calibri"/>
          <w:sz w:val="22"/>
          <w:szCs w:val="22"/>
        </w:rPr>
        <w:t xml:space="preserve">ФИО, идентификатор (в т.ч. псевдонимизированный), демографические данные;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Study — </w:t>
      </w:r>
      <w:r>
        <w:rPr>
          <w:rFonts w:ascii="Calibri" w:cs="Calibri" w:eastAsia="Calibri" w:hAnsi="Calibri"/>
          <w:sz w:val="22"/>
          <w:szCs w:val="22"/>
        </w:rPr>
        <w:t xml:space="preserve">метаданные исследования, список объектов Series;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Series — </w:t>
      </w:r>
      <w:r>
        <w:rPr>
          <w:rFonts w:ascii="Calibri" w:cs="Calibri" w:eastAsia="Calibri" w:hAnsi="Calibri"/>
          <w:sz w:val="22"/>
          <w:szCs w:val="22"/>
        </w:rPr>
        <w:t xml:space="preserve">модальность (КТ/МРТ/ПЭТ/УЗИ и др.), геометрия (шаг сетки, ориентация в пространстве), ссылка на данные;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ImageData — </w:t>
      </w:r>
      <w:r>
        <w:rPr>
          <w:rFonts w:ascii="Calibri" w:cs="Calibri" w:eastAsia="Calibri" w:hAnsi="Calibri"/>
          <w:sz w:val="22"/>
          <w:szCs w:val="22"/>
        </w:rPr>
        <w:t xml:space="preserve">обёртка над numpy-массивом с матрицей ориентации в пространстве (affine) и параметрами окна/уровня отображения (window/level);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ROI — </w:t>
      </w:r>
      <w:r>
        <w:rPr>
          <w:rFonts w:ascii="Calibri" w:cs="Calibri" w:eastAsia="Calibri" w:hAnsi="Calibri"/>
          <w:sz w:val="22"/>
          <w:szCs w:val="22"/>
        </w:rPr>
        <w:t xml:space="preserve">базовый класс зоны интереса с наследниками PointROI, PolygonROI, EllipseROI, VolumeROI; каждый умеет вычислять собственные характеристики в контексте конкретной Series;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Measurement — </w:t>
      </w:r>
      <w:r>
        <w:rPr>
          <w:rFonts w:ascii="Calibri" w:cs="Calibri" w:eastAsia="Calibri" w:hAnsi="Calibri"/>
          <w:sz w:val="22"/>
          <w:szCs w:val="22"/>
        </w:rPr>
        <w:t xml:space="preserve">результат измерения, связанный с конкретным ROI и методом расчёта;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ProcessingStep — </w:t>
      </w:r>
      <w:r>
        <w:rPr>
          <w:rFonts w:ascii="Calibri" w:cs="Calibri" w:eastAsia="Calibri" w:hAnsi="Calibri"/>
          <w:sz w:val="22"/>
          <w:szCs w:val="22"/>
        </w:rPr>
        <w:t xml:space="preserve">узел графа обработки данных (фильтр, регистрация и т.п.) с явно определёнными входом, выходом и параметрами.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8" w:sz="4"/>
              <w:left w:val="single" w:color="1F4E78" w:sz="24"/>
              <w:bottom w:val="single" w:color="1F4E78" w:sz="4"/>
              <w:right w:val="single" w:color="1F4E78" w:sz="4"/>
            </w:tcBorders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0"/>
                <w:szCs w:val="20"/>
              </w:rPr>
              <w:t xml:space="preserve">Причинно-следственная связь</w:t>
            </w:r>
          </w:p>
          <w:p>
            <w:pPr>
              <w:spacing w:after="0"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Наличие класса ProcessingStep как самостоятельной сущности, а не побочного эффекта функции обработки, обеспечивает историю обработки (provenance) — то есть возможность точно установить, из каких исходных данных, каким методом и с какими параметрами получен конкретный результат. Для научных публикаций это требование является обязательным условием воспроизводимости, а не факультативным удобством.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5. Хранение данных и обеспечение целостности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Отдельного рассмотрения требует поставленная задача: обеспечить пользователю прямой доступ к файлам данных, сохранив при этом устойчивость системы к случайному нарушению структуры хранения или удалению файлов вне приложения. Прямой запрет доступа к файлам на уровне операционной системы признан нерациональным решением, поскольку на практике исследователи регулярно работают с данными вне приложения (просмотр в сторонних программах, передача коллегам, резервное копирование), и жёсткие ограничения лишь снижали бы удобство работы, не устраняя риск полностью.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Вместо ограничения доступа предлагается разделение данных на три уровня с разной степенью защиты и обязательный механизм проверки целостности.</w:t>
      </w:r>
    </w:p>
    <w:p>
      <w:pPr>
        <w:pStyle w:val="Heading2"/>
        <w:spacing w:after="120" w:before="260"/>
      </w:pPr>
      <w:r>
        <w:rPr>
          <w:b/>
          <w:bCs/>
        </w:rPr>
        <w:t xml:space="preserve">5.1. Три уровня хранения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400"/>
        <w:gridCol w:w="176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9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Доступ пользователя</w:t>
            </w:r>
          </w:p>
        </w:tc>
        <w:tc>
          <w:tcPr>
            <w:tcW w:type="dxa" w:w="176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Механизм защиты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storage (исходное хранилище)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Оригинальные файлы DICOM/NIfTI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Только чтение — в том числе для самого приложения</w:t>
            </w:r>
          </w:p>
        </w:tc>
        <w:tc>
          <w:tcPr>
            <w:tcW w:type="dxa" w:w="1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Атрибут «только чтение» устанавливается на уровне файловой системы сразу при импорте</w:t>
            </w:r>
          </w:p>
        </w:tc>
      </w:tr>
      <w:tr>
        <w:tc>
          <w:tcPr>
            <w:tcW w:type="dxa" w:w="26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storage (рабочее хранилище)</w:t>
            </w:r>
          </w:p>
        </w:tc>
        <w:tc>
          <w:tcPr>
            <w:tcW w:type="dxa" w:w="29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Копии/ссылки на исходники, производные данные</w:t>
            </w:r>
          </w:p>
        </w:tc>
        <w:tc>
          <w:tcPr>
            <w:tcW w:type="dxa" w:w="240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Полный доступ через файловый менеджер ОС</w:t>
            </w:r>
          </w:p>
        </w:tc>
        <w:tc>
          <w:tcPr>
            <w:tcW w:type="dxa" w:w="1760"/>
            <w:shd w:fill="F7F9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Контрольная сумма (checksum) каждого файла хранится в БД; расхождение фиксируется автоматически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DB (проектная база данных)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Метаданные, ROI, измерения, связи между сущностями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Доступ только через приложение (файл может быть открыт для просмотра, но не для прямого редактирования)</w:t>
            </w:r>
          </w:p>
        </w:tc>
        <w:tc>
          <w:tcPr>
            <w:tcW w:type="dxa" w:w="1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Формат SQLite; целостность обеспечивается транзакционностью СУБД</w:t>
            </w:r>
          </w:p>
        </w:tc>
      </w:tr>
    </w:tbl>
    <w:p>
      <w:pPr>
        <w:spacing w:after="16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Следствие такого разделения: даже если пользователь удалит или переместит файл в рабочем хранилище, система не завершится аварийно и не потеряет данные молча — расхождение будет обнаружено при следующей проверке целостности и отражено в интерфейсе как явный статус, а не как непредсказуемая ошибка.</w:t>
      </w:r>
    </w:p>
    <w:p>
      <w:pPr>
        <w:pStyle w:val="Heading2"/>
        <w:spacing w:after="120" w:before="260"/>
      </w:pPr>
      <w:r>
        <w:rPr>
          <w:b/>
          <w:bCs/>
        </w:rPr>
        <w:t xml:space="preserve">5.2. Служба проверки целостности данных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80" w:line="260"/>
      </w:pPr>
      <w:r>
        <w:rPr>
          <w:rFonts w:ascii="Consolas" w:cs="Consolas" w:eastAsia="Consolas" w:hAnsi="Consolas"/>
          <w:sz w:val="19"/>
          <w:szCs w:val="19"/>
        </w:rPr>
        <w:t xml:space="preserve">class DataIntegrityService:
    def verify_series(self, series: Series) -&gt; IntegrityStatus:
        """
        Сверяет файлы на диске с записью в базе данных:
        - существование файла;
        - совпадение контрольной суммы (hash);
        - совпадение количества файлов/срезов.
        """
        ...</w:t>
      </w:r>
    </w:p>
    <w:p>
      <w:pPr>
        <w:spacing w:after="8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Проверка запускается в трёх случаях: при старте приложения (фоновая проверка ранее открытых исследований), при открытии конкретного исследования и по явному запросу пользователя («проверить целостность базы»). При обнаружении расхождения исследование получает статус MISSING (файл отсутствует) либо MODIFIED (файл изменён вне приложения) и отображается в таблице исследований с соответствующей пометкой — это прямое следствие пункта 1.1 технического задания о таблице расширенных сведений об исследовании.</w:t>
      </w:r>
    </w:p>
    <w:p>
      <w:pPr>
        <w:pStyle w:val="Heading2"/>
        <w:spacing w:after="120" w:before="260"/>
      </w:pPr>
      <w:r>
        <w:rPr>
          <w:b/>
          <w:bCs/>
        </w:rPr>
        <w:t xml:space="preserve">5.3. Структура файловой системы проекта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4" w:val="clear"/>
        <w:spacing w:after="0" w:before="80" w:line="240"/>
      </w:pPr>
      <w:r>
        <w:rPr>
          <w:rFonts w:ascii="Consolas" w:cs="Consolas" w:eastAsia="Consolas" w:hAnsi="Consolas"/>
          <w:sz w:val="19"/>
          <w:szCs w:val="19"/>
        </w:rPr>
        <w:t xml:space="preserve">project_root/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├── database.db     — SQLite: метаданные, связи, статусы, история обработки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├── raw/            — исходники (только чтение)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│    └── {patient_id}/{study_uid}/{series_uid}/*.dcm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├── derived/        — результаты обработки (фильтрация, регистрация)</w:t>
      </w:r>
    </w:p>
    <w:p>
      <w:pPr>
        <w:pBdr>
          <w:left w:val="single" w:color="CCCCCC" w:sz="4"/>
          <w:right w:val="single" w:color="CCCCCC" w:sz="4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│    └── {series_uid}/{processing_step_id}/...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└── cache/          — превью, миниатюры, пересчитываемые данные</w:t>
      </w:r>
    </w:p>
    <w:p>
      <w:pPr>
        <w:spacing w:after="16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База данных при этом хранит не сами данные, а относительные пути к файлам, метаданные и контрольные суммы. Использование относительных, а не абсолютных путей, обусловлено необходимостью переноса проекта между рабочими станциями без потери связности данных.</w:t>
      </w:r>
    </w:p>
    <w:p>
      <w:pPr>
        <w:pStyle w:val="Heading1"/>
        <w:spacing w:after="160" w:before="360"/>
      </w:pPr>
      <w:r>
        <w:rPr>
          <w:b/>
          <w:bCs/>
        </w:rPr>
        <w:t xml:space="preserve">6. База данных и автоматизация пересчёта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Требование вести базу данных для автоматизированного пересчёта или обработки выбранных исследований напрямую следует из необходимости массовой обработки когорт пациентов в научных задачах — ручная обработка каждого исследования по отдельности непригодна при работе с выборками значимого размера.</w:t>
      </w:r>
    </w:p>
    <w:p>
      <w:pPr>
        <w:pStyle w:val="Heading2"/>
        <w:spacing w:after="120" w:before="260"/>
      </w:pPr>
      <w:r>
        <w:rPr>
          <w:b/>
          <w:bCs/>
        </w:rPr>
        <w:t xml:space="preserve">6.1. Выбор СУБД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Рекомендуется SQLite на начальном этапе с доступом через ORM (SQLAlchemy), а не через прямые SQL-запросы. Причина: SQLite представляет проект в виде одного файла, что упрощает копирование, версионирование и резервное копирование для одиночного исследователя или небольшой лаборатории. При этом использование ORM обеспечивает безболезненную миграцию на PostgreSQL в случае, если в дальнейшем потребуется многопользовательский доступ к единой базе по сети — переписывать потребуется только конфигурацию подключения, а не бизнes-логику.</w:t>
      </w:r>
    </w:p>
    <w:p>
      <w:pPr>
        <w:pStyle w:val="Heading2"/>
        <w:spacing w:after="120" w:before="260"/>
      </w:pPr>
      <w:r>
        <w:rPr>
          <w:b/>
          <w:bCs/>
        </w:rPr>
        <w:t xml:space="preserve">6.2. Граф обработки данных (processing graph)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Основой автоматизированного пересчёта служит явно фиксируемый граф зависимостей между объектом ProcessingStep, введённым в разделе 4: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80" w:before="80" w:line="260"/>
      </w:pPr>
      <w:r>
        <w:rPr>
          <w:rFonts w:ascii="Consolas" w:cs="Consolas" w:eastAsia="Consolas" w:hAnsi="Consolas"/>
          <w:sz w:val="19"/>
          <w:szCs w:val="19"/>
        </w:rPr>
        <w:t xml:space="preserve">class ProcessingStep:
    id: UUID
    input_ids: list[UUID]     # входные Series/ImageData
    method: str                # имя функции/модуля обработки
    params: dict                # параметры (сериализуемые в JSON)
    output_id: UUID
    created_at: datetime
    code_version: str            # версия алгоритма — обязательна для воспроизводимости
    status: Enum                 # PENDING, DONE, FAILED, STALE</w:t>
      </w:r>
    </w:p>
    <w:p>
      <w:pPr>
        <w:spacing w:after="8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Наличие поля code_version является прямым следствием требования научной воспроизводимости: без фиксации версии алгоритма невозможно достоверно объяснить расхождение результатов, полученных на одних и тех же исходных данных в разное время.</w:t>
      </w:r>
    </w:p>
    <w:p>
      <w:pPr>
        <w:pStyle w:val="Heading2"/>
        <w:spacing w:after="120" w:before="260"/>
      </w:pPr>
      <w:r>
        <w:rPr>
          <w:b/>
          <w:bCs/>
        </w:rPr>
        <w:t xml:space="preserve">6.3. Порядок автоматизированного пересчёта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Пользователь выбирает одно или несколько исследований в таблице (множественный выбор, флажки) и указывает требуемый пайплайн обработки.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Задачи помещаются в очередь (task queue) и выполняются асинхронно — через concurrent.futures при небольшом объёме или через Celery/joblib при значительном — с отображением прогресса и возможностью отмены.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При изменении исходных данных или параметров метода все зависимые узлы графа ProcessingStep автоматически получают статус STALE (устаревший результат) и подлежат пересчёту; результат при этом не удаляется, что позволяет сравнить старое и новое значения.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Пакетный (batch) режим без графического интерфейса использует тот же код core, что и интерактивная обработка, что исключает рассогласование логики между интерактивным и автоматическим режимами.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8" w:sz="4"/>
              <w:left w:val="single" w:color="1F4E78" w:sz="24"/>
              <w:bottom w:val="single" w:color="1F4E78" w:sz="4"/>
              <w:right w:val="single" w:color="1F4E78" w:sz="4"/>
            </w:tcBorders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0"/>
                <w:szCs w:val="20"/>
              </w:rPr>
              <w:t xml:space="preserve">Причинно-следственная связь</w:t>
            </w:r>
          </w:p>
          <w:p>
            <w:pPr>
              <w:spacing w:after="0"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Статус STALE введён вместо немедленного автоматического пересчёта или удаления устаревшего результата намеренно: мгновенный пересчёт при изменении параметров одного узла графа может вызвать каскадный пересчёт значительной части исследования в неподходящий момент (например, во время интерактивной работы пользователя), тогда как явная пометка оставляет решение о пересчёте за пользователем, не теряя информации об устаревании.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7. Дополнения к техническому заданию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Ниже перечислены позиции, добавленные к исходному техническому заданию как логически необходимые следствия уже принятых решений либо как типовые требования к профессиональному программному обеспечению данного класса.</w:t>
      </w:r>
    </w:p>
    <w:p>
      <w:pPr>
        <w:pStyle w:val="Heading2"/>
        <w:spacing w:after="120" w:before="260"/>
      </w:pPr>
      <w:r>
        <w:rPr>
          <w:b/>
          <w:bCs/>
        </w:rPr>
        <w:t xml:space="preserve">7.1. Отмена и повтор действий (Undo/Redo)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Обязательна при редактировании ROI и внесении измерений. Основание: без данной функции ошибочное действие пользователя (случайное удаление или искажение зоны интереса) приводит к безвозвратной потере результата ручной разметки, что для научных задач с высокой стоимостью экспертной разметки является неприемлемым риском.</w:t>
      </w:r>
    </w:p>
    <w:p>
      <w:pPr>
        <w:pStyle w:val="Heading2"/>
        <w:spacing w:after="120" w:before="260"/>
      </w:pPr>
      <w:r>
        <w:rPr>
          <w:b/>
          <w:bCs/>
        </w:rPr>
        <w:t xml:space="preserve">7.2. Журнал изменений (audit trail)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Фиксация того, кто, когда и какое действие (фильтр, ROI, параметр) применил к данным. Помимо требований воспроизводимости научных результатов, данный механизм закладывает основу для последующей клинической валидации приложения, где требование прослеживаемости действий пользователя является обязательным.</w:t>
      </w:r>
    </w:p>
    <w:p>
      <w:pPr>
        <w:pStyle w:val="Heading2"/>
        <w:spacing w:after="120" w:before="260"/>
      </w:pPr>
      <w:r>
        <w:rPr>
          <w:b/>
          <w:bCs/>
        </w:rPr>
        <w:t xml:space="preserve">7.3. Анонимизация и псевдонимизация данных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При использовании реальных пациентских данных в исследованиях режим де-идентификации должен быть реализован на уровне модуля ввода-вывода (io) как базовая функция, а не добавлен впоследствии как надстройка. Основание: отложенная реализация анонимизации типично приводит к тому, что персональные данные успевают попасть в промежуточные файлы, кэш и результаты обработки, откуда их последующее удаление технически затруднено.</w:t>
      </w:r>
    </w:p>
    <w:p>
      <w:pPr>
        <w:pStyle w:val="Heading2"/>
        <w:spacing w:after="120" w:before="260"/>
      </w:pPr>
      <w:r>
        <w:rPr>
          <w:b/>
          <w:bCs/>
        </w:rPr>
        <w:t xml:space="preserve">7.4. Экспорт результатов в структурированном виде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Результаты измерений и расчётных параметров должны экспортироваться в CSV/JSON, а также, где применимо, в формате DICOM-SR (Structured Report — структурированный отчёт формата DICOM). Требование продиктовано необходимостью последующей статистической обработки результатов вне приложения и соответствием отраслевому стандарту обмена структурированными медицинскими данными.</w:t>
      </w:r>
    </w:p>
    <w:p>
      <w:pPr>
        <w:pStyle w:val="Heading2"/>
        <w:spacing w:after="120" w:before="260"/>
      </w:pPr>
      <w:r>
        <w:rPr>
          <w:b/>
          <w:bCs/>
        </w:rPr>
        <w:t xml:space="preserve">7.5. Единая система координат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При совмещении изображений разных модальностей (fusion) необходимо заранее определить общую мировую систему координат (world coordinate system), используемую всеми модулями регистрации и визуализации. Основание: определение системы координат отдельно в каждом модуле обработки на практике приводит к несогласованности результатов совмещения между модулями и требует последующей трудоёмкой унификации.</w:t>
      </w:r>
    </w:p>
    <w:p>
      <w:pPr>
        <w:pStyle w:val="Heading2"/>
        <w:spacing w:after="120" w:before="260"/>
      </w:pPr>
      <w:r>
        <w:rPr>
          <w:b/>
          <w:bCs/>
        </w:rPr>
        <w:t xml:space="preserve">7.6. Профили конфигурации интерфейса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Поскольку разным клиническим подпрограммам требуются разные наборы панелей и их расположение (в том числе с учётом многомониторной конфигурации по п. 1.5), целесообразно сохранять раскладку панелей как именованный профиль, привязанный к конкретному клиническому модулю или пользователю.</w:t>
      </w:r>
    </w:p>
    <w:p>
      <w:pPr>
        <w:pStyle w:val="Heading1"/>
        <w:spacing w:after="160" w:before="360"/>
      </w:pPr>
      <w:r>
        <w:rPr>
          <w:b/>
          <w:bCs/>
        </w:rPr>
        <w:t xml:space="preserve">8. Заключение и дальнейшие шаги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Представленная концепция определяет каркас системы — модель данных, разделение слоёв core и gui, механизм хранения с контролем целостности и подход к автоматизации пересчёта — как основу, допускающую последующее наращивание функциональности без пересмотра базовой архитектуры. Каждый клинический модуль и каждая функция обработки изображений подлежат отдельному уточнению на последующих этапах разработки в рамках уже согласованной структуры.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Предлагаемые следующие шаги: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детализация схемы базы данных (SQLAlchemy) для таблиц Patient, Study, Series, ProcessingStep, ROI, Measurement с указанием полей и связей;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разработка прототипа главного окна с двумя базовыми вкладками (загрузка данных, работа с изображением);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определение интерфейса плагина клинического модуля (базовый абстрактный класс) для последующего независимого добавления клинических подпрограмм.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стр.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из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Архитектура программного обеспечения для анализа мультимодальных медицинских изображений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2026-07-29T11:22:56.017Z</dcterms:created>
  <dcterms:modified xsi:type="dcterms:W3CDTF">2026-07-29T11:22:56.038Z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