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exposed bed to floodplain: vegetation succession, surface roughness and the hydraulic consequences of the Kakhovka Dam breach</w:t>
      </w:r>
    </w:p>
    <w:p>
      <w:pPr>
        <w:pStyle w:val="Heading1"/>
      </w:pPr>
      <w:r>
        <w:t>ABSTRACT</w:t>
      </w:r>
    </w:p>
    <w:p>
      <w:pPr>
        <w:spacing w:line="360" w:lineRule="auto"/>
        <w:jc w:val="both"/>
      </w:pPr>
      <w:r>
        <w:rPr>
          <w:b/>
        </w:rPr>
        <w:t>Background.</w:t>
      </w:r>
      <w:r>
        <w:t xml:space="preserve"> Прорив греблі Каховського водосховища 6  червня 2023  р. перетворив 2 155 km² водойму на річку із заплавою, що заростає. У супутній статті було встановлено нову геометрію водної поверхні та реконструйовано дно в одній вертикальній системі відліку; питання, що розглядається тут, полягає в тому, що ця геометрія та поверхня, яка на ній формується, означають для опору потоку, пропускної здатності та рівня води.</w:t>
      </w:r>
    </w:p>
    <w:p>
      <w:pPr>
        <w:spacing w:line="360" w:lineRule="auto"/>
        <w:jc w:val="both"/>
      </w:pPr>
      <w:r>
        <w:rPr>
          <w:b/>
        </w:rPr>
        <w:t>Методи.</w:t>
      </w:r>
      <w:r>
        <w:t xml:space="preserve"> На колишня водна поверхня (басейн 2174.7 km²; колишня водна поверхня 2107.0 km²; залишкові землі 55.0 km²) десять класів поверхні картовано на кожному знімку Sentinel-2 d за період 2023–2025, ; деревно-чагарниковий покрив відстежується за допомогою ймовірностей Dynamic World, а карти класів перетворюються стан за станом у діапазони коефіцієнт шорсткості Маннінга (n) на основі опублікованих апріорних даних. Ширина русла нижче греблі вимірюється на 157  трансектах при відповідному рівні води нижче за течією. Одновимірні та двовимірні моделі HEC-RAS систем до та після прорив греблі використовують дно з супровідної статті як рельєф; коефіцієнт шорсткості Маннінга (n) калібрується лише за залишковими профілями підпору та записами гідрологічний пост, а моделі валідуються відносно незалежно спостережуваної після прорив греблі геометрії ухил водної поверхні.</w:t>
      </w:r>
    </w:p>
    <w:p>
      <w:pPr>
        <w:spacing w:line="360" w:lineRule="auto"/>
        <w:jc w:val="both"/>
      </w:pPr>
      <w:r>
        <w:rPr>
          <w:b/>
        </w:rPr>
        <w:t>Результати.</w:t>
      </w:r>
      <w:r>
        <w:t xml:space="preserve"> Частка колишньої водної поверхні, вкрита рослинністю, зросла з veg 26.9%, bare 25.6%, water 36.7% (2023) через veg 72.0%, bare 7.6%, water 16.6% (2024) до veg 83.8%, bare 4.0%, water 10.8% (2025); імовірність наявності деревно-чагарникового покриву за даними Dynamic World досягла частки woody prob ≥0.3: 0.03% (2022) → 0.31% (2023) → 25.2% (2024); мітка 'trees' 2024 21.8%. Згідно з опублікованими апріорними даними, зважена за площею шорсткість поверхні змінилася з n 0.032 → 0.063; медіана Δn +0.035. . Нижче греблі ширина змоченого перерізу при відповідному рівні води становить 2025 median 690 m (p25 465, p75 895); головний рукав 560 m проти 2019 median 580 m; головний рукав 500 m; рівень води в Херсоні 0.2 m.</w:t>
      </w:r>
    </w:p>
    <w:p>
      <w:pPr>
        <w:spacing w:line="360" w:lineRule="auto"/>
        <w:jc w:val="both"/>
      </w:pPr>
      <w:r>
        <w:t xml:space="preserve">&gt; </w:t>
      </w:r>
      <w:r>
        <w:rPr>
          <w:b/>
        </w:rPr>
        <w:t>[PENDING OPEN60]</w:t>
      </w:r>
      <w:r>
        <w:t xml:space="preserve"> Abstract results on modelled conveyance, stage and validation against observed slope</w:t>
      </w:r>
    </w:p>
    <w:p>
      <w:pPr>
        <w:spacing w:line="360" w:lineRule="auto"/>
        <w:jc w:val="both"/>
      </w:pPr>
      <w:r>
        <w:t>&gt; `backs: P2-AT01,P2-AT03,P2-AT05` · `section: ABSTRACT`</w:t>
      </w:r>
    </w:p>
    <w:p>
      <w:pPr>
        <w:spacing w:line="360" w:lineRule="auto"/>
        <w:jc w:val="both"/>
      </w:pPr>
      <w:r>
        <w:t>&gt; `unblock_by: HEC-RAS pre-breach and current runs; validation against M1.1` · `status: blocked`</w:t>
      </w:r>
    </w:p>
    <w:p>
      <w:pPr>
        <w:spacing w:line="360" w:lineRule="auto"/>
        <w:jc w:val="both"/>
      </w:pPr>
      <w:r>
        <w:t>&gt; `blocks_submission: yes`</w:t>
      </w:r>
    </w:p>
    <w:p>
      <w:pPr>
        <w:spacing w:line="360" w:lineRule="auto"/>
        <w:jc w:val="both"/>
      </w:pPr>
      <w:r>
        <w:rPr>
          <w:b/>
        </w:rPr>
        <w:t>Conclusions.</w:t>
      </w:r>
    </w:p>
    <w:p>
      <w:pPr>
        <w:spacing w:line="360" w:lineRule="auto"/>
        <w:jc w:val="both"/>
      </w:pPr>
      <w:r>
        <w:t xml:space="preserve">&gt; </w:t>
      </w:r>
      <w:r>
        <w:rPr>
          <w:b/>
        </w:rPr>
        <w:t>[PENDING OPEN61]</w:t>
      </w:r>
      <w:r>
        <w:t xml:space="preserve"> Abstract conclusions await the model results</w:t>
      </w:r>
    </w:p>
    <w:p>
      <w:pPr>
        <w:spacing w:line="360" w:lineRule="auto"/>
        <w:jc w:val="both"/>
      </w:pPr>
      <w:r>
        <w:t>&gt; `backs: P2-AT01,P2-AT02,P2-AT03` · `section: ABSTRACT`</w:t>
      </w:r>
    </w:p>
    <w:p>
      <w:pPr>
        <w:spacing w:line="360" w:lineRule="auto"/>
        <w:jc w:val="both"/>
      </w:pPr>
      <w:r>
        <w:t>&gt; `status: blocked` · `blocks_submission: yes`</w:t>
      </w:r>
    </w:p>
    <w:p>
      <w:pPr>
        <w:spacing w:line="360" w:lineRule="auto"/>
        <w:jc w:val="both"/>
      </w:pPr>
      <w:r>
        <w:rPr>
          <w:b/>
        </w:rPr>
        <w:t>Ключові слова:</w:t>
      </w:r>
      <w:r>
        <w:t xml:space="preserve"> спрацювання водосховища; сукцесія рослинності; коефіцієнт шорсткості Маннінга (n); HEC-RAS; пропускна здатність; ширина змоченого перерізу; Sentinel-2; Dynamic World; Каховське водосховище</w:t>
      </w:r>
    </w:p>
    <w:p>
      <w:pPr>
        <w:pStyle w:val="Title"/>
      </w:pPr>
      <w:r>
        <w:t>1. INTRODUCTION</w:t>
      </w:r>
    </w:p>
    <w:p>
      <w:pPr>
        <w:pStyle w:val="Heading1"/>
      </w:pPr>
      <w:r>
        <w:t>1.1 A new floodplain where a reservoir was</w:t>
      </w:r>
    </w:p>
    <w:p>
      <w:pPr>
        <w:spacing w:line="360" w:lineRule="auto"/>
        <w:jc w:val="both"/>
      </w:pPr>
      <w:r>
        <w:t xml:space="preserve">&gt; </w:t>
      </w:r>
      <w:r>
        <w:rPr>
          <w:b/>
        </w:rPr>
        <w:t>[PENDING OPEN91]</w:t>
      </w:r>
      <w:r>
        <w:t xml:space="preserve"> translation rejected: locked tokens did not round-trip; English kept</w:t>
      </w:r>
    </w:p>
    <w:p>
      <w:pPr>
        <w:spacing w:line="360" w:lineRule="auto"/>
        <w:jc w:val="both"/>
      </w:pPr>
      <w:r>
        <w:t>&gt; `section: paragraph 11` · `status: blocked`</w:t>
      </w:r>
    </w:p>
    <w:p>
      <w:pPr>
        <w:spacing w:line="360" w:lineRule="auto"/>
        <w:jc w:val="both"/>
      </w:pPr>
      <w:r>
        <w:t>&gt; `blocks_submission: yes`</w:t>
      </w:r>
    </w:p>
    <w:p>
      <w:pPr>
        <w:spacing w:line="360" w:lineRule="auto"/>
        <w:jc w:val="both"/>
      </w:pPr>
      <w:r>
        <w:t>A drained reservoir bed is also a new floodplain. The companion paper showed that after the breach the water surface within the former Kakhovka Reservoir footprint acquired a persistent downstream gradient and reconstructed the bed it now flows over. Between that bed and the water is a surface that changed from open water to bare sediment to reed, herbaceous cover and young willow within two seasons.</w:t>
      </w:r>
    </w:p>
    <w:p>
      <w:pPr>
        <w:pStyle w:val="Heading1"/>
      </w:pPr>
      <w:r>
        <w:t>1.2 What the field surveys established and what they leave open</w:t>
      </w:r>
    </w:p>
    <w:p>
      <w:pPr>
        <w:spacing w:line="360" w:lineRule="auto"/>
        <w:jc w:val="both"/>
      </w:pPr>
      <w:r>
        <w:t>Польові дослідження в перші сезони після прориву греблі задокументували швидку колонізацію, де домінувала верба, з густотою саджанців у десятки особин на квадратний метр та висотою, що протягом року наближалася до межі між чагарниками та деревами ((Kuzemko et al., 2025); (Didukh et al., 2024)). Вони надають карту середовищ існування та ботанічний опис. Чого вони не надають, так це багаторічного ряду даних для всієї площі поверхні та перехідних процесів на одній сітці, або перерахунку новоутвореного покриву в гідравлічний опір, який має враховувати будь-яка реконструкція повені внаслідок прориву греблі або майбутніх повеней.</w:t>
      </w:r>
    </w:p>
    <w:p>
      <w:pPr>
        <w:pStyle w:val="Heading1"/>
      </w:pPr>
      <w:r>
        <w:t>1.3 Roughness, conveyance and the two hydraulic states</w:t>
      </w:r>
    </w:p>
    <w:p>
      <w:pPr>
        <w:spacing w:line="360" w:lineRule="auto"/>
        <w:jc w:val="both"/>
      </w:pPr>
      <w:r>
        <w:t>Коефіцієнт шорсткості Маннінга (n) для заліснених заплав має тривалу історію попередніх досліджень ((Arcement &amp; Schneider, 1989); (Järvelä, 2004)), а перетворення карти класів у поле шорсткості є стандартним підходом у двовимірному моделюванні. Нестандартним є виконання цього на поверхні, що змінюється з року в рік, а потім аналіз того, як поточна конфігурація русла та заплави забезпечує пропускну здатність для заданої витрати води порівняно з водосховищем, яке вона замінила.</w:t>
      </w:r>
    </w:p>
    <w:p>
      <w:pPr>
        <w:pStyle w:val="Heading1"/>
      </w:pPr>
      <w:r>
        <w:t>1.4 Objectives</w:t>
      </w:r>
    </w:p>
    <w:p>
      <w:pPr>
        <w:spacing w:line="360" w:lineRule="auto"/>
        <w:jc w:val="both"/>
      </w:pPr>
      <w:r>
        <w:t>(i) Кількісно оцінити трансформацію колишня водна поверхня на ділянці 2023–2025  як площі класів, переходи, час першої події та поширення деревно-чагарниковий покрив. (ii) Перетворити це на шар шорсткості із зазначеними апріорними даними та невизначеністю. (iii) Змоделювати системи до прорив греблі та поточну систему в HEC-RAS на основі рельєфу з супровідної статті, виконуючи калібрування лише за архівними профілями підпору та записами гідрологічний пост. (iv) Валідувати поточну модель відносно незалежно спостережуваної геометрії ухил водної поверхні та ширина змоченого перерізу після прорив греблі. (v) Обмежити реакцію рівень води та пропускна здатність щодо невизначеності шорсткості. Там, де дані ще не дають відповіді — витрата води після прорив греблі, точність класифікації, ріст крони — у статті зазначено обмеження замість виведення відповіді.</w:t>
      </w:r>
    </w:p>
    <w:p>
      <w:pPr>
        <w:pStyle w:val="Title"/>
      </w:pPr>
      <w:r>
        <w:t>2. STUDY AREA AND INHERITED FRAMEWORK</w:t>
      </w:r>
    </w:p>
    <w:p>
      <w:pPr>
        <w:spacing w:line="360" w:lineRule="auto"/>
        <w:jc w:val="both"/>
      </w:pPr>
      <w:r>
        <w:t>Зони аналізу, умовні позначення пікетаж (відстань уздовж осі) та вертикальна система відліку (нормальна висота EVRF2019  через квазігеоїд EGG2015  та EPSG:9902) відповідають супровідній статті і тут повторно не виводяться. Вхідними даними рельєфу для кожної моделі є дно з супровідної статті: поверхня водосховища (рекомендований метод OK: СКП (RMSE) 2.76 m, NMAD 1.32 m, зміщення -0.03 m, медіана |e| 0.89 m) та поверхні нижньої зони (SND_ONLY / LINEAR: СКП (RMSE) 2.31 m, зміщення +0.02 m, NMAD 1.67 m; SND_ONLY / OK: СКП (RMSE) 2.62 m, зміщення +0.04 m, NMAD 2.27 m; SND_ONLY / LINEAR: СКП (RMSE) 2.20 m, зміщення -0.07 m, NMAD 1.24 m), кожна з яких має свій показник крос-валідації лише за даними проміри глибин. FABDEM забезпечує дані про заплава за межами колишньої площі; над колишнім дном FABDEM відображає підперту поверхню і є недійсним.</w:t>
      </w:r>
    </w:p>
    <w:p>
      <w:pPr>
        <w:pStyle w:val="Title"/>
      </w:pPr>
      <w:r>
        <w:t>3. DATA</w:t>
      </w:r>
    </w:p>
    <w:p>
      <w:pPr>
        <w:pStyle w:val="Heading1"/>
      </w:pPr>
      <w:r>
        <w:t>3.1 Sentinel-2, Sentinel-1 and Dynamic World</w:t>
      </w:r>
    </w:p>
    <w:p>
      <w:pPr>
        <w:spacing w:line="360" w:lineRule="auto"/>
        <w:jc w:val="both"/>
      </w:pPr>
      <w:r>
        <w:t>Сцени Sentinel-2 L2A на сітці реєстру 20 m (EPSG:32636) із застосованим адитивним зміщенням BOA, перетворені на сім індексів та десятикласну класифікацію поверхні; 53 d покривають колишню акваторію. Водні маски Sentinel-1 RTC γ⁰ (Додаткові методи S2). Щорічні композити Dynamic World для 2022–2024; 2025–2026  ще недоступні.</w:t>
      </w:r>
    </w:p>
    <w:p>
      <w:pPr>
        <w:pStyle w:val="Heading1"/>
      </w:pPr>
      <w:r>
        <w:t>3.2 ICESat-2 ATL08</w:t>
      </w:r>
    </w:p>
    <w:p>
      <w:pPr>
        <w:spacing w:line="360" w:lineRule="auto"/>
        <w:jc w:val="both"/>
      </w:pPr>
      <w:r>
        <w:t>Сегменти рельєфу та пологу ATL08  у 100 m та 20 m над зонами (280489 canopy_ok з 1335986 сегментів (100 m)) забезпечують розподіл висоти пологу за рік.</w:t>
      </w:r>
    </w:p>
    <w:p>
      <w:pPr>
        <w:pStyle w:val="Heading1"/>
      </w:pPr>
      <w:r>
        <w:t>3.3 Hydraulic observations</w:t>
      </w:r>
    </w:p>
    <w:p>
      <w:pPr>
        <w:spacing w:line="360" w:lineRule="auto"/>
        <w:jc w:val="both"/>
      </w:pPr>
      <w:r>
        <w:t>Калібрувальними даними є архівні профілі підпору для дев'яти значень витрати води (див. таблицю 20) та крива 1970 , виміряна в польових умовах, записи гідрологічних постів водосховища та Херсона, а також дані постів 2023  в естуарії. Ухили водної поверхні після прориву греблі для кожного прольоту та неоднорідність у межах прольоту, наведені в супровідній статті, є даними для валідації та не використовуються при калібруванні. Витрати води через ДніпроГЕС після прориву греблі за період 2024–2025 h не були відновлені; тому поточні розрахунки є сценарними до моменту їх відновлення.</w:t>
      </w:r>
    </w:p>
    <w:p>
      <w:pPr>
        <w:spacing w:line="360" w:lineRule="auto"/>
        <w:jc w:val="both"/>
      </w:pPr>
      <w:r>
        <w:t xml:space="preserve">&gt; </w:t>
      </w:r>
      <w:r>
        <w:rPr>
          <w:b/>
        </w:rPr>
        <w:t>[PENDING TAB01]</w:t>
      </w:r>
      <w:r>
        <w:t xml:space="preserve"> Table 1 — Paper 2 data sources (machine-generated)</w:t>
      </w:r>
    </w:p>
    <w:p>
      <w:pPr>
        <w:spacing w:line="360" w:lineRule="auto"/>
        <w:jc w:val="both"/>
      </w:pPr>
      <w:r>
        <w:t>&gt; `backs: S1.5,H1.1,K1.2` · `section: 3 Data`</w:t>
      </w:r>
    </w:p>
    <w:p>
      <w:pPr>
        <w:spacing w:line="360" w:lineRule="auto"/>
        <w:jc w:val="both"/>
      </w:pPr>
      <w:r>
        <w:t>&gt; `status: blocked` · `blocks_submission: yes`</w:t>
      </w:r>
    </w:p>
    <w:p>
      <w:pPr>
        <w:pStyle w:val="Title"/>
      </w:pPr>
      <w:r>
        <w:t>4. METHODS</w:t>
      </w:r>
    </w:p>
    <w:p>
      <w:pPr>
        <w:pStyle w:val="Heading1"/>
      </w:pPr>
      <w:r>
        <w:t>4.1 Surface classes and vegetation succession</w:t>
      </w:r>
    </w:p>
    <w:p>
      <w:pPr>
        <w:spacing w:line="360" w:lineRule="auto"/>
        <w:jc w:val="both"/>
      </w:pPr>
      <w:r>
        <w:t>Сім індексів обчислюються для кожної дати з використанням маскування на основі класифікації сцени; правило десяти класів використовує порогові значення NDVI 0.15  та 0.30, , NDMI 0.10  та BSI 0.10  з морфологічним очищенням. На колишній водній поверхні обчислюються модальний клас для сезону з листям, частки класів за датою та роком, матриці переходів між роками та дати першої події з інтервальним цензуруванням (перша поява неводної поверхні, перша поява рослинності). Для оцінки точності на основі плану вибірки було сформовано стратифіковану контрольну вибірку з 320 точок (40  на клас); вона ще не розмічена, тому площа з поправкою на помилку не наводиться.</w:t>
      </w:r>
    </w:p>
    <w:p>
      <w:pPr>
        <w:pStyle w:val="Heading1"/>
      </w:pPr>
      <w:r>
        <w:t>4.2 Woody cover</w:t>
      </w:r>
    </w:p>
    <w:p>
      <w:pPr>
        <w:spacing w:line="360" w:lineRule="auto"/>
        <w:jc w:val="both"/>
      </w:pPr>
      <w:r>
        <w:t>Спектральні індекси не можуть відокремити чагарники або дерева від трав'янистого покриву, тому за поширенням деревно-чагарникового покриву стежать за допомогою ймовірності «дерева плюс чагарники» згідно з Dynamic World на тій самій поверхні, де заморожений композит 2022  слугує еталоном до моменту прориву греблі.</w:t>
      </w:r>
    </w:p>
    <w:p>
      <w:pPr>
        <w:pStyle w:val="Heading1"/>
      </w:pPr>
      <w:r>
        <w:t>4.3 Roughness translation</w:t>
      </w:r>
    </w:p>
    <w:p>
      <w:pPr>
        <w:spacing w:line="360" w:lineRule="auto"/>
        <w:jc w:val="both"/>
      </w:pPr>
      <w:r>
        <w:t>Кожному пікселю карти станів (прорив 2023, перше оголення 2023, 2024, 2025; водотік 2026) присвоєно один із одинадцяти класів шорсткості на основі класу поверхні, гідроперіоду та ймовірності наявності деревно-чагарникового покриву; кожен клас має значення n_low, n_base та n_high з опублікованих апріорних даних (Таблиця 1). Зважений за площею коефіцієнт шорсткості Маннінга (n) та його зміна між станами обчислюються для кожної зони. Цей шар є гідравлічно інтерпретованим перекладом відображених класів; його калібрування є предметом Розділу 4.5, , а не цього етапу.</w:t>
      </w:r>
    </w:p>
    <w:p>
      <w:pPr>
        <w:pStyle w:val="Heading1"/>
      </w:pPr>
      <w:r>
        <w:t>4.4 Channel transects</w:t>
      </w:r>
    </w:p>
    <w:p>
      <w:pPr>
        <w:spacing w:line="360" w:lineRule="auto"/>
        <w:jc w:val="both"/>
      </w:pPr>
      <w:r>
        <w:t>Вузли 321 SWORD, 157 трансекти на 500 m, напівдовжина 2500 m. На кожну дату маска води перетинається з кожною трансектою; ширина змоченого перерізу, ширина головного рукава та кількість рукавів реєструються та порівнюються при відповідному рівні води на гідрологічному пості в Херсоні.</w:t>
      </w:r>
    </w:p>
    <w:p>
      <w:pPr>
        <w:pStyle w:val="Heading1"/>
      </w:pPr>
      <w:r>
        <w:t>4.5 Hydraulic models: calibration and validation kept apart</w:t>
      </w:r>
    </w:p>
    <w:p>
      <w:pPr>
        <w:spacing w:line="360" w:lineRule="auto"/>
        <w:jc w:val="both"/>
      </w:pPr>
      <w:r>
        <w:t xml:space="preserve">&gt; </w:t>
      </w:r>
      <w:r>
        <w:rPr>
          <w:b/>
        </w:rPr>
        <w:t>[PENDING OPEN62]</w:t>
      </w:r>
      <w:r>
        <w:t xml:space="preserve"> HEC-RAS model description: pre-breach (legacy DniproGES1D as comparison only; new 1D on Table 20 backwater profiles) and current (2D on Paper 1 terrain + roughness layer)</w:t>
      </w:r>
    </w:p>
    <w:p>
      <w:pPr>
        <w:spacing w:line="360" w:lineRule="auto"/>
        <w:jc w:val="both"/>
      </w:pPr>
      <w:r>
        <w:t>&gt; `backs: P2-AT01,P2-AT03` · `section: 4.5 Hydraulic models`</w:t>
      </w:r>
    </w:p>
    <w:p>
      <w:pPr>
        <w:spacing w:line="360" w:lineRule="auto"/>
        <w:jc w:val="both"/>
      </w:pPr>
      <w:r>
        <w:t>&gt; `produces: SWOT-DNIPRO pilots/roughness + HEC-RAS project` · `status: blocked`</w:t>
      </w:r>
    </w:p>
    <w:p>
      <w:pPr>
        <w:spacing w:line="360" w:lineRule="auto"/>
        <w:jc w:val="both"/>
      </w:pPr>
      <w:r>
        <w:t>&gt; `blocks_submission: yes`</w:t>
      </w:r>
    </w:p>
    <w:p>
      <w:pPr>
        <w:spacing w:line="360" w:lineRule="auto"/>
        <w:jc w:val="both"/>
      </w:pPr>
      <w:r>
        <w:t>Калібрування використовує лише застарілі профілі підпору, історичні рівні та дані гідрологічного поста в Херсоні. Валідація використовує ухили водної поверхні ICESat-2  для кожного прольоту, внутрішньопролітну неоднорідність із супровідної статті та спостережувану ширину русла; жоден із цих параметрів не використовується під час калібрування. Розрахунки чутливості коефіцієнта шорсткості Маннінга (n) використовують n_low, n_base та n_high для кожного класу.</w:t>
      </w:r>
    </w:p>
    <w:p>
      <w:pPr>
        <w:pStyle w:val="Title"/>
      </w:pPr>
      <w:r>
        <w:t>5. RESULTS</w:t>
      </w:r>
    </w:p>
    <w:p>
      <w:pPr>
        <w:pStyle w:val="Heading1"/>
      </w:pPr>
      <w:r>
        <w:t>5.1 Vegetation succession on the former water surface</w:t>
      </w:r>
    </w:p>
    <w:p>
      <w:pPr>
        <w:spacing w:line="360" w:lineRule="auto"/>
        <w:jc w:val="both"/>
      </w:pPr>
      <w:r>
        <w:t>Медіанні частки класів за роками змінилися від veg 26.9%, bare 25.6%, water 36.7% (2023) через veg 72.0%, bare 7.6%, water 16.6% (2024) до veg 83.8%, bare 4.0%, water 10.8% (2025) (для діапазону дат veg 0.00–0.88; спостережувана частка 0.48). У модальних площах класів у першому сезоні переважали відкрита вода та сухий оголений осад (2023: open water 673, dry bare 612, sparse herb 166, reed 417 km²); до 2024  очерет та затоплена рослинність займали найбільшу площу (2024: open water 212, dry bare 137, dense herb 159, reed 1031 km²); до 2025 d щільний трав'янистий покрив розширився, тоді як відкрита вода та оголений осад скоротилися (2025: open water 90, dry bare 38, dense herb 286, reed 686 km²). Матриці переходу показують, звідки з'явилася рослинність: 2023→2025 (1258 km²): water→veg 407, sediment→veg 406, veg→veg 261, water→water 116 km²; між 2024  та 2025  переважає сталість (2024→2025 veg→veg 847 of 1214 km²). Аналіз першої події з інтервальним цензуруванням показує швидкість процесу: оголення до кінця серії 2031 km² (цензуровано 76); заліснення 1925 km² (цензуровано 182); верхні квантилі оголення (д) [29.0, 29.0, 29.0, 82.0, 94.0]; верхні квантилі рослинності (д) [29.0, 72.0, 94.0, 109.0, 424.0] (медіана ширини інтервалу 30 d (оголення) / 30 d (рослинність)).</w:t>
      </w:r>
    </w:p>
    <w:p>
      <w:pPr>
        <w:spacing w:line="360" w:lineRule="auto"/>
        <w:jc w:val="both"/>
      </w:pPr>
      <w:r>
        <w:rPr>
          <w:b/>
        </w:rPr>
        <w:t>Таблиця 6.  Площі класів поверхні колишньої водної поверхні за роками / станом (км²).</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n_resolved</w:t>
            </w:r>
          </w:p>
        </w:tc>
        <w:tc>
          <w:tcPr>
            <w:tcW w:type="dxa" w:w="1728"/>
          </w:tcPr>
          <w:p>
            <w:r>
              <w:rPr>
                <w:b/>
              </w:rPr>
              <w:t>audit_status</w:t>
            </w:r>
          </w:p>
        </w:tc>
      </w:tr>
      <w:tr>
        <w:tc>
          <w:tcPr>
            <w:tcW w:type="dxa" w:w="1728"/>
          </w:tcPr>
          <w:p>
            <w:r>
              <w:t>S1.5</w:t>
            </w:r>
          </w:p>
        </w:tc>
        <w:tc>
          <w:tcPr>
            <w:tcW w:type="dxa" w:w="1728"/>
          </w:tcPr>
          <w:p>
            <w:r>
              <w:t>The analysis domain is the former water surface: pool polygon ∧ pre-breach mode water.</w:t>
            </w:r>
          </w:p>
        </w:tc>
        <w:tc>
          <w:tcPr>
            <w:tcW w:type="dxa" w:w="1728"/>
          </w:tcPr>
          <w:p>
            <w:r>
              <w:t>pool 2174.7 km²; former water surface 2107.0 km²; legacy land 55.0 km²</w:t>
            </w:r>
          </w:p>
        </w:tc>
        <w:tc>
          <w:tcPr>
            <w:tcW w:type="dxa" w:w="1728"/>
          </w:tcPr>
          <w:p>
            <w:r>
              <w:t>53 Sentinel-2 dates</w:t>
            </w:r>
          </w:p>
        </w:tc>
        <w:tc>
          <w:tcPr>
            <w:tcW w:type="dxa" w:w="1728"/>
          </w:tcPr>
          <w:p>
            <w:r>
              <w:t>SUPPORTED</w:t>
            </w:r>
          </w:p>
        </w:tc>
      </w:tr>
      <w:tr>
        <w:tc>
          <w:tcPr>
            <w:tcW w:type="dxa" w:w="1728"/>
          </w:tcPr>
          <w:p>
            <w:r>
              <w:t>S1.1a</w:t>
            </w:r>
          </w:p>
        </w:tc>
        <w:tc>
          <w:tcPr>
            <w:tcW w:type="dxa" w:w="1728"/>
          </w:tcPr>
          <w:p>
            <w:r>
              <w:t>Vegetated share of the former water surface in the first leaf-on season (2023).</w:t>
            </w:r>
          </w:p>
        </w:tc>
        <w:tc>
          <w:tcPr>
            <w:tcW w:type="dxa" w:w="1728"/>
          </w:tcPr>
          <w:p>
            <w:r>
              <w:t>veg 26.9%, bare 25.6%, water 36.7% (2023)</w:t>
            </w:r>
          </w:p>
        </w:tc>
        <w:tc>
          <w:tcPr>
            <w:tcW w:type="dxa" w:w="1728"/>
          </w:tcPr>
          <w:p>
            <w:r>
              <w:t>10 leaf-on dates</w:t>
            </w:r>
          </w:p>
        </w:tc>
        <w:tc>
          <w:tcPr>
            <w:tcW w:type="dxa" w:w="1728"/>
          </w:tcPr>
          <w:p>
            <w:r>
              <w:t>SUPPORTED_WITH_LIMITATION</w:t>
            </w:r>
          </w:p>
        </w:tc>
      </w:tr>
      <w:tr>
        <w:tc>
          <w:tcPr>
            <w:tcW w:type="dxa" w:w="1728"/>
          </w:tcPr>
          <w:p>
            <w:r>
              <w:t>S1.1b</w:t>
            </w:r>
          </w:p>
        </w:tc>
        <w:tc>
          <w:tcPr>
            <w:tcW w:type="dxa" w:w="1728"/>
          </w:tcPr>
          <w:p>
            <w:r>
              <w:t>Vegetated share of the former water surface in 2024.</w:t>
            </w:r>
          </w:p>
        </w:tc>
        <w:tc>
          <w:tcPr>
            <w:tcW w:type="dxa" w:w="1728"/>
          </w:tcPr>
          <w:p>
            <w:r>
              <w:t>veg 72.0%, bare 7.6%, water 16.6% (2024)</w:t>
            </w:r>
          </w:p>
        </w:tc>
        <w:tc>
          <w:tcPr>
            <w:tcW w:type="dxa" w:w="1728"/>
          </w:tcPr>
          <w:p>
            <w:r>
              <w:t>5 leaf-on dates</w:t>
            </w:r>
          </w:p>
        </w:tc>
        <w:tc>
          <w:tcPr>
            <w:tcW w:type="dxa" w:w="1728"/>
          </w:tcPr>
          <w:p>
            <w:r>
              <w:t>SUPPORTED_WITH_LIMITATION</w:t>
            </w:r>
          </w:p>
        </w:tc>
      </w:tr>
      <w:tr>
        <w:tc>
          <w:tcPr>
            <w:tcW w:type="dxa" w:w="1728"/>
          </w:tcPr>
          <w:p>
            <w:r>
              <w:t>S1.1</w:t>
            </w:r>
          </w:p>
        </w:tc>
        <w:tc>
          <w:tcPr>
            <w:tcW w:type="dxa" w:w="1728"/>
          </w:tcPr>
          <w:p>
            <w:r>
              <w:t>The vegetated share (classes 5–7) of the 2 107 km² former water surface rose from 2023 to 2025 on leaf-on Sentinel-2 dates, while bare sediment and residual water shrank.</w:t>
            </w:r>
          </w:p>
        </w:tc>
        <w:tc>
          <w:tcPr>
            <w:tcW w:type="dxa" w:w="1728"/>
          </w:tcPr>
          <w:p>
            <w:r>
              <w:t>veg 83.8%, bare 4.0%, water 10.8% (2025)</w:t>
            </w:r>
          </w:p>
        </w:tc>
        <w:tc>
          <w:tcPr>
            <w:tcW w:type="dxa" w:w="1728"/>
          </w:tcPr>
          <w:p>
            <w:r>
              <w:t>12 leaf-on dates</w:t>
            </w:r>
          </w:p>
        </w:tc>
        <w:tc>
          <w:tcPr>
            <w:tcW w:type="dxa" w:w="1728"/>
          </w:tcPr>
          <w:p>
            <w:r>
              <w:t>SUPPORTED_WITH_LIMITATION</w:t>
            </w:r>
          </w:p>
        </w:tc>
      </w:tr>
      <w:tr>
        <w:tc>
          <w:tcPr>
            <w:tcW w:type="dxa" w:w="1728"/>
          </w:tcPr>
          <w:p>
            <w:r>
              <w:t>S1.2a</w:t>
            </w:r>
          </w:p>
        </w:tc>
        <w:tc>
          <w:tcPr>
            <w:tcW w:type="dxa" w:w="1728"/>
          </w:tcPr>
          <w:p>
            <w:r>
              <w:t>Mode-class areas of the former water surface in 2023 (first exposure).</w:t>
            </w:r>
          </w:p>
        </w:tc>
        <w:tc>
          <w:tcPr>
            <w:tcW w:type="dxa" w:w="1728"/>
          </w:tcPr>
          <w:p>
            <w:r>
              <w:t>2023: open water 673, dry bare 612, sparse herb 166, reed 417 km²</w:t>
            </w:r>
          </w:p>
        </w:tc>
        <w:tc>
          <w:tcPr>
            <w:tcW w:type="dxa" w:w="1728"/>
          </w:tcPr>
          <w:p>
            <w:r>
              <w:t>2107 km²</w:t>
            </w:r>
          </w:p>
        </w:tc>
        <w:tc>
          <w:tcPr>
            <w:tcW w:type="dxa" w:w="1728"/>
          </w:tcPr>
          <w:p>
            <w:r>
              <w:t>SUPPORTED_WITH_LIMITATION</w:t>
            </w:r>
          </w:p>
        </w:tc>
      </w:tr>
      <w:tr>
        <w:tc>
          <w:tcPr>
            <w:tcW w:type="dxa" w:w="1728"/>
          </w:tcPr>
          <w:p>
            <w:r>
              <w:t>S1.2b</w:t>
            </w:r>
          </w:p>
        </w:tc>
        <w:tc>
          <w:tcPr>
            <w:tcW w:type="dxa" w:w="1728"/>
          </w:tcPr>
          <w:p>
            <w:r>
              <w:t>Mode-class areas of the former water surface in 2024 (reed maximum).</w:t>
            </w:r>
          </w:p>
        </w:tc>
        <w:tc>
          <w:tcPr>
            <w:tcW w:type="dxa" w:w="1728"/>
          </w:tcPr>
          <w:p>
            <w:r>
              <w:t>2024: open water 212, dry bare 137, dense herb 159, reed 1031 km²</w:t>
            </w:r>
          </w:p>
        </w:tc>
        <w:tc>
          <w:tcPr>
            <w:tcW w:type="dxa" w:w="1728"/>
          </w:tcPr>
          <w:p>
            <w:r>
              <w:t>1920 km²</w:t>
            </w:r>
          </w:p>
        </w:tc>
        <w:tc>
          <w:tcPr>
            <w:tcW w:type="dxa" w:w="1728"/>
          </w:tcPr>
          <w:p>
            <w:r>
              <w:t>SUPPORTED_WITH_LIMITATION</w:t>
            </w:r>
          </w:p>
        </w:tc>
      </w:tr>
      <w:tr>
        <w:tc>
          <w:tcPr>
            <w:tcW w:type="dxa" w:w="1728"/>
          </w:tcPr>
          <w:p>
            <w:r>
              <w:t>S1.2</w:t>
            </w:r>
          </w:p>
        </w:tc>
        <w:tc>
          <w:tcPr>
            <w:tcW w:type="dxa" w:w="1728"/>
          </w:tcPr>
          <w:p>
            <w:r>
              <w:t>Mode-class areas of the former water surface by year: reed/flooded vegetation peaks in 2024 and dense herbaceous cover expands in 2025 while open water and dry bare sediment collapse.</w:t>
            </w:r>
          </w:p>
        </w:tc>
        <w:tc>
          <w:tcPr>
            <w:tcW w:type="dxa" w:w="1728"/>
          </w:tcPr>
          <w:p>
            <w:r>
              <w:t>2025: open water 90, dry bare 38, dense herb 286, reed 686 km²</w:t>
            </w:r>
          </w:p>
        </w:tc>
        <w:tc>
          <w:tcPr>
            <w:tcW w:type="dxa" w:w="1728"/>
          </w:tcPr>
          <w:p>
            <w:r>
              <w:t>1258 km² with ≥2 observations</w:t>
            </w:r>
          </w:p>
        </w:tc>
        <w:tc>
          <w:tcPr>
            <w:tcW w:type="dxa" w:w="1728"/>
          </w:tcPr>
          <w:p>
            <w:r>
              <w:t>SUPPORTED_WITH_LIMITATION</w:t>
            </w:r>
          </w:p>
        </w:tc>
      </w:tr>
      <w:tr>
        <w:tc>
          <w:tcPr>
            <w:tcW w:type="dxa" w:w="1728"/>
          </w:tcPr>
          <w:p>
            <w:r>
              <w:t>S1.3</w:t>
            </w:r>
          </w:p>
        </w:tc>
        <w:tc>
          <w:tcPr>
            <w:tcW w:type="dxa" w:w="1728"/>
          </w:tcPr>
          <w:p>
            <w:r>
              <w:t>Between 2023 and 2025 the former water surface moved to vegetation from both residual water and bare sediment; the vegetation→vegetation persistence dominates 2024→2025.</w:t>
            </w:r>
          </w:p>
        </w:tc>
        <w:tc>
          <w:tcPr>
            <w:tcW w:type="dxa" w:w="1728"/>
          </w:tcPr>
          <w:p>
            <w:r>
              <w:t>2023→2025 (1258 km²): water→veg 407, sediment→veg 406, veg→veg 261, water→water 116 km²</w:t>
            </w:r>
          </w:p>
        </w:tc>
        <w:tc>
          <w:tcPr>
            <w:tcW w:type="dxa" w:w="1728"/>
          </w:tcPr>
          <w:p/>
        </w:tc>
        <w:tc>
          <w:tcPr>
            <w:tcW w:type="dxa" w:w="1728"/>
          </w:tcPr>
          <w:p>
            <w:r>
              <w:t>SUPPORTED_WITH_LIMITATION</w:t>
            </w:r>
          </w:p>
        </w:tc>
      </w:tr>
      <w:tr>
        <w:tc>
          <w:tcPr>
            <w:tcW w:type="dxa" w:w="1728"/>
          </w:tcPr>
          <w:p>
            <w:r>
              <w:t>N1.2a</w:t>
            </w:r>
          </w:p>
        </w:tc>
        <w:tc>
          <w:tcPr>
            <w:tcW w:type="dxa" w:w="1728"/>
          </w:tcPr>
          <w:p>
            <w:r>
              <w:t>Roughness-class areas of the former pool at the breach state (almost entirely open water).</w:t>
            </w:r>
          </w:p>
        </w:tc>
        <w:tc>
          <w:tcPr>
            <w:tcW w:type="dxa" w:w="1728"/>
          </w:tcPr>
          <w:p>
            <w:r>
              <w:t>open water 2101 of valid 2162 km²; mature woody legacy 30 km²</w:t>
            </w:r>
          </w:p>
        </w:tc>
        <w:tc>
          <w:tcPr>
            <w:tcW w:type="dxa" w:w="1728"/>
          </w:tcPr>
          <w:p/>
        </w:tc>
        <w:tc>
          <w:tcPr>
            <w:tcW w:type="dxa" w:w="1728"/>
          </w:tcPr>
          <w:p>
            <w:r>
              <w:t>SUPPORTED</w:t>
            </w:r>
          </w:p>
        </w:tc>
      </w:tr>
      <w:tr>
        <w:tc>
          <w:tcPr>
            <w:tcW w:type="dxa" w:w="1728"/>
          </w:tcPr>
          <w:p>
            <w:r>
              <w:t>N1.2</w:t>
            </w:r>
          </w:p>
        </w:tc>
        <w:tc>
          <w:tcPr>
            <w:tcW w:type="dxa" w:w="1728"/>
          </w:tcPr>
          <w:p>
            <w:r>
              <w:t>Roughness-class areas of the former pool in the 2025 state (reed and young woody dominate).</w:t>
            </w:r>
          </w:p>
        </w:tc>
        <w:tc>
          <w:tcPr>
            <w:tcW w:type="dxa" w:w="1728"/>
          </w:tcPr>
          <w:p>
            <w:r>
              <w:t>reed 739, young woody dense 472, dense herb 343, open water 174 km²</w:t>
            </w:r>
          </w:p>
        </w:tc>
        <w:tc>
          <w:tcPr>
            <w:tcW w:type="dxa" w:w="1728"/>
          </w:tcPr>
          <w:p>
            <w:r>
              <w:t>valid 2154 km²</w:t>
            </w:r>
          </w:p>
        </w:tc>
        <w:tc>
          <w:tcPr>
            <w:tcW w:type="dxa" w:w="1728"/>
          </w:tcPr>
          <w:p>
            <w:r>
              <w:t>SUPPORTED_WITH_LIMITATION</w:t>
            </w:r>
          </w:p>
        </w:tc>
      </w:tr>
      <w:tr>
        <w:tc>
          <w:tcPr>
            <w:tcW w:type="dxa" w:w="1728"/>
          </w:tcPr>
          <w:p>
            <w:r>
              <w:t>W1.1</w:t>
            </w:r>
          </w:p>
        </w:tc>
        <w:tc>
          <w:tcPr>
            <w:tcW w:type="dxa" w:w="1728"/>
          </w:tcPr>
          <w:p>
            <w:r>
              <w:t>Dynamic World trees+shrub probability over the former water surface rises from near zero in 2022 to a quarter of the area at ≥0.3 in 2024; the 'trees' label alone covers about a fifth.</w:t>
            </w:r>
          </w:p>
        </w:tc>
        <w:tc>
          <w:tcPr>
            <w:tcW w:type="dxa" w:w="1728"/>
          </w:tcPr>
          <w:p>
            <w:r>
              <w:t>share woody prob ≥0.3: 0.03% (2022) → 0.31% (2023) → 25.2% (2024); 'trees' label 2024 21.8%</w:t>
            </w:r>
          </w:p>
        </w:tc>
        <w:tc>
          <w:tcPr>
            <w:tcW w:type="dxa" w:w="1728"/>
          </w:tcPr>
          <w:p/>
        </w:tc>
        <w:tc>
          <w:tcPr>
            <w:tcW w:type="dxa" w:w="1728"/>
          </w:tcPr>
          <w:p>
            <w:r>
              <w:t>SUPPORTED_WITH_LIMITATION</w:t>
            </w:r>
          </w:p>
        </w:tc>
      </w:tr>
    </w:tbl>
    <w:p/>
    <w:p>
      <w:pPr>
        <w:spacing w:line="360" w:lineRule="auto"/>
        <w:jc w:val="both"/>
      </w:pPr>
      <w:r>
        <w:t>Це виміряні частки класів та площі без оцінки точності; стратифікована еталонна вибірка, розроблена для цієї мети, ще не розмічена, і жодна площа з поправкою на похибку чи точність для кожного класу не заявлена.</w:t>
      </w:r>
    </w:p>
    <w:p>
      <w:pPr>
        <w:pStyle w:val="Heading1"/>
      </w:pPr>
      <w:r>
        <w:t>5.2 Woody encroachment</w:t>
      </w:r>
    </w:p>
    <w:p>
      <w:pPr>
        <w:spacing w:line="360" w:lineRule="auto"/>
        <w:jc w:val="both"/>
      </w:pPr>
      <w:r>
        <w:t>частка деревно-чагарникового покриву ≥0.3: 0.03% (2022) → 0.31% (2023) → 25.2% (2024); мітка 'trees' 2024 21.8% (середня ймовірність дерев+чагарників 0.071 → 0.217; частка ≥0.5  залишається 0.29%). Кількість сегментів пологу ICESat-2 20 m, що пройшли контроль якості над колишньою акваторією, зросла (canopy_ok 20 m: 164 (2023) → 2165 (2024)), а розподіл висоти пологу ATL08  є низьким і правосторонньо асиметричним (h_canopy p50 1.58 m, p95 11.87 m). Зміну висоти пологу неможливо ідентифікувати за допомогою ICESat-2  з поточною геометрією треків (Розділ 6.6).</w:t>
      </w:r>
    </w:p>
    <w:p>
      <w:pPr>
        <w:pStyle w:val="Heading1"/>
      </w:pPr>
      <w:r>
        <w:t>5.3 The roughness layer</w:t>
      </w:r>
    </w:p>
    <w:p>
      <w:pPr>
        <w:spacing w:line="360" w:lineRule="auto"/>
        <w:jc w:val="both"/>
      </w:pPr>
      <w:r>
        <w:t>Для колишнього басейну середньозважений коефіцієнт шорсткості Маннінга (n) змінився від 0.032  до 0.063; медіана Δn +0.035, , при цьому частка площі з Δn &gt; 0.02 становить 0.63; Δn &lt; −0.02 становить 0.004; крок при оголенні був невеликим (n 0.032 → 0.042), а значний крок відбувся з розширенням очерету 2024  (n 0.041 → 0.060; частка Δn &gt; 0.02 0.45). У стані 2025  найбільшими класами є очерет 739, , молодий густий деревно-чагарниковий покрив 472, d, густа трав'яниста рослинність 343, , відкрита вода 174 km², на противагу стану після прориву греблі, який був відкритою водою 2101  від дійсного 2162 km²; зрілий деревно-чагарниковий покрив 30 km²; заплава нижче греблі також стає шорсткішою (n 0.069 → 0.067; частка Δn &gt; 0.02 0.05). До розділу 5.5  це похідні значення з опублікованих апріорних даних, а не відкалібровані коефіцієнти.</w:t>
      </w:r>
    </w:p>
    <w:p>
      <w:pPr>
        <w:spacing w:line="360" w:lineRule="auto"/>
        <w:jc w:val="both"/>
      </w:pPr>
      <w:r>
        <w:rPr>
          <w:b/>
        </w:rPr>
        <w:t>Таблиця 5.  Апріорні значення коефіцієнта шорсткості Маннінга (n) за класом поверхні (підтверджено літературними даними, не відкалібровано).</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claim_id</w:t>
            </w:r>
          </w:p>
        </w:tc>
        <w:tc>
          <w:tcPr>
            <w:tcW w:type="dxa" w:w="2160"/>
          </w:tcPr>
          <w:p>
            <w:r>
              <w:rPr>
                <w:b/>
              </w:rPr>
              <w:t>claim_text</w:t>
            </w:r>
          </w:p>
        </w:tc>
        <w:tc>
          <w:tcPr>
            <w:tcW w:type="dxa" w:w="2160"/>
          </w:tcPr>
          <w:p>
            <w:r>
              <w:rPr>
                <w:b/>
              </w:rPr>
              <w:t>value_resolved</w:t>
            </w:r>
          </w:p>
        </w:tc>
        <w:tc>
          <w:tcPr>
            <w:tcW w:type="dxa" w:w="2160"/>
          </w:tcPr>
          <w:p>
            <w:r>
              <w:rPr>
                <w:b/>
              </w:rPr>
              <w:t>audit_status</w:t>
            </w:r>
          </w:p>
        </w:tc>
      </w:tr>
      <w:tr>
        <w:tc>
          <w:tcPr>
            <w:tcW w:type="dxa" w:w="2160"/>
          </w:tcPr>
          <w:p>
            <w:r>
              <w:t>N1.4</w:t>
            </w:r>
          </w:p>
        </w:tc>
        <w:tc>
          <w:tcPr>
            <w:tcW w:type="dxa" w:w="2160"/>
          </w:tcPr>
          <w:p>
            <w:r>
              <w:t>Manning n prior for reed / tall herbaceous cover (WSP 2339, Chow, HEC-RAS, Järvelä).</w:t>
            </w:r>
          </w:p>
        </w:tc>
        <w:tc>
          <w:tcPr>
            <w:tcW w:type="dxa" w:w="2160"/>
          </w:tcPr>
          <w:p>
            <w:r>
              <w:t>n_low 0.045 / n_base 0.065 / n_high 0.09; confidence medium; LOCALLY_SUPPORTED_CLASS</w:t>
            </w:r>
          </w:p>
        </w:tc>
        <w:tc>
          <w:tcPr>
            <w:tcW w:type="dxa" w:w="2160"/>
          </w:tcPr>
          <w:p>
            <w:r>
              <w:t>SUPPORTED_WITH_LIMITATION</w:t>
            </w:r>
          </w:p>
        </w:tc>
      </w:tr>
      <w:tr>
        <w:tc>
          <w:tcPr>
            <w:tcW w:type="dxa" w:w="2160"/>
          </w:tcPr>
          <w:p>
            <w:r>
              <w:t>N1.4a</w:t>
            </w:r>
          </w:p>
        </w:tc>
        <w:tc>
          <w:tcPr>
            <w:tcW w:type="dxa" w:w="2160"/>
          </w:tcPr>
          <w:p>
            <w:r>
              <w:t>Manning n prior for dense young woody cover.</w:t>
            </w:r>
          </w:p>
        </w:tc>
        <w:tc>
          <w:tcPr>
            <w:tcW w:type="dxa" w:w="2160"/>
          </w:tcPr>
          <w:p>
            <w:r>
              <w:t>n_low 0.07 / n_base 0.1 / n_high 0.16; confidence low</w:t>
            </w:r>
          </w:p>
        </w:tc>
        <w:tc>
          <w:tcPr>
            <w:tcW w:type="dxa" w:w="2160"/>
          </w:tcPr>
          <w:p>
            <w:r>
              <w:t>SUPPORTED_WITH_LIMITATION</w:t>
            </w:r>
          </w:p>
        </w:tc>
      </w:tr>
    </w:tbl>
    <w:p/>
    <w:p>
      <w:pPr>
        <w:pStyle w:val="Heading1"/>
      </w:pPr>
      <w:r>
        <w:t>5.4 Channel widening below the dam</w:t>
      </w:r>
    </w:p>
    <w:p>
      <w:pPr>
        <w:spacing w:line="360" w:lineRule="auto"/>
        <w:jc w:val="both"/>
      </w:pPr>
      <w:r>
        <w:t>У порівнянні з аналогічними датами наприкінці літа при рівнях води в Херсоні в межах 0.5 m, ширина змоченого перерізу після прориву греблі є більшою: 2025 mедіана 690 m (p25 465, p75 895); головний рукав 560 m проти медіани до прориву 2019 m 580 m; головний рукав 500 m; рівень у Херсоні 0.2 m; рік прориву демонструє перехідне розгалуження русла: 2023 mедіана 720 m; головний рукав 560 m; медіана кількості рукавів 2. . Контур води не є геоморфологічним берегом, а зміщення берега відносно еталона вересня 2023  залишається на межі виявлення 40 m.</w:t>
      </w:r>
    </w:p>
    <w:p>
      <w:pPr>
        <w:pStyle w:val="Heading1"/>
      </w:pPr>
      <w:r>
        <w:t>5.5 Pre-breach model</w:t>
      </w:r>
    </w:p>
    <w:p>
      <w:pPr>
        <w:spacing w:line="360" w:lineRule="auto"/>
        <w:jc w:val="both"/>
      </w:pPr>
      <w:r>
        <w:t xml:space="preserve">&gt; </w:t>
      </w:r>
      <w:r>
        <w:rPr>
          <w:b/>
        </w:rPr>
        <w:t>[PENDING OPEN63]</w:t>
      </w:r>
      <w:r>
        <w:t xml:space="preserve"> Pre-breach HEC-RAS results: calibration on Table 20 backwater profiles at nine discharges, 1970 field curve, reservoir gauges</w:t>
      </w:r>
    </w:p>
    <w:p>
      <w:pPr>
        <w:spacing w:line="360" w:lineRule="auto"/>
        <w:jc w:val="both"/>
      </w:pPr>
      <w:r>
        <w:t>&gt; `backs: P2-AT03` · `section: 5.5 Pre-breach model`</w:t>
      </w:r>
    </w:p>
    <w:p>
      <w:pPr>
        <w:spacing w:line="360" w:lineRule="auto"/>
        <w:jc w:val="both"/>
      </w:pPr>
      <w:r>
        <w:t>&gt; `produces: HEC-RAS pre-breach project (legacy DniproGES1D = comparison only)` · `status: blocked`</w:t>
      </w:r>
    </w:p>
    <w:p>
      <w:pPr>
        <w:spacing w:line="360" w:lineRule="auto"/>
        <w:jc w:val="both"/>
      </w:pPr>
      <w:r>
        <w:t>&gt; `blocks_submission: yes`</w:t>
      </w:r>
    </w:p>
    <w:p>
      <w:pPr>
        <w:pStyle w:val="Heading1"/>
      </w:pPr>
      <w:r>
        <w:t>5.6 Current model and its validation against observed geometry</w:t>
      </w:r>
    </w:p>
    <w:p>
      <w:pPr>
        <w:spacing w:line="360" w:lineRule="auto"/>
        <w:jc w:val="both"/>
      </w:pPr>
      <w:r>
        <w:t xml:space="preserve">&gt; </w:t>
      </w:r>
      <w:r>
        <w:rPr>
          <w:b/>
        </w:rPr>
        <w:t>[PENDING OPEN64]</w:t>
      </w:r>
      <w:r>
        <w:t xml:space="preserve"> Current-state HEC-RAS results on Paper 1 terrain with the roughness layer; validation against the independently observed post-breach slope (companion paper M1.1: per-overpass ~+3.3 cm/km), within-overpass heterogeneity (M2.1) and the observed wetted width (K1.1) — none used in calibration</w:t>
      </w:r>
    </w:p>
    <w:p>
      <w:pPr>
        <w:spacing w:line="360" w:lineRule="auto"/>
        <w:jc w:val="both"/>
      </w:pPr>
      <w:r>
        <w:t>&gt; `backs: P2-AT01,P2-AT04` · `section: 5.6 Current model`</w:t>
      </w:r>
    </w:p>
    <w:p>
      <w:pPr>
        <w:spacing w:line="360" w:lineRule="auto"/>
        <w:jc w:val="both"/>
      </w:pPr>
      <w:r>
        <w:t>&gt; `status: blocked` · `blocks_submission: yes`</w:t>
      </w:r>
    </w:p>
    <w:p>
      <w:pPr>
        <w:pStyle w:val="Heading1"/>
      </w:pPr>
      <w:r>
        <w:t>5.7 Conveyance and stage: pre-breach versus current</w:t>
      </w:r>
    </w:p>
    <w:p>
      <w:pPr>
        <w:spacing w:line="360" w:lineRule="auto"/>
        <w:jc w:val="both"/>
      </w:pPr>
      <w:r>
        <w:t xml:space="preserve">&gt; </w:t>
      </w:r>
      <w:r>
        <w:rPr>
          <w:b/>
        </w:rPr>
        <w:t>[PENDING OPEN65]</w:t>
      </w:r>
      <w:r>
        <w:t xml:space="preserve"> Conveyance and stage at matched discharges, pre-breach vs current; post-2023 discharge not yet recovered (C-14), so current runs are scenarios until it is</w:t>
      </w:r>
    </w:p>
    <w:p>
      <w:pPr>
        <w:spacing w:line="360" w:lineRule="auto"/>
        <w:jc w:val="both"/>
      </w:pPr>
      <w:r>
        <w:t>&gt; `backs: P2-AT03` · `section: 5.7 Conveyance and stage`</w:t>
      </w:r>
    </w:p>
    <w:p>
      <w:pPr>
        <w:spacing w:line="360" w:lineRule="auto"/>
        <w:jc w:val="both"/>
      </w:pPr>
      <w:r>
        <w:t>&gt; `status: blocked` · `blocks_submission: yes`</w:t>
      </w:r>
    </w:p>
    <w:p>
      <w:pPr>
        <w:pStyle w:val="Heading1"/>
      </w:pPr>
      <w:r>
        <w:t>5.8 Roughness uncertainty</w:t>
      </w:r>
    </w:p>
    <w:p>
      <w:pPr>
        <w:spacing w:line="360" w:lineRule="auto"/>
        <w:jc w:val="both"/>
      </w:pPr>
      <w:r>
        <w:t xml:space="preserve">&gt; </w:t>
      </w:r>
      <w:r>
        <w:rPr>
          <w:b/>
        </w:rPr>
        <w:t>[PENDING OPEN66]</w:t>
      </w:r>
      <w:r>
        <w:t xml:space="preserve"> Stage/conveyance response to n_low / n_base / n_high per class (manning_n_scenarios.csv from make_manning_scenarios.py, not yet run)</w:t>
      </w:r>
    </w:p>
    <w:p>
      <w:pPr>
        <w:spacing w:line="360" w:lineRule="auto"/>
        <w:jc w:val="both"/>
      </w:pPr>
      <w:r>
        <w:t>&gt; `backs: P2-AT05` · `section: 5.8 Roughness uncertainty`</w:t>
      </w:r>
    </w:p>
    <w:p>
      <w:pPr>
        <w:spacing w:line="360" w:lineRule="auto"/>
        <w:jc w:val="both"/>
      </w:pPr>
      <w:r>
        <w:t>&gt; `produces: SWOT-DNIPRO audit_runs/20260918T175108Z/tools/make_manning_scenarios.py` · `status: blocked`</w:t>
      </w:r>
    </w:p>
    <w:p>
      <w:pPr>
        <w:spacing w:line="360" w:lineRule="auto"/>
        <w:jc w:val="both"/>
      </w:pPr>
      <w:r>
        <w:t>&gt; `blocks_submission: yes`</w:t>
      </w:r>
    </w:p>
    <w:p>
      <w:pPr>
        <w:pStyle w:val="Title"/>
      </w:pPr>
      <w:r>
        <w:t>6. DISCUSSION</w:t>
      </w:r>
    </w:p>
    <w:p>
      <w:pPr>
        <w:pStyle w:val="Heading1"/>
      </w:pPr>
      <w:r>
        <w:t>6.1 Novelty boundary</w:t>
      </w:r>
    </w:p>
    <w:p>
      <w:pPr>
        <w:spacing w:line="360" w:lineRule="auto"/>
        <w:jc w:val="both"/>
      </w:pPr>
      <w:r>
        <w:t>Польові карти середовищ існування того самого дна вже існують ((Kuzemko et al., 2025); (Didukh et al., 2024)); внесок цієї роботи полягає не в класифікації, а в багаторічних даних щодо всієї площі поверхні та серій перехідних станів на одній сітці, їх перетворенні на шар шорсткості, а також у гідравлічних наслідках цього шару після створення моделей.</w:t>
      </w:r>
    </w:p>
    <w:p>
      <w:pPr>
        <w:pStyle w:val="Heading1"/>
      </w:pPr>
      <w:r>
        <w:t>6.2 Succession as a hydraulic driver</w:t>
      </w:r>
    </w:p>
    <w:p>
      <w:pPr>
        <w:spacing w:line="360" w:lineRule="auto"/>
        <w:jc w:val="both"/>
      </w:pPr>
      <w:r>
        <w:t>За два сезони більша частина колишньої водної поверхні перетворилася на очерет, трав'янистий покрив та молоду вербу; згідно з опублікованими апріорними даними, відображена поверхня передбачає приблизно подвійний опір потоку, зважений за площею, порівняно з відкритою акваторією (n 0.032 → 0.063; медіана Δn +0.035). Заплавний ліс, задокументований під час польових робіт ((Didukh et al., 2024)), є класом, чий апріорний розподіл є найширшим (n_low 0.07 / n_base 0.1 / n_high 0.16; впевненість низька).</w:t>
      </w:r>
    </w:p>
    <w:p>
      <w:pPr>
        <w:spacing w:line="360" w:lineRule="auto"/>
        <w:jc w:val="both"/>
      </w:pPr>
      <w:r>
        <w:t xml:space="preserve">&gt; </w:t>
      </w:r>
      <w:r>
        <w:rPr>
          <w:b/>
        </w:rPr>
        <w:t>[PENDING OPEN67]</w:t>
      </w:r>
      <w:r>
        <w:t xml:space="preserve"> Discussion of modelled stage/conveyance change and of calibrated versus prior roughness</w:t>
      </w:r>
    </w:p>
    <w:p>
      <w:pPr>
        <w:spacing w:line="360" w:lineRule="auto"/>
        <w:jc w:val="both"/>
      </w:pPr>
      <w:r>
        <w:t>&gt; `backs: P2-AT02,P2-AT03` · `section: 6.2`</w:t>
      </w:r>
    </w:p>
    <w:p>
      <w:pPr>
        <w:spacing w:line="360" w:lineRule="auto"/>
        <w:jc w:val="both"/>
      </w:pPr>
      <w:r>
        <w:t>&gt; `status: blocked` · `blocks_submission: yes`</w:t>
      </w:r>
    </w:p>
    <w:p>
      <w:pPr>
        <w:pStyle w:val="Heading1"/>
      </w:pPr>
      <w:r>
        <w:t>6.3 Why calibration and validation are kept apart</w:t>
      </w:r>
    </w:p>
    <w:p>
      <w:pPr>
        <w:spacing w:line="360" w:lineRule="auto"/>
        <w:jc w:val="both"/>
      </w:pPr>
      <w:r>
        <w:t>Якби коефіцієнт шорсткості Маннінга (n) був налаштований під супутникові профілі, а потім стверджувалося б, що він їх відтворює, нічого не було б перевірено. Тому калібрування використовує лише застарілі профілі підпору та дані гідрологічних постів, а спостережуваний ухил водної поверхні після прориву греблі, описаний у супровідній статті, досягається або ні як незалежна одиниця спостереження.</w:t>
      </w:r>
    </w:p>
    <w:p>
      <w:pPr>
        <w:pStyle w:val="Heading1"/>
      </w:pPr>
      <w:r>
        <w:t>6.4 The channel below the dam</w:t>
      </w:r>
    </w:p>
    <w:p>
      <w:pPr>
        <w:spacing w:line="360" w:lineRule="auto"/>
        <w:jc w:val="both"/>
      </w:pPr>
      <w:r>
        <w:t>Ширша ширина змоченого перерізу при однаковому рівні води, перехідне розгалуження русла протягом тижнів після прориву греблі та зміщення берегів нижче межі виявлення характеризують ділянку, що адаптується; змодельована ширина змоченого перерізу є критерієм того, чи враховує це двовимірна модель. Порівняння з ділянками, де було здійснено демонтаж гребель в інших місцях, відкладено до моменту валідації результатів огляду літератури.</w:t>
      </w:r>
    </w:p>
    <w:p>
      <w:pPr>
        <w:pStyle w:val="Heading1"/>
      </w:pPr>
      <w:r>
        <w:t>6.5 Comparison with literature</w:t>
      </w:r>
    </w:p>
    <w:p>
      <w:pPr>
        <w:pStyle w:val="Heading1"/>
      </w:pPr>
      <w:r>
        <w:t>7.8 Comparison with literature</w:t>
      </w:r>
    </w:p>
    <w:p>
      <w:pPr>
        <w:spacing w:line="360" w:lineRule="auto"/>
        <w:jc w:val="both"/>
      </w:pPr>
      <w:r>
        <w:t xml:space="preserve">&gt; </w:t>
      </w:r>
      <w:r>
        <w:rPr>
          <w:b/>
        </w:rPr>
        <w:t>[PENDING OPEN92]</w:t>
      </w:r>
      <w:r>
        <w:t xml:space="preserve"> translation rejected: locked tokens did not round-trip; English kept</w:t>
      </w:r>
    </w:p>
    <w:p>
      <w:pPr>
        <w:spacing w:line="360" w:lineRule="auto"/>
        <w:jc w:val="both"/>
      </w:pPr>
      <w:r>
        <w:t>&gt; `section: paragraph 74` · `status: blocked`</w:t>
      </w:r>
    </w:p>
    <w:p>
      <w:pPr>
        <w:spacing w:line="360" w:lineRule="auto"/>
        <w:jc w:val="both"/>
      </w:pPr>
      <w:r>
        <w:t>&gt; `blocks_submission: yes`</w:t>
      </w:r>
    </w:p>
    <w:p>
      <w:pPr>
        <w:spacing w:line="360" w:lineRule="auto"/>
        <w:jc w:val="both"/>
      </w:pPr>
      <w:r>
        <w:t>Positioning statements below are constructed from the L-series literature evidence matrix; each is traceable to its theses, to paper-level relations and to DOIs with verified passages. No priority is asserted here: where a claim is not yet supportable, the marker says why.</w:t>
      </w:r>
    </w:p>
    <w:p>
      <w:pPr>
        <w:spacing w:line="360" w:lineRule="auto"/>
        <w:jc w:val="both"/>
      </w:pPr>
      <w:r>
        <w:t>Розділ організовано у три паралельні шари, оскільки дослідження доводить три різні речі, і кожна з них спирається на окремий масив літератури. Відсутність у шарі Каховське водосховище — це те, що вносить це дослідження; відсутність у перехідному шарі або шарі даних є слабкістю його аргументації, а не результатом.</w:t>
      </w:r>
    </w:p>
    <w:p>
      <w:pPr>
        <w:pStyle w:val="Heading2"/>
      </w:pPr>
      <w:r>
        <w:t>K. What has already been observed at Kakhovka</w:t>
      </w:r>
    </w:p>
    <w:p>
      <w:pPr>
        <w:spacing w:line="360" w:lineRule="auto"/>
        <w:jc w:val="both"/>
      </w:pPr>
      <w:r>
        <w:t xml:space="preserve">&gt; </w:t>
      </w:r>
      <w:r>
        <w:rPr>
          <w:b/>
        </w:rPr>
        <w:t>[PENDING OPEN93]</w:t>
      </w:r>
      <w:r>
        <w:t xml:space="preserve"> translation rejected: locked tokens did not round-trip; English kept</w:t>
      </w:r>
    </w:p>
    <w:p>
      <w:pPr>
        <w:spacing w:line="360" w:lineRule="auto"/>
        <w:jc w:val="both"/>
      </w:pPr>
      <w:r>
        <w:t>&gt; `section: paragraph 77` · `status: blocked`</w:t>
      </w:r>
    </w:p>
    <w:p>
      <w:pPr>
        <w:spacing w:line="360" w:lineRule="auto"/>
        <w:jc w:val="both"/>
      </w:pPr>
      <w:r>
        <w:t>&gt; `blocks_submission: yes`</w:t>
      </w:r>
    </w:p>
    <w:p>
      <w:pPr>
        <w:spacing w:line="360" w:lineRule="auto"/>
        <w:jc w:val="both"/>
      </w:pPr>
      <w:r>
        <w:rPr>
          <w:i/>
        </w:rPr>
        <w:t>What has already been studied at this site after the breach?</w:t>
      </w:r>
      <w:r>
        <w:t xml:space="preserve"> — a gap here is the novelty case.</w:t>
      </w:r>
    </w:p>
    <w:p>
      <w:pPr>
        <w:spacing w:line="360" w:lineRule="auto"/>
        <w:jc w:val="both"/>
      </w:pPr>
      <w:r>
        <w:t>Булевий зріз S1_kakhovka_status_quo ще не пройшов перевірку в межах валідованого пошуку; твердження «Серед досліджень Каховського водосховища після прориву греблі, відібраних та перевірених зрізом S1, жодне не кількісно оцінює поздовжній градієнт водної поверхні» є затриманим. [LK1.1]</w:t>
      </w:r>
    </w:p>
    <w:p>
      <w:pPr>
        <w:spacing w:line="360" w:lineRule="auto"/>
        <w:jc w:val="both"/>
      </w:pPr>
      <w:r>
        <w:t xml:space="preserve">&gt; </w:t>
      </w:r>
      <w:r>
        <w:rPr>
          <w:b/>
        </w:rPr>
        <w:t>[PENDING OPEN41]</w:t>
      </w:r>
      <w:r>
        <w:t xml:space="preserve"> §7.8 literature claim LK1.1 is not yet supportable (RETRIEVAL_UNVALIDATED)</w:t>
      </w:r>
    </w:p>
    <w:p>
      <w:pPr>
        <w:spacing w:line="360" w:lineRule="auto"/>
        <w:jc w:val="both"/>
      </w:pPr>
      <w:r>
        <w:t>&gt; `backs: M1.1, M3.1` · `section: 7.8 Comparison with literature`</w:t>
      </w:r>
    </w:p>
    <w:p>
      <w:pPr>
        <w:spacing w:line="360" w:lineRule="auto"/>
        <w:jc w:val="both"/>
      </w:pPr>
      <w:r>
        <w:t>&gt; `next_step: verify a hold-out positive control for T03, T19` · `status: blocked`</w:t>
      </w:r>
    </w:p>
    <w:p>
      <w:pPr>
        <w:spacing w:line="360" w:lineRule="auto"/>
        <w:jc w:val="both"/>
      </w:pPr>
      <w:r>
        <w:t>&gt; `blocks_submission: yes`</w:t>
      </w:r>
    </w:p>
    <w:p>
      <w:pPr>
        <w:spacing w:line="360" w:lineRule="auto"/>
        <w:jc w:val="both"/>
      </w:pPr>
      <w:r>
        <w:t>Булевий зріз S1_kakhovka_status_quo ще не пройшов перевірку в межах валідованого пошуку; твердження «Опрацьована література щодо Каховського водосховища характеризує подію переважно через планові показники — площу водного дзеркала, площу оголеного дна та їхні зміни — і вимірювана частка подається саме в такому вигляді» залишається непідтвердженим. [LK1.2]</w:t>
      </w:r>
    </w:p>
    <w:p>
      <w:pPr>
        <w:spacing w:line="360" w:lineRule="auto"/>
        <w:jc w:val="both"/>
      </w:pPr>
      <w:r>
        <w:t xml:space="preserve">&gt; </w:t>
      </w:r>
      <w:r>
        <w:rPr>
          <w:b/>
        </w:rPr>
        <w:t>[PENDING OPEN42]</w:t>
      </w:r>
      <w:r>
        <w:t xml:space="preserve"> §7.8 literature claim LK1.2 is not yet supportable (RETRIEVAL_UNVALIDATED)</w:t>
      </w:r>
    </w:p>
    <w:p>
      <w:pPr>
        <w:spacing w:line="360" w:lineRule="auto"/>
        <w:jc w:val="both"/>
      </w:pPr>
      <w:r>
        <w:t>&gt; `backs: M3.1` · `section: 7.8 Comparison with literature`</w:t>
      </w:r>
    </w:p>
    <w:p>
      <w:pPr>
        <w:spacing w:line="360" w:lineRule="auto"/>
        <w:jc w:val="both"/>
      </w:pPr>
      <w:r>
        <w:t>&gt; `next_step: verify a hold-out positive control for T19, T03` · `status: blocked`</w:t>
      </w:r>
    </w:p>
    <w:p>
      <w:pPr>
        <w:spacing w:line="360" w:lineRule="auto"/>
        <w:jc w:val="both"/>
      </w:pPr>
      <w:r>
        <w:t>&gt; `blocks_submission: yes`</w:t>
      </w:r>
    </w:p>
    <w:p>
      <w:pPr>
        <w:spacing w:line="360" w:lineRule="auto"/>
        <w:jc w:val="both"/>
      </w:pPr>
      <w:r>
        <w:t>Опубліковані гідродинамічні реконструкції прориву греблі Каховського водосховища пояснюють похибку рівня води особливостями вхідних даних про рельєф, при цьому вертикальна прив’язка цих даних розглядається як другорядне питання, а не як гармонізована система. Найближчий прецедент у корпусі: [doi:10.1111/j.1752-1688.2008.00263.x]. [LK1.3]</w:t>
      </w:r>
    </w:p>
    <w:p>
      <w:pPr>
        <w:spacing w:line="360" w:lineRule="auto"/>
        <w:jc w:val="both"/>
      </w:pPr>
      <w:r>
        <w:t xml:space="preserve">&gt; </w:t>
      </w:r>
      <w:r>
        <w:rPr>
          <w:b/>
        </w:rPr>
        <w:t>[PENDING OPEN43]</w:t>
      </w:r>
      <w:r>
        <w:t xml:space="preserve"> §7.8 literature claim LK1.3 is not yet supportable (RETRIEVAL_UNVALIDATED)</w:t>
      </w:r>
    </w:p>
    <w:p>
      <w:pPr>
        <w:spacing w:line="360" w:lineRule="auto"/>
        <w:jc w:val="both"/>
      </w:pPr>
      <w:r>
        <w:t>&gt; `backs: V6.1, V10.3` · `section: 7.8 Comparison with literature`</w:t>
      </w:r>
    </w:p>
    <w:p>
      <w:pPr>
        <w:spacing w:line="360" w:lineRule="auto"/>
        <w:jc w:val="both"/>
      </w:pPr>
      <w:r>
        <w:t>&gt; `next_step: verify a hold-out positive control for T02, T08` · `status: blocked`</w:t>
      </w:r>
    </w:p>
    <w:p>
      <w:pPr>
        <w:spacing w:line="360" w:lineRule="auto"/>
        <w:jc w:val="both"/>
      </w:pPr>
      <w:r>
        <w:t>&gt; `blocks_submission: yes`</w:t>
      </w:r>
    </w:p>
    <w:p>
      <w:pPr>
        <w:pStyle w:val="Heading2"/>
      </w:pPr>
      <w:r>
        <w:t>T. What is known about reservoir-to-river hydraulic transitions</w:t>
      </w:r>
    </w:p>
    <w:p>
      <w:pPr>
        <w:spacing w:line="360" w:lineRule="auto"/>
        <w:jc w:val="both"/>
      </w:pPr>
      <w:r>
        <w:rPr>
          <w:i/>
        </w:rPr>
        <w:t>Чи встановлено фізичний перехід і як він діагностується?</w:t>
      </w:r>
      <w:r>
        <w:t xml:space="preserve"> — прогалина тут є слабкістю, а не внеском: цей шар має бути добре заповненим.</w:t>
      </w:r>
    </w:p>
    <w:p>
      <w:pPr>
        <w:spacing w:line="360" w:lineRule="auto"/>
        <w:jc w:val="both"/>
      </w:pPr>
      <w:r>
        <w:t>Прорив греблі, руйнування греблі та швидке спрацювання визнані чинниками, що зумовлюють перехід від умов водосховища до руслової річкової гідравліки, що виражається через ухил водної поверхні, швидкість, напруження зсуву та зв'язність. Найближчий прецедент у корпусі: [doi:10.1111/j.1752-1688.2008.00263.x]. [LT1.1]</w:t>
      </w:r>
    </w:p>
    <w:p>
      <w:pPr>
        <w:spacing w:line="360" w:lineRule="auto"/>
        <w:jc w:val="both"/>
      </w:pPr>
      <w:r>
        <w:t xml:space="preserve">&gt; </w:t>
      </w:r>
      <w:r>
        <w:rPr>
          <w:b/>
        </w:rPr>
        <w:t>[PENDING OPEN44]</w:t>
      </w:r>
      <w:r>
        <w:t xml:space="preserve"> §7.8 literature claim LT1.1 is not yet supportable (RETRIEVAL_UNVALIDATED)</w:t>
      </w:r>
    </w:p>
    <w:p>
      <w:pPr>
        <w:spacing w:line="360" w:lineRule="auto"/>
        <w:jc w:val="both"/>
      </w:pPr>
      <w:r>
        <w:t>&gt; `backs: M1.1` · `section: 7.8 Comparison with literature`</w:t>
      </w:r>
    </w:p>
    <w:p>
      <w:pPr>
        <w:spacing w:line="360" w:lineRule="auto"/>
        <w:jc w:val="both"/>
      </w:pPr>
      <w:r>
        <w:t>&gt; `next_step: verify a hold-out positive control for T01, T02` · `status: blocked`</w:t>
      </w:r>
    </w:p>
    <w:p>
      <w:pPr>
        <w:spacing w:line="360" w:lineRule="auto"/>
        <w:jc w:val="both"/>
      </w:pPr>
      <w:r>
        <w:t>&gt; `blocks_submission: yes`</w:t>
      </w:r>
    </w:p>
    <w:p>
      <w:pPr>
        <w:spacing w:line="360" w:lineRule="auto"/>
        <w:jc w:val="both"/>
      </w:pPr>
      <w:r>
        <w:t>Ухил водної поверхні в поздовжньому напрямку розглядається в літературі як діагностична змінна стану гідравлічного режиму, яку можна відокремити від площі водної поверхні, а стійку зміну цього показника трактують як зміну режиму, а не як перехідний процес релаксації. Найближчий прецедент у корпусі: [doi:10.1029/2018gl077933]. [LT1.2]</w:t>
      </w:r>
    </w:p>
    <w:p>
      <w:pPr>
        <w:spacing w:line="360" w:lineRule="auto"/>
        <w:jc w:val="both"/>
      </w:pPr>
      <w:r>
        <w:t xml:space="preserve">&gt; </w:t>
      </w:r>
      <w:r>
        <w:rPr>
          <w:b/>
        </w:rPr>
        <w:t>[PENDING OPEN45]</w:t>
      </w:r>
      <w:r>
        <w:t xml:space="preserve"> §7.8 literature claim LT1.2 is not yet supportable (RETRIEVAL_UNVALIDATED)</w:t>
      </w:r>
    </w:p>
    <w:p>
      <w:pPr>
        <w:spacing w:line="360" w:lineRule="auto"/>
        <w:jc w:val="both"/>
      </w:pPr>
      <w:r>
        <w:t>&gt; `backs: M1.1, M2.1` · `section: 7.8 Comparison with literature`</w:t>
      </w:r>
    </w:p>
    <w:p>
      <w:pPr>
        <w:spacing w:line="360" w:lineRule="auto"/>
        <w:jc w:val="both"/>
      </w:pPr>
      <w:r>
        <w:t>&gt; `next_step: verify a hold-out positive control for T03, T23` · `status: blocked`</w:t>
      </w:r>
    </w:p>
    <w:p>
      <w:pPr>
        <w:spacing w:line="360" w:lineRule="auto"/>
        <w:jc w:val="both"/>
      </w:pPr>
      <w:r>
        <w:t>&gt; `blocks_submission: yes`</w:t>
      </w:r>
    </w:p>
    <w:p>
      <w:pPr>
        <w:pStyle w:val="Heading2"/>
      </w:pPr>
      <w:r>
        <w:t>D. What the data and methods can measure</w:t>
      </w:r>
    </w:p>
    <w:p>
      <w:pPr>
        <w:spacing w:line="360" w:lineRule="auto"/>
        <w:jc w:val="both"/>
      </w:pPr>
      <w:r>
        <w:rPr>
          <w:i/>
        </w:rPr>
        <w:t>Що можуть виміряти SWOT, ICESat-2, gauges та застарілі зйомки, і як їх необхідно гармонізувати?</w:t>
      </w:r>
      <w:r>
        <w:t xml:space="preserve"> — прогалина тут є слабкістю, а не внеском: цей шар має бути добре заповненим.</w:t>
      </w:r>
    </w:p>
    <w:p>
      <w:pPr>
        <w:spacing w:line="360" w:lineRule="auto"/>
        <w:jc w:val="both"/>
      </w:pPr>
      <w:r>
        <w:t>SWOT та ICESat-2  можуть кожен окремо визначати геометрію водної поверхні внутрішніх водойм із точністю, необхідною для поздовжнього градієнта, при цьому звітуючи про висоти на різних референцних поверхнях та у різних конвенціях щодо постійного припливу. Найближчий прецедент у корпусі: [doi:10.1016/j.rse.2021.112876]. [LD1.1]</w:t>
      </w:r>
    </w:p>
    <w:p>
      <w:pPr>
        <w:spacing w:line="360" w:lineRule="auto"/>
        <w:jc w:val="both"/>
      </w:pPr>
      <w:r>
        <w:t xml:space="preserve">&gt; </w:t>
      </w:r>
      <w:r>
        <w:rPr>
          <w:b/>
        </w:rPr>
        <w:t>[PENDING OPEN46]</w:t>
      </w:r>
      <w:r>
        <w:t xml:space="preserve"> §7.8 literature claim LD1.1 is not yet supportable (RETRIEVAL_UNVALIDATED)</w:t>
      </w:r>
    </w:p>
    <w:p>
      <w:pPr>
        <w:spacing w:line="360" w:lineRule="auto"/>
        <w:jc w:val="both"/>
      </w:pPr>
      <w:r>
        <w:t>&gt; `backs: V2.1, V3.1` · `section: 7.8 Comparison with literature`</w:t>
      </w:r>
    </w:p>
    <w:p>
      <w:pPr>
        <w:spacing w:line="360" w:lineRule="auto"/>
        <w:jc w:val="both"/>
      </w:pPr>
      <w:r>
        <w:t>&gt; `next_step: verify a hold-out positive control for T05, T06, T07` · `status: blocked`</w:t>
      </w:r>
    </w:p>
    <w:p>
      <w:pPr>
        <w:spacing w:line="360" w:lineRule="auto"/>
        <w:jc w:val="both"/>
      </w:pPr>
      <w:r>
        <w:t>&gt; `blocks_submission: yes`</w:t>
      </w:r>
    </w:p>
    <w:p>
      <w:pPr>
        <w:spacing w:line="360" w:lineRule="auto"/>
        <w:jc w:val="both"/>
      </w:pPr>
      <w:r>
        <w:t>Вибір вертикальної системи відліку та конвенція щодо постійного припливу зумовлюють зміщення величиною від сантиметрів до дециметрів, що є співмірним із гідравлічним сигналом, який вимірюється, причому ці зміщення просторово варіюються в межах області такого розміру. Найближчий прецедент у корпусі: [doi:10.1007/s00190-010-0422-2]. [LD1.2]</w:t>
      </w:r>
    </w:p>
    <w:p>
      <w:pPr>
        <w:spacing w:line="360" w:lineRule="auto"/>
        <w:jc w:val="both"/>
      </w:pPr>
      <w:r>
        <w:t xml:space="preserve">&gt; </w:t>
      </w:r>
      <w:r>
        <w:rPr>
          <w:b/>
        </w:rPr>
        <w:t>[PENDING OPEN47]</w:t>
      </w:r>
      <w:r>
        <w:t xml:space="preserve"> §7.8 literature claim LD1.2 is not yet supportable (RETRIEVAL_UNVALIDATED)</w:t>
      </w:r>
    </w:p>
    <w:p>
      <w:pPr>
        <w:spacing w:line="360" w:lineRule="auto"/>
        <w:jc w:val="both"/>
      </w:pPr>
      <w:r>
        <w:t>&gt; `backs: V1.2, V3.1`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Булевий зріз S2_altimetry_vertical_datum ще не пройшов перевірку в межах валідованого пошуку; твердження «Серед досліджень альтиметрії внутрішніх вод, відібраних за зрізом S2, що використовують вертикальну систему відліку, частка тих, де вказано конвенцію постійного припливу, наводиться як виміряна.» є затриманим. [LD1.3]</w:t>
      </w:r>
    </w:p>
    <w:p>
      <w:pPr>
        <w:spacing w:line="360" w:lineRule="auto"/>
        <w:jc w:val="both"/>
      </w:pPr>
      <w:r>
        <w:t xml:space="preserve">&gt; </w:t>
      </w:r>
      <w:r>
        <w:rPr>
          <w:b/>
        </w:rPr>
        <w:t>[PENDING OPEN48]</w:t>
      </w:r>
      <w:r>
        <w:t xml:space="preserve"> §7.8 literature claim LD1.3 is not yet supportable (RETRIEVAL_UNVALIDATED)</w:t>
      </w:r>
    </w:p>
    <w:p>
      <w:pPr>
        <w:spacing w:line="360" w:lineRule="auto"/>
        <w:jc w:val="both"/>
      </w:pPr>
      <w:r>
        <w:t>&gt; `backs: V1.2`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Історичні батиметричні зйомки та проектна документація водосховища можуть слугувати незалежними кількісними цілями для валідації сучасних супутникових вимірювань після встановлення їхньої редукційної системи відліку. Найближчий прецедент у корпусі: [doi:10.3390/ijgi9040258]. [LD1.4]</w:t>
      </w:r>
    </w:p>
    <w:p>
      <w:pPr>
        <w:spacing w:line="360" w:lineRule="auto"/>
        <w:jc w:val="both"/>
      </w:pPr>
      <w:r>
        <w:t xml:space="preserve">&gt; </w:t>
      </w:r>
      <w:r>
        <w:rPr>
          <w:b/>
        </w:rPr>
        <w:t>[PENDING OPEN49]</w:t>
      </w:r>
      <w:r>
        <w:t xml:space="preserve"> §7.8 literature claim LD1.4 is not yet supportable (RETRIEVAL_UNVALIDATED)</w:t>
      </w:r>
    </w:p>
    <w:p>
      <w:pPr>
        <w:spacing w:line="360" w:lineRule="auto"/>
        <w:jc w:val="both"/>
      </w:pPr>
      <w:r>
        <w:t>&gt; `backs: V6.1, V7.1, V10.1` · `section: 7.8 Comparison with literature`</w:t>
      </w:r>
    </w:p>
    <w:p>
      <w:pPr>
        <w:spacing w:line="360" w:lineRule="auto"/>
        <w:jc w:val="both"/>
      </w:pPr>
      <w:r>
        <w:t>&gt; `next_step: verify a hold-out positive control for T15, T16, T17, T18` · `status: blocked`</w:t>
      </w:r>
    </w:p>
    <w:p>
      <w:pPr>
        <w:spacing w:line="360" w:lineRule="auto"/>
        <w:jc w:val="both"/>
      </w:pPr>
      <w:r>
        <w:t>&gt; `blocks_submission: yes`</w:t>
      </w:r>
    </w:p>
    <w:p>
      <w:pPr>
        <w:pStyle w:val="Heading1"/>
      </w:pPr>
      <w:r>
        <w:t>6.6 Limitations</w:t>
      </w:r>
    </w:p>
    <w:p>
      <w:pPr>
        <w:spacing w:line="360" w:lineRule="auto"/>
        <w:jc w:val="both"/>
      </w:pPr>
      <w:r>
        <w:t>Класи поверхонь не мають оцінки точності, доки не буде розмічена стратифікована вибірка 320-точок. Зміна висоти крони не піддається ідентифікації (одна пара RGT 167→1211 (2023→2025), dh -3.15 m при розділенні 17.2 m). Композити Dynamic World для 2025–2026  відсутні. Витрата води після прориву греблі не була відновлена, тому розрахунки поточного стану є сценарними (супровідна стаття, C-14). Апріорні значення коефіцієнта шорсткості Маннінга (n) є літературними даними без локального гідравлічного калібрування до розділу 5.5; застаріла модель DniproGES1D використовується лише для порівняння. SAR-маски води та варіанти класифікатора, що були протестовані та відхилені, описані в Додаткових методах S2 і не відіграють жодної ролі в аргументації.</w:t>
      </w:r>
    </w:p>
    <w:p>
      <w:pPr>
        <w:pStyle w:val="Title"/>
      </w:pPr>
      <w:r>
        <w:t>7. CONCLUSIONS</w:t>
      </w:r>
    </w:p>
    <w:p>
      <w:pPr>
        <w:spacing w:line="360" w:lineRule="auto"/>
        <w:jc w:val="both"/>
      </w:pPr>
      <w:r>
        <w:t xml:space="preserve">&gt; </w:t>
      </w:r>
      <w:r>
        <w:rPr>
          <w:b/>
        </w:rPr>
        <w:t>[PENDING OPEN68]</w:t>
      </w:r>
      <w:r>
        <w:t xml:space="preserve"> Conclusions await the HEC-RAS results</w:t>
      </w:r>
    </w:p>
    <w:p>
      <w:pPr>
        <w:spacing w:line="360" w:lineRule="auto"/>
        <w:jc w:val="both"/>
      </w:pPr>
      <w:r>
        <w:t>&gt; `backs: P2-AT01,P2-AT02,P2-AT03,P2-AT04,P2-AT05` · `section: 7 Conclusions`</w:t>
      </w:r>
    </w:p>
    <w:p>
      <w:pPr>
        <w:spacing w:line="360" w:lineRule="auto"/>
        <w:jc w:val="both"/>
      </w:pPr>
      <w:r>
        <w:t>&gt; `status: blocked` · `blocks_submission: yes`</w:t>
      </w:r>
    </w:p>
    <w:p>
      <w:pPr>
        <w:pStyle w:val="Title"/>
      </w:pPr>
      <w:r>
        <w:t>SUPPLEMENTARY MATERIAL</w:t>
      </w:r>
    </w:p>
    <w:p>
      <w:pPr>
        <w:pStyle w:val="Heading1"/>
      </w:pPr>
      <w:r>
        <w:t>S1. Machine tables and open items</w:t>
      </w:r>
    </w:p>
    <w:p>
      <w:pPr>
        <w:spacing w:line="360" w:lineRule="auto"/>
        <w:jc w:val="both"/>
      </w:pPr>
      <w:r>
        <w:t>Таблиці згенеровані з `OWN_EVIDENCE.csv`; кожне число в основному тексті містить ідентифікатор твердження, що вказує на рядок зведеної таблиці. Невирішені питання перелічені в `PAPER2_OPEN_ITEMS.md`, проаналізовані з маркерів [PENDING] цього документа.</w:t>
      </w:r>
    </w:p>
    <w:p>
      <w:pPr>
        <w:pStyle w:val="Heading1"/>
      </w:pPr>
      <w:r>
        <w:t>S2. Sentinel-1 water masks: baseline and rejected variants</w:t>
      </w:r>
    </w:p>
    <w:p>
      <w:pPr>
        <w:spacing w:line="360" w:lineRule="auto"/>
        <w:jc w:val="both"/>
      </w:pPr>
      <w:r>
        <w:t>Це дослідження обмежене додатком, оскільки воно стосується результатів методу виявлення паводкових вод за допомогою SAR на свіжооголених відкладах, а не є частиною гідравлічного аргументу. Базовий класифікатор — це закріплений двокласовий дискримінант Фішера для VV та VH (γ⁰, з корекцією рельєфу) із відсіканням за середньою точкою та ситом 0.05 km². Варіанти додають фільтрацію спеклів, мажоритарну фільтрацію, мінімальні одиниці картографування, виявлення змін на одній орбіті, рельєфне вето на основі ухилу FABDEM та висоти над найближчою водою, а також — у пілотному проекті на руслі прориву греблі до Херсона — етап відхилення за допомогою логістичної регресії та випадкового лісу, оцінений методом виключення однієї орбіти (leave-one-orbit-out) порівняно з оптичними даними про воду.</w:t>
      </w:r>
    </w:p>
    <w:p>
      <w:pPr>
        <w:spacing w:line="360" w:lineRule="auto"/>
        <w:jc w:val="both"/>
      </w:pPr>
      <w:r>
        <w:t>проксі хибної води 0.200  спостережуваного кадру; Δповнота проти M3 -0.0007; захисний прохід True. Кожен варіант виявлення змін не проходить перевірку повноти нової води в усіх чотирьох зонах, оскільки доподієвий еталон над оголеним осадом сам по собі є темним. Точність VRF 0.050  проти M3 0.012  при повноті 0.735  (M3 0.733); AP 0.204.  медіана частоти хибної води 0.181  (q25 0.124, q75 0.321); 377 km² медіана. Хронічний об'єкт-двійник хибної води над Олешківськими пісками є помилкою, зумовленою типом земного покриву, яку не усуває жодне відсікання за віссю зворотного розсіювання; необхідна стадія відхилення, що враховує земний покрив або рельєф. Ці результати представлені як методична примітка для майбутньої статті з дистанційного зондування (тези T35–T36, теза статті AT11, обсяг `supplement_only`).</w:t>
      </w:r>
    </w:p>
    <w:p>
      <w:pPr>
        <w:pStyle w:val="Title"/>
      </w:pPr>
      <w:r>
        <w:t>REFERENCES</w:t>
      </w:r>
    </w:p>
    <w:p>
      <w:pPr>
        <w:spacing w:line="360" w:lineRule="auto"/>
        <w:jc w:val="both"/>
      </w:pPr>
      <w:r>
        <w:t>- [arcement1989] Arcement G.J.; Schneider V.R. (USGS) (1989). Guide for selecting Manning's roughness coefficients for natural channels and flood plains. **. https://doi.org/10.3133/wsp2339</w:t>
      </w:r>
    </w:p>
    <w:p>
      <w:pPr>
        <w:spacing w:line="360" w:lineRule="auto"/>
        <w:jc w:val="both"/>
      </w:pPr>
      <w:r>
        <w:t xml:space="preserve">- [didukh2024] Дідух, Я.П.; Куземко, А.А.; Ходосовцев, О.Є.; Чусова, О.О.; Борсукевич, Л.М.; Скобель, Н.О.; Михайлюк, Т.І.; Мойсієнко, І.І. (2024). Перший рік відновлення заплавних лісів на дні колишнього Каховського водосховища. </w:t>
      </w:r>
      <w:r>
        <w:rPr>
          <w:i/>
        </w:rPr>
        <w:t>CHORNOMORSKI  BOTANICAL  JOURNAL</w:t>
      </w:r>
      <w:r>
        <w:t>. https://doi.org/10.32999/ksu1990-553x/2024-20-3-5</w:t>
      </w:r>
    </w:p>
    <w:p>
      <w:pPr>
        <w:spacing w:line="360" w:lineRule="auto"/>
        <w:jc w:val="both"/>
      </w:pPr>
      <w:r>
        <w:t xml:space="preserve">- [jarvela2004] Järvelä, Juha (2004). Determination of flow resistance caused by non‐submerged woody vegetation. </w:t>
      </w:r>
      <w:r>
        <w:rPr>
          <w:i/>
        </w:rPr>
        <w:t>International Journal of River Basin Management</w:t>
      </w:r>
      <w:r>
        <w:t>. https://doi.org/10.1080/15715124.2004.9635222</w:t>
      </w:r>
    </w:p>
    <w:p>
      <w:pPr>
        <w:spacing w:line="360" w:lineRule="auto"/>
        <w:jc w:val="both"/>
      </w:pPr>
      <w:r>
        <w:t xml:space="preserve">- [kuzemko2025] Kuzemko, A.A.; Prylutskyi, O.V.; Kolomytsev, G.O.; Didukh, Ya.P.; Moysiyenko, I.I.; Borsukevych, L.M.; Chusova, O.O.; Khodosovtsev, O.Ye. (2025). Initial stages of revegetation at the bottom of the drained Kakhovka Reservoir (Ukraine): synthesis of field surveys and remote sensing. </w:t>
      </w:r>
      <w:r>
        <w:rPr>
          <w:i/>
        </w:rPr>
        <w:t>Ukrainian Botanical Journal</w:t>
      </w:r>
      <w:r>
        <w:t>. https://doi.org/10.15407/ukrbotj82.05.488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