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The destruction of the Kakhovka Dam on 6 June 2023 drained a 2 155 km² reservoir on the lower Dnipro within days. Whether the residual system now behaves as a river and over what bed it flows are questions a water-area time series cannot answer. They require water-surface geometry and a bed that are commensurable in one vertical frame.</w:t>
      </w:r>
    </w:p>
    <w:p>
      <w:pPr>
        <w:spacing w:line="360" w:lineRule="auto"/>
        <w:jc w:val="both"/>
      </w:pPr>
      <w:r>
        <w:rPr>
          <w:b/>
        </w:rPr>
        <w:t>Method.</w:t>
      </w:r>
      <w:r>
        <w:t xml:space="preserve"> Seven hydrological gauges, ICESat-2 ATL13 laser altimetry, SWOT PIXC/RiverSP radar interferometry and a legacy navigation-chart survey are harmonised into EVRF2019 normal heights through the EGG2015 quasigeoid and the EPSG:9902 operation, with the permanent-tide convention of each product handled explicitly. Per-overpass longitudinal water-surface slopes are estimated with a robust (Theil–Sen) fit, one overpass being the independent unit. The frame is tested before it is used: against the gauges, between the two satellites, and against a 1970 field survey of the same water surface.</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fast-sampling SWOT orbit recorded the outlet through the drawdown itself: outlet 5.63 m EVRF2019 on 13 June, from 17.53 m on 31 May.</w:t>
      </w:r>
    </w:p>
    <w:p>
      <w:pPr>
        <w:spacing w:line="360" w:lineRule="auto"/>
        <w:jc w:val="both"/>
      </w:pPr>
      <w:r>
        <w:rPr>
          <w:b/>
        </w:rPr>
        <w:t>Conclusions.</w:t>
      </w:r>
      <w:r>
        <w:t xml:space="preserve"> The reservoir did not merely shrink: its water surface acquired a persistent downstream gradient, measurable only once four differently-referenced surfaces were reduced to one frame. Each statement rests on a measured quantity with a stated uncertainty; where a quantity cannot be measured with the data at hand — a post-breach slope–discharge law, a rate of bed change — the manuscript says so rather than inferring it. The bed over which that surface now runs is reconstructed in a companion paper (Paper 2), and the consequences for roughness and conveyance in two further ones.</w:t>
      </w:r>
    </w:p>
    <w:p>
      <w:pPr>
        <w:spacing w:line="360" w:lineRule="auto"/>
        <w:jc w:val="both"/>
      </w:pPr>
      <w:r>
        <w:rPr>
          <w:b/>
        </w:rPr>
        <w:t>Keywords:</w:t>
      </w:r>
      <w:r>
        <w:t xml:space="preserve"> satellite altimetry; ICESat-2; SWOT; water-surface slope; vertical datum; EVRF2019; dam breach; reservoir drawdown; hydraulic regime; Kakhovka</w:t>
      </w:r>
    </w:p>
    <w:p>
      <w:pPr>
        <w:pStyle w:val="Title"/>
      </w:pPr>
      <w:r>
        <w:t>1. INTRODUCTION</w:t>
      </w:r>
    </w:p>
    <w:p>
      <w:pPr>
        <w:pStyle w:val="Heading1"/>
      </w:pPr>
      <w:r>
        <w:t>1.1 The Kakhovka Reservoir and the 2023 dam breach</w:t>
      </w:r>
    </w:p>
    <w:p>
      <w:pPr>
        <w:spacing w:line="360" w:lineRule="auto"/>
        <w:jc w:val="both"/>
      </w:pPr>
      <w:r>
        <w:t>The Kakhovka Reservoir was the lowest of the Dnipro cascade: at its normal impoundment level of 16.00 m (Baltic 1977) it held 18.19 km³ over 2 155 km², with a navigation drawdown level of 14.00 m and a dead-volume level of 12.7 m, as tabulated in the original design documentation. On 6 June 2023 the dam was breached and the pool drained within days. What remained was a river running through its former bed, a set of disconnected remnant water bodies, and some two thousand square kilometres of freshly exposed sediment.</w:t>
      </w:r>
    </w:p>
    <w:p>
      <w:pPr>
        <w:pStyle w:val="Heading1"/>
      </w:pPr>
      <w:r>
        <w:t>1.2 Why water area is not enough</w:t>
      </w:r>
    </w:p>
    <w:p>
      <w:pPr>
        <w:spacing w:line="360" w:lineRule="auto"/>
        <w:jc w:val="both"/>
      </w:pPr>
      <w:r>
        <w:t>Post-breach studies of the site have characterised the event predominantly through planform quantities — water extent, exposed area and their change. Water occurrence and surface-area change have been mapped from optical imagery (Kozlova et al., 2024; Sazonenko et al., 2024; Maksymenko &amp; Bezsonnyi, 2026), the environmental consequences catalogued (Vyshnevskyi et al., 2023; Shumilova et al., 2025), and the breach itself reconstructed hydrodynamically (Kadam et al., 2024).</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Equal water areas can correspond to fundamentally different hydraulic regimes: a level pool and a sloping channel may occupy the same footprint. A regime change is a change in the geometry of the water surface, and detecting it requires elevations that are commensurable across sensors and epochs.</w:t>
      </w:r>
    </w:p>
    <w:p>
      <w:pPr>
        <w:pStyle w:val="Heading1"/>
      </w:pPr>
      <w:r>
        <w:t>1.3 Longitudinal water-surface geometry from spatial altimetry</w:t>
      </w:r>
    </w:p>
    <w:p>
      <w:pPr>
        <w:spacing w:line="360" w:lineRule="auto"/>
        <w:jc w:val="both"/>
      </w:pPr>
      <w:r>
        <w:t>ICESat-2 photon-counting lidar and SWOT Ka-band interferometry observe water-surface elevation along tracks and across swaths rather than at virtual stations, so they can resolve the longitudinal gradient of a reach directly (Scherer et al., 2022; Musaeus et al., 2024; Dhote et al., 2024), with dedicated tooling for the ICESat-2 case (Christoffersen et al., 2023) and multi-mission methods for level series (Nielsen et al., 2022); reach-scale slope is now produced globally from ICESat-2 (Scherer et al., 2023) and mapped dynamically by SWOT (Jiang et al., 2025; Ledauphin et al., 2025; Huang &amp; Gao, 2026) — provided that thousands of along-track measurements from one pass are not mistaken for thousands of independent observations, and provided that heights reported on different ellipsoids, geoids and permanent-tide conventions are reduced to one frame before they are compared. Hydraulic models informed by such elevations are only as good as that reduction (Bauer-Gottwein et al., 2023).</w:t>
      </w:r>
    </w:p>
    <w:p>
      <w:pPr>
        <w:pStyle w:val="Heading1"/>
      </w:pPr>
      <w:r>
        <w:t>1.4 The vertical reference as the enabling step</w:t>
      </w:r>
    </w:p>
    <w:p>
      <w:pPr>
        <w:spacing w:line="360" w:lineRule="auto"/>
        <w:jc w:val="both"/>
      </w:pPr>
      <w:r>
        <w:t>Gauge stages in Baltic 1977, ICESat-2 heights in a tide-free ellipsoidal system, SWOT heights with tide fields supplied but not applied, and a legacy survey reduced to an operating level are four surfaces. The corrections between them are of the same order as the hydraulic signal sought — centimetres per kilometre over tens of kilometres — so the harmonisation is not a preprocessing convenience but the method itself. Height-datum unification is a mature discipline in geodesy (Barzaghi et al., 2020; Featherstone et al., 2011; Schwabe et al., 2026; Zhang et al., 2020), the Ukrainian height system is itself mid-transition (Trevoho et al., 2021; Стопхай та ін., 2026), and the consequence of neglecting it — an apparent gradient produced by the levelling network rather than by the water — is documented (Penna et al., 2013).</w:t>
      </w:r>
    </w:p>
    <w:p>
      <w:pPr>
        <w:pStyle w:val="Heading1"/>
      </w:pPr>
      <w:r>
        <w:t>1.5 Objectives</w:t>
      </w:r>
    </w:p>
    <w:p>
      <w:pPr>
        <w:spacing w:line="360" w:lineRule="auto"/>
        <w:jc w:val="both"/>
      </w:pPr>
      <w:r>
        <w:t>This paper asks three questions. (i) Can gauges, two satellite altimeters and a legacy hydrographic survey be brought into one vertical frame closely enough that a centimetre-per-kilometre gradient survives the reduction? (ii) Once they are, did the water surface within the former reservoir footprint change hydraulic regime, and does the change persist beyond the drawdown transient? (iii) Does the historical record independently corroborate the impounded state the satellites report before the breach? Where the data cannot answer — a post-breach slope–discharge relation — the paper states the limitation instead of inferring an answer. The bed beneath this surface is reconstructed in a companion paper (Paper 2); what the geometry and the vegetating surface mean for roughness and conveyance is the subject of two further ones.</w:t>
      </w:r>
    </w:p>
    <w:p>
      <w:pPr>
        <w:pStyle w:val="Title"/>
      </w:pPr>
      <w:r>
        <w:t>2. STUDY AREA AND OBSERVATION GEOMETRY</w:t>
      </w:r>
    </w:p>
    <w:p>
      <w:pPr>
        <w:spacing w:line="360" w:lineRule="auto"/>
        <w:jc w:val="both"/>
      </w:pPr>
      <w:r>
        <w:t>The study system is registered in four analysis zones defined once in a geometry registry and loaded by every script: ZONE_1 (the former reservoir and the lower Dnipro, 11 412 km², with the 2 144 km² reservoir core), ZONE_2 (the Kherson delta, 1 677 km²), ZONE_3 (the Dnipro–Buh estuary, 7 621 km²) and ZONE_4 (the dam-to-Kherson floodway, defined as the June 2023 Sentinel-1 flood envelope plus a 1 km buffer, 695 km²). Chainage for the reservoir profiles is measured from the dam along a reservoir-axis centreline; the historical reach boundaries of the design documentation are placed on it where tie points allow — a limitation, since only two of five ties are usable (ratio ~1.36 at two independent points; a ~30 km residual is isolated to reach 1) — and reach 5 lies outside the mapped domain. SWOT's fast-sampling calibration orbit crossed both the reservoir outlet and the reach below the dam daily through the breach fortnight, so the mission observed the drawdown and the flood wave as they happened; its science-orbit LakeSP passes continue over the residual water bodies from late July 2023. What the calibration orbit did not give is repeated coverage of the whole pool on one date, so SWOT constrains the outlet and the downstream profile rather than the reservoir-wide slope.</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ATL13 v7 water-surface heights (ITRF2020, tide-free) are used in three samples that must not be confused: the slope sample (14 pre-breach, 5 drawdown and 14 post-breach overpasses with a chainage span of at least 20 km), the heterogeneity sample (all ATL13 dates in the footprint, 192 pre and 23 post) and the exposed-bed sample (28 tracks).</w:t>
      </w:r>
    </w:p>
    <w:p>
      <w:pPr>
        <w:pStyle w:val="Heading1"/>
      </w:pPr>
      <w:r>
        <w:t>3.3 SWOT</w:t>
      </w:r>
    </w:p>
    <w:p>
      <w:pPr>
        <w:spacing w:line="360" w:lineRule="auto"/>
        <w:jc w:val="both"/>
      </w:pPr>
      <w:r>
        <w:t>SWOT PIXC and RiverSP granules over Kherson (cycles 482, 511 and 521, April–May 2023) supply the cross-sensor and gauge validation. The Ukraine-clipped LakeSP archive exists but is not used here: a lake-averaged product is physically inappropriate for a sloping, fragmenting water body.</w:t>
      </w:r>
    </w:p>
    <w:p>
      <w:pPr>
        <w:pStyle w:val="Heading1"/>
      </w:pPr>
      <w:r>
        <w:t>3.4 Sentinel-2 water masks</w:t>
      </w:r>
    </w:p>
    <w:p>
      <w:pPr>
        <w:spacing w:line="360" w:lineRule="auto"/>
        <w:jc w:val="both"/>
      </w:pPr>
      <w:r>
        <w:t>Sentinel-2 L2A scenes processed on a 20 m registry grid (EPSG:32636) with the BOA additive offset applied supply the coverage-gated water masks of the planform analysis (Section 4.6); 53 dates cover the former pool. The full surface classification, the Sentinel-1 masks and the supervised inundation work belong to Paper 3.</w:t>
      </w:r>
    </w:p>
    <w:p>
      <w:pPr>
        <w:pStyle w:val="Heading1"/>
      </w:pPr>
      <w:r>
        <w:t>3.5 Legacy hydrography</w:t>
      </w:r>
    </w:p>
    <w:p>
      <w:pPr>
        <w:spacing w:line="360" w:lineRule="auto"/>
        <w:jc w:val="both"/>
      </w:pPr>
      <w:r>
        <w:t>Eight photographed pages of the Dnipro reservoirs monograph (Tables 19–21, Figures 13–16) supply the design values and the 1970 longitudinal free-surface survey used here as an independent check. The 7 514 chart soundings are the subject of the bed-reconstruction paper (Paper 2); this paper uses them only to establish which reduction level they carry (Section 5.7).</w:t>
      </w:r>
    </w:p>
    <w:p>
      <w:pPr>
        <w:pStyle w:val="Heading1"/>
      </w:pPr>
      <w:r>
        <w:t>3.6 Geodetic reference data</w:t>
      </w:r>
    </w:p>
    <w:p>
      <w:pPr>
        <w:spacing w:line="360" w:lineRule="auto"/>
        <w:jc w:val="both"/>
      </w:pPr>
      <w:r>
        <w:t>One production transformation grid is used everywhere, `ua_2019z.asc`, distributed with the UA_KRON/NH to EVRF2019zero transformation (BKG, 2020); sampled at the estuary posts it gives an official correction at the posts 0.216 m. The EGG2015 quasigeoid used for the ICESat-2 and SWOT branches is a 7 200 × 3 600 raster at 1′ × 1′ spanning 50° W–70° E and 25° N–85° N, which is the declared geometry of the full-resolution EGG2015 product; the acquisition record and licence of this particular copy could not be reconstructed (Section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spacing w:line="360" w:lineRule="auto"/>
        <w:jc w:val="both"/>
      </w:pPr>
      <w:r>
        <w:t>The harmonisation of Section 4.1 is the method of this paper, not preparation for it: the corrections between the four surfaces are of the same order as the hydraulic signal sought, so the result exists only if the frame does. Section 5 therefore tests the frame before Section 6 uses it.</w:t>
      </w:r>
    </w:p>
    <w:p>
      <w:pPr>
        <w:pStyle w:val="Heading1"/>
      </w:pPr>
      <w:r>
        <w:t>4.1 Vertical harmonisation: the four surfaces</w:t>
      </w:r>
    </w:p>
    <w:p>
      <w:pPr>
        <w:spacing w:line="360" w:lineRule="auto"/>
        <w:jc w:val="both"/>
      </w:pPr>
      <w:r>
        <w:t>Gauge stages are carried into EVRF2019 normal heights by the published UA_KRON/NH to EVRF2019zero transformation (BKG, 2020), whose grid is sampled at each station's own coordinates (10,194 daily values transformed); the offset is spatially varying, 0.1715 to 0.2157 m, so no single national constant is admissible. ICESat-2 ATL13 heights (NSIDC ATL13 ATBD) are reduced with the EGG2015 quasigeoid (Denker, 2015) after adding the ATL03 tide-free-to-mean-tide term (NSIDC ATL03 ATBD), so that a mean-tide crustal height is not differenced against a zero-tide quasigeoid without the conversion being made explicit. SWOT PIXC heights are reduced by subtracting the solid-earth, load and pole tides that the product supplies but does not apply, never the geoid field, and then by the same quasigeoid. That this is the correct chain is not taken on trust from the product documentation but shown: -0.0010 m for the documented chain. EVRF2019 is itself a zero-tide frame (EVRS/BKG, EPSG:9389), so the residual permanent-tide term between a mean-tide crust and a zero-tide quasigeoid — 1–4 cm at this latitude, under the convention of (IAG Resolution 16, 1983) — is carried as its own line in the uncertainty budget rather than absorbed.</w:t>
      </w:r>
    </w:p>
    <w:p>
      <w:pPr>
        <w:pStyle w:val="Heading1"/>
      </w:pPr>
      <w:r>
        <w:t>4.2 Chainage</w:t>
      </w:r>
    </w:p>
    <w:p>
      <w:pPr>
        <w:spacing w:line="360" w:lineRule="auto"/>
        <w:jc w:val="both"/>
      </w:pPr>
      <w:r>
        <w:t>Reservoir profiles use a centreline built from the reservoir polygon by principal-axis binning, with chainage measured from the dam; SWORD v16 is used only for the Kherson reach gradient, for the residual-body stem and for the channel-width transects.</w:t>
      </w:r>
    </w:p>
    <w:p>
      <w:pPr>
        <w:pStyle w:val="Heading1"/>
      </w:pPr>
      <w:r>
        <w:t>4.3 Per-overpass slope and its inference</w:t>
      </w:r>
    </w:p>
    <w:p>
      <w:pPr>
        <w:spacing w:line="360" w:lineRule="auto"/>
        <w:jc w:val="both"/>
      </w:pPr>
      <w:r>
        <w:t>For every overpass the beam-median water-surface elevation of each of the six beams is regressed on chainage; the Theil–Sen estimator (Theil, 1992; Sen, 1968) is primary and ordinary least squares the sensitivity check. One overpass is the independent unit (Hurlbert, 1984; Alston et al., 2022): segments and beams within a pass share the atmosphere and the water state and are never treated as replicates. The pre/post contrast uses a bootstrap on the difference of medians (Efron, 1979), a two-sided permutation test (Ernst, 2004) and a sign test, and is repeated at minimum spans of 10, 20, 30 and 40 km.</w:t>
      </w:r>
    </w:p>
    <w:p>
      <w:pPr>
        <w:pStyle w:val="Heading1"/>
      </w:pPr>
      <w:r>
        <w:t>4.4 Water-surface heterogeneity</w:t>
      </w:r>
    </w:p>
    <w:p>
      <w:pPr>
        <w:spacing w:line="360" w:lineRule="auto"/>
        <w:jc w:val="both"/>
      </w:pPr>
      <w:r>
        <w:t>Heterogeneity is the within-overpass p95–p05 range of water-surface elevation on all ATL13 dates in the footprint — not a standard deviation and not the within-profile range of the slope sample.</w:t>
      </w:r>
    </w:p>
    <w:p>
      <w:pPr>
        <w:pStyle w:val="Heading1"/>
      </w:pPr>
      <w:r>
        <w:t>4.5 Historical datum and free-surface curve</w:t>
      </w:r>
    </w:p>
    <w:p>
      <w:pPr>
        <w:spacing w:line="360" w:lineRule="auto"/>
        <w:jc w:val="both"/>
      </w:pPr>
      <w:r>
        <w:t>The reduction level of the S-57 soundings is tested by three routes: closure of the sounding-implied capacity curve against the published level–volume table, the elevation of the exposed bed under ICESat-2, and the published navigation drawdown level. The 1970 field-measured free-surface curve is digitised from the monograph figure and validated against the tabulated backwater profile.</w:t>
      </w:r>
    </w:p>
    <w:p>
      <w:pPr>
        <w:pStyle w:val="Heading1"/>
      </w:pPr>
      <w:r>
        <w:t>4.6 Sentinel-2 water masks</w:t>
      </w:r>
    </w:p>
    <w:p>
      <w:pPr>
        <w:spacing w:line="360" w:lineRule="auto"/>
        <w:jc w:val="both"/>
      </w:pPr>
      <w:r>
        <w:t>Water masks follow a frozen NDWI/MNDWI/scene-classification rule on the 20 m registry grid with the BOA offset applied; a coverage gate admits a date for the pre/post planform contrast only when at least 80 % of the footprint is observed, and both periods need three such dates before any inferential statistic is formed. Shoreline contours at three pre-breach levels are extracted with a sub-pixel marching-squares estimator whose numerical correctness was tested against an analytic field before use.</w:t>
      </w:r>
    </w:p>
    <w:p>
      <w:pPr>
        <w:pStyle w:val="Heading1"/>
      </w:pPr>
      <w:r>
        <w:t>4.7 Statistical rules</w:t>
      </w:r>
    </w:p>
    <w:p>
      <w:pPr>
        <w:spacing w:line="360" w:lineRule="auto"/>
        <w:jc w:val="both"/>
      </w:pPr>
      <w:r>
        <w:t>Every statistic names its independent unit, and where a model is scored the folds are blocked in space rather than drawn at random (Pohjankukka et al., 2017). Absence statements about the literature are made only for a screened sample with a stated denominator, and only after retrieval has been validated against hold-out controls.</w:t>
      </w:r>
    </w:p>
    <w:p>
      <w:pPr>
        <w:pStyle w:val="Title"/>
      </w:pPr>
      <w:r>
        <w:t>5. THE FRAME: DOES THE HARMONISATION HOLD?</w:t>
      </w:r>
    </w:p>
    <w:p>
      <w:pPr>
        <w:pStyle w:val="Heading1"/>
      </w:pPr>
      <w:r>
        <w:t>5.1 The gauge network in one geodetic frame</w:t>
      </w:r>
    </w:p>
    <w:p>
      <w:pPr>
        <w:spacing w:line="360" w:lineRule="auto"/>
        <w:jc w:val="both"/>
      </w:pPr>
      <w:r>
        <w:t>All seven gauge records are carried into EVRF2019 by the official operation applied at each station's own coordinates, not by a national mean: 10,194 daily values transformed (grid sampler agrees with an independent implementation to 0.000 mm). The offset is not constant along the reach — 0.1715 to 0.2157 m (spread 44 mm; grid accuracy 0.068 m (EPSG registry)) — which is why a single number would have been wrong at both ends of the pool.</w:t>
      </w:r>
    </w:p>
    <w:p>
      <w:pPr>
        <w:spacing w:line="360" w:lineRule="auto"/>
        <w:jc w:val="both"/>
      </w:pPr>
      <w:r>
        <w:rPr>
          <w:b/>
        </w:rPr>
        <w:t>Table 2. The vertical chain: each step of the harmonisation and the residual it leaves.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Result</w:t>
            </w:r>
          </w:p>
        </w:tc>
        <w:tc>
          <w:tcPr>
            <w:tcW w:type="dxa" w:w="2880"/>
          </w:tcPr>
          <w:p>
            <w:r>
              <w:rPr>
                <w:b/>
              </w:rPr>
              <w:t>n</w:t>
            </w:r>
          </w:p>
        </w:tc>
      </w:tr>
      <w:tr>
        <w:tc>
          <w:tcPr>
            <w:tcW w:type="dxa" w:w="2880"/>
          </w:tcPr>
          <w:p>
            <w:r>
              <w:t>Gauge stages carried to EVRF2019 (EPSG:9902)</w:t>
            </w:r>
          </w:p>
        </w:tc>
        <w:tc>
          <w:tcPr>
            <w:tcW w:type="dxa" w:w="2880"/>
          </w:tcPr>
          <w:p>
            <w:r>
              <w:t>10,194 daily values transformed</w:t>
            </w:r>
          </w:p>
        </w:tc>
        <w:tc>
          <w:tcPr>
            <w:tcW w:type="dxa" w:w="2880"/>
          </w:tcPr>
          <w:p>
            <w:r>
              <w:t>7</w:t>
            </w:r>
          </w:p>
        </w:tc>
      </w:tr>
      <w:tr>
        <w:tc>
          <w:tcPr>
            <w:tcW w:type="dxa" w:w="2880"/>
          </w:tcPr>
          <w:p>
            <w:r>
              <w:t>Spatial variation of the BS-77 → EVRF2019 offset</w:t>
            </w:r>
          </w:p>
        </w:tc>
        <w:tc>
          <w:tcPr>
            <w:tcW w:type="dxa" w:w="2880"/>
          </w:tcPr>
          <w:p>
            <w:r>
              <w:t>0.1715 to 0.2157 m</w:t>
            </w:r>
          </w:p>
        </w:tc>
        <w:tc>
          <w:tcPr>
            <w:tcW w:type="dxa" w:w="2880"/>
          </w:tcPr>
          <w:p>
            <w:r>
              <w:t>8</w:t>
            </w:r>
          </w:p>
        </w:tc>
      </w:tr>
      <w:tr>
        <w:tc>
          <w:tcPr>
            <w:tcW w:type="dxa" w:w="2880"/>
          </w:tcPr>
          <w:p>
            <w:r>
              <w:t>SWOT PIXC correction chain against RiverSP</w:t>
            </w:r>
          </w:p>
        </w:tc>
        <w:tc>
          <w:tcPr>
            <w:tcW w:type="dxa" w:w="2880"/>
          </w:tcPr>
          <w:p>
            <w:r>
              <w:t>-0.0010 m for the documented chain</w:t>
            </w:r>
          </w:p>
        </w:tc>
        <w:tc>
          <w:tcPr>
            <w:tcW w:type="dxa" w:w="2880"/>
          </w:tcPr>
          <w:p>
            <w:r>
              <w:t>1023</w:t>
            </w:r>
          </w:p>
        </w:tc>
      </w:tr>
      <w:tr>
        <w:tc>
          <w:tcPr>
            <w:tcW w:type="dxa" w:w="2880"/>
          </w:tcPr>
          <w:p>
            <w:r>
              <w:t>SWOT against ICESat-2, best collocation</w:t>
            </w:r>
          </w:p>
        </w:tc>
        <w:tc>
          <w:tcPr>
            <w:tcW w:type="dxa" w:w="2880"/>
          </w:tcPr>
          <w:p>
            <w:r>
              <w:t>best pair 2023-05-14: +0.0036 m (dt -2.28 h, 3417 segments)</w:t>
            </w:r>
          </w:p>
        </w:tc>
        <w:tc>
          <w:tcPr>
            <w:tcW w:type="dxa" w:w="2880"/>
          </w:tcPr>
          <w:p>
            <w:r>
              <w:t>3</w:t>
            </w:r>
          </w:p>
        </w:tc>
      </w:tr>
      <w:tr>
        <w:tc>
          <w:tcPr>
            <w:tcW w:type="dxa" w:w="2880"/>
          </w:tcPr>
          <w:p>
            <w:r>
              <w:t>SWOT against the Kherson gauge</w:t>
            </w:r>
          </w:p>
        </w:tc>
        <w:tc>
          <w:tcPr>
            <w:tcW w:type="dxa" w:w="2880"/>
          </w:tcPr>
          <w:p>
            <w:r>
              <w:t>+0.0264 m (satellite - gauge)</w:t>
            </w:r>
          </w:p>
        </w:tc>
        <w:tc>
          <w:tcPr>
            <w:tcW w:type="dxa" w:w="2880"/>
          </w:tcPr>
          <w:p>
            <w:r>
              <w:t>9</w:t>
            </w:r>
          </w:p>
        </w:tc>
      </w:tr>
      <w:tr>
        <w:tc>
          <w:tcPr>
            <w:tcW w:type="dxa" w:w="2880"/>
          </w:tcPr>
          <w:p>
            <w:r>
              <w:t>Transfer of the reservoir alignment constant to Kherson</w:t>
            </w:r>
          </w:p>
        </w:tc>
        <w:tc>
          <w:tcPr>
            <w:tcW w:type="dxa" w:w="2880"/>
          </w:tcPr>
          <w:p>
            <w:r>
              <w:t>reservoir -0.130 m [-0.184, -0.081] (n=5 stations) vs Kherson +0.0051 m [-0.0515, +0.0608]</w:t>
            </w:r>
          </w:p>
        </w:tc>
        <w:tc>
          <w:tcPr>
            <w:tcW w:type="dxa" w:w="2880"/>
          </w:tcPr>
          <w:p>
            <w:r>
              <w:t>6</w:t>
            </w:r>
          </w:p>
        </w:tc>
      </w:tr>
      <w:tr>
        <w:tc>
          <w:tcPr>
            <w:tcW w:type="dxa" w:w="2880"/>
          </w:tcPr>
          <w:p>
            <w:r>
              <w:t>Reduction level of the legacy soundings</w:t>
            </w:r>
          </w:p>
        </w:tc>
        <w:tc>
          <w:tcPr>
            <w:tcW w:type="dxa" w:w="2880"/>
          </w:tcPr>
          <w:p>
            <w:r>
              <w:t>14.00 m: +0.0979 m [-0.0756, +0.3028], zero inside CI / 16.00 m: -1.9021 m [-2.0787, -1.6848], zero outside CI</w:t>
            </w:r>
          </w:p>
        </w:tc>
        <w:tc>
          <w:tcPr>
            <w:tcW w:type="dxa" w:w="2880"/>
          </w:tcPr>
          <w:p>
            <w:r>
              <w:t>28</w:t>
            </w:r>
          </w:p>
        </w:tc>
      </w:tr>
      <w:tr>
        <w:tc>
          <w:tcPr>
            <w:tcW w:type="dxa" w:w="2880"/>
          </w:tcPr>
          <w:p>
            <w:r>
              <w:t>Historical reference level in EVRF2019</w:t>
            </w:r>
          </w:p>
        </w:tc>
        <w:tc>
          <w:tcPr>
            <w:tcW w:type="dxa" w:w="2880"/>
          </w:tcPr>
          <w:p>
            <w:r>
              <w:t>14.162 to 14.216 m EVRF2019, median 14.185 m</w:t>
            </w:r>
          </w:p>
        </w:tc>
        <w:tc>
          <w:tcPr>
            <w:tcW w:type="dxa" w:w="2880"/>
          </w:tcPr>
          <w:p>
            <w:r>
              <w:t>7514</w:t>
            </w:r>
          </w:p>
        </w:tc>
      </w:tr>
      <w:tr>
        <w:tc>
          <w:tcPr>
            <w:tcW w:type="dxa" w:w="2880"/>
          </w:tcPr>
          <w:p>
            <w:r>
              <w:t>Digitised 1970 free-surface curve against Table 20</w:t>
            </w:r>
          </w:p>
        </w:tc>
        <w:tc>
          <w:tcPr>
            <w:tcW w:type="dxa" w:w="2880"/>
          </w:tcPr>
          <w:p>
            <w:r>
              <w:t>median deviation +0.022 m; NMAD 0.045 m</w:t>
            </w:r>
          </w:p>
        </w:tc>
        <w:tc>
          <w:tcPr>
            <w:tcW w:type="dxa" w:w="2880"/>
          </w:tcPr>
          <w:p>
            <w:r>
              <w:t>12</w:t>
            </w:r>
          </w:p>
        </w:tc>
      </w:tr>
      <w:tr>
        <w:tc>
          <w:tcPr>
            <w:tcW w:type="dxa" w:w="2880"/>
          </w:tcPr>
          <w:p>
            <w:r>
              <w:t>Pre-breach ICESat-2 slopes in the impounded reach</w:t>
            </w:r>
          </w:p>
        </w:tc>
        <w:tc>
          <w:tcPr>
            <w:tcW w:type="dxa" w:w="2880"/>
          </w:tcPr>
          <w:p>
            <w:r>
              <w:t>0-180 km: +0.00, -0.06, +0.06 cm/km; 210-240 km: +0.13 cm/km</w:t>
            </w:r>
          </w:p>
        </w:tc>
        <w:tc>
          <w:tcPr>
            <w:tcW w:type="dxa" w:w="2880"/>
          </w:tcPr>
          <w:p>
            <w:r>
              <w:t>5</w:t>
            </w:r>
          </w:p>
        </w:tc>
      </w:tr>
      <w:tr>
        <w:tc>
          <w:tcPr>
            <w:tcW w:type="dxa" w:w="2880"/>
          </w:tcPr>
          <w:p>
            <w:r>
              <w:t>Production BS-77 → EVRF2019 grid</w:t>
            </w:r>
          </w:p>
        </w:tc>
        <w:tc>
          <w:tcPr>
            <w:tcW w:type="dxa" w:w="2880"/>
          </w:tcPr>
          <w:p>
            <w:r>
              <w:t>official correction at the posts 0.216 m</w:t>
            </w:r>
          </w:p>
        </w:tc>
        <w:tc>
          <w:tcPr>
            <w:tcW w:type="dxa" w:w="2880"/>
          </w:tcPr>
          <w:p>
            <w:r>
              <w:t>—</w:t>
            </w:r>
          </w:p>
        </w:tc>
      </w:tr>
    </w:tbl>
    <w:p/>
    <w:p>
      <w:pPr>
        <w:spacing w:line="360" w:lineRule="auto"/>
        <w:jc w:val="both"/>
      </w:pPr>
      <w:r>
        <w:rPr>
          <w:i/>
        </w:rPr>
        <w:t>Residuals are medians unless a confidence interval is given. The quasigeoid raster in production (G2) is licensed and its geometry verified; see Section 7.9.</w:t>
      </w:r>
    </w:p>
    <w:p>
      <w:pPr>
        <w:spacing w:line="360" w:lineRule="auto"/>
        <w:jc w:val="both"/>
      </w:pPr>
      <w:r>
        <w:t>The tie to the gauges is not the same thing as a confirmation of the grid, and the two must be reported apart. Each station's alignment constant is well determined — within-station NMAD 0.034–0.06 m against a between-station SD of 0.037 m (n = 53 pre-breach matchups at 6 stations) — but across the six stations the empirical offset does not follow the official transformation: EGG2015 → EVRF2019 corrector -0.173 m (median -0.170), SD 0.037 m, range 0.090 m (no resolvable drift along the reach, on the six points available — one per gauge, enough only to catch a gross trend: -0.018 ± 0.023 m per degree of longitude (p 0.488)). All six matchup sets precede the breach by construction, since the reservoir gauge records end on 31 December 2021. The step is larger than the EVRF2007-to-EVRF2019 difference alone is assumed to be, which the production configuration sets to zero at the centimetre level, so it also carries the ATL13 water-surface bias. The two cannot be separated with these data; a national quasigeoid (UKG2025) would make the geodetic part directly computable and is the strongest available next test. Until then the corrector is applied as one empirical constant per station and is not attributed to either cause.</w:t>
      </w:r>
    </w:p>
    <w:p>
      <w:pPr>
        <w:jc w:val="center"/>
      </w:pPr>
      <w:r>
        <w:drawing>
          <wp:inline xmlns:a="http://schemas.openxmlformats.org/drawingml/2006/main" xmlns:pic="http://schemas.openxmlformats.org/drawingml/2006/picture">
            <wp:extent cx="5760720" cy="2638038"/>
            <wp:docPr id="1" name="Picture 1"/>
            <wp:cNvGraphicFramePr>
              <a:graphicFrameLocks noChangeAspect="1"/>
            </wp:cNvGraphicFramePr>
            <a:graphic>
              <a:graphicData uri="http://schemas.openxmlformats.org/drawingml/2006/picture">
                <pic:pic>
                  <pic:nvPicPr>
                    <pic:cNvPr id="0" name="F01_gauge_icesat_tie.png"/>
                    <pic:cNvPicPr/>
                  </pic:nvPicPr>
                  <pic:blipFill>
                    <a:blip r:embed="rId9"/>
                    <a:stretch>
                      <a:fillRect/>
                    </a:stretch>
                  </pic:blipFill>
                  <pic:spPr>
                    <a:xfrm>
                      <a:off x="0" y="0"/>
                      <a:ext cx="5760720" cy="2638038"/>
                    </a:xfrm>
                    <a:prstGeom prst="rect"/>
                  </pic:spPr>
                </pic:pic>
              </a:graphicData>
            </a:graphic>
          </wp:inline>
        </w:drawing>
      </w:r>
    </w:p>
    <w:p>
      <w:pPr>
        <w:spacing w:line="360" w:lineRule="auto"/>
        <w:jc w:val="both"/>
      </w:pPr>
      <w:r>
        <w:rPr>
          <w:b/>
        </w:rPr>
        <w:t>Figure 1.</w:t>
      </w:r>
      <w:r>
        <w:t xml:space="preserve"> The EGG2015-to-EVRF2019 corrector at six reservoir gauges, pre-breach. (a) Station alignment constants with 95 % bootstrap intervals; every station gives the same sign and the mean is −17.3 cm. (b) The same constants against longitude along the reach, with a linear fit. The reach has only six gauges, so this fit has six independent points and cannot be read as more than a check for a gross trend — it rules out nothing subtler than that.</w:t>
      </w:r>
    </w:p>
    <w:p>
      <w:pPr>
        <w:pStyle w:val="Heading1"/>
      </w:pPr>
      <w:r>
        <w:t>5.2 The SWOT PIXC vertical chain</w:t>
      </w:r>
    </w:p>
    <w:p>
      <w:pPr>
        <w:spacing w:line="360" w:lineRule="auto"/>
        <w:jc w:val="both"/>
      </w:pPr>
      <w:r>
        <w:t>The documented correction chain reproduces RiverSP node heights: -0.0010 m for the documented chain (alternatives: +0.0720 m uncorrected, +0.1451 m sign-reversed, -23.89 m geoid subtracted; n = 1023). RiverSP derives from the same SWOT observation, so this establishes the correction chain, not independent accuracy.</w:t>
      </w:r>
    </w:p>
    <w:p>
      <w:pPr>
        <w:pStyle w:val="Heading1"/>
      </w:pPr>
      <w:r>
        <w:t>5.3 SWOT against ICESat-2</w:t>
      </w:r>
    </w:p>
    <w:p>
      <w:pPr>
        <w:spacing w:line="360" w:lineRule="auto"/>
        <w:jc w:val="both"/>
      </w:pPr>
      <w:r>
        <w:t>Where the two sensors pass within hours of each other they agree at the centimetre level with nothing applied between them: best pair 2023-05-14: +0.0036 m (dt -2.28 h, 3417 segments) (full set: 2023-04-05 dt +14.2 h -&gt; -0.1810 m; 2023-05-04 dt +11.1 h -&gt; +0.0597 m; 2023-05-14 dt -2.3 h -&gt; +0.0036 m). With three co-located overpasses no regression is fitted and no universal centimetric agreement is claimed.</w:t>
      </w:r>
    </w:p>
    <w:p>
      <w:pPr>
        <w:pStyle w:val="Heading1"/>
      </w:pPr>
      <w:r>
        <w:t>5.4 Kherson as a local anchor</w:t>
      </w:r>
    </w:p>
    <w:p>
      <w:pPr>
        <w:spacing w:line="360" w:lineRule="auto"/>
        <w:jc w:val="both"/>
      </w:pPr>
      <w:r>
        <w:t>Against the one continuous in-situ record in the downstream reach, the satellite branch sits within a few centimetres of the gauge: +0.0264 m (satellite - gauge) (NMAD 0.0413 m; 95% CI [-0.0420, +0.0394]; median moves 8.4 cm across aggregation radii 0.5-5 km; n = 9). The agreement is local to Kherson and is not evidence for the pool.</w:t>
      </w:r>
    </w:p>
    <w:p>
      <w:pPr>
        <w:pStyle w:val="Heading1"/>
      </w:pPr>
      <w:r>
        <w:t>5.5 A validated negative result</w:t>
      </w:r>
    </w:p>
    <w:p>
      <w:pPr>
        <w:spacing w:line="360" w:lineRule="auto"/>
        <w:jc w:val="both"/>
      </w:pPr>
      <w:r>
        <w:t>observed -18.1 cm; expected +5.9 cm from gauge +10.0 cm/day over dt 14.2 h (residual after applying the hydrological term: -24.0 cm (worse)). No wind or pressure record exists for that day, so wind setup can be neither confirmed nor excluded (Roy et al., 2017); this remains a limitation.</w:t>
      </w:r>
    </w:p>
    <w:p>
      <w:pPr>
        <w:pStyle w:val="Heading1"/>
      </w:pPr>
      <w:r>
        <w:t>5.6 Spatial limits of an empirical correction</w:t>
      </w:r>
    </w:p>
    <w:p>
      <w:pPr>
        <w:spacing w:line="360" w:lineRule="auto"/>
        <w:jc w:val="both"/>
      </w:pPr>
      <w:r>
        <w:t>An alignment constant estimated in the reservoir does not survive the journey downstream: reservoir -0.130 m [-0.184, -0.081] (n=5 stations) vs Kherson +0.0051 m [-0.0515, +0.0608] (station-to-station NMAD 0.033 m; radius swing 1.8 cm (Rozumivka) and 5.0 cm (Kherson) over 1-10 km). The two estimates have disjoint intervals, so the correction is treated as local rather than as a property of the sensor.</w:t>
      </w:r>
    </w:p>
    <w:p>
      <w:pPr>
        <w:pStyle w:val="Heading1"/>
      </w:pPr>
      <w:r>
        <w:t>5.7 The historical sounding datum</w:t>
      </w:r>
    </w:p>
    <w:p>
      <w:pPr>
        <w:spacing w:line="360" w:lineRule="auto"/>
        <w:jc w:val="both"/>
      </w:pPr>
      <w:r>
        <w:t>14.00 m: +0.0979 m [-0.0756, +0.3028], zero inside CI | 16.00 m: -1.9021 m [-2.0787, -1.6848], zero outside CI (NMAD 0.498 m over n=94 points; the 16.00 m assumption is rejected at ~1.90 m). That the charted soundings were reduced to the navigation drawdown level is the inference of this study, corroborated by three routes, not a statement of the source. Carried into EVRF2019, 14.162 to 14.216 m EVRF2019, median 14.185 m (median offset +0.1854 m; spread 54 mm).</w:t>
      </w:r>
    </w:p>
    <w:p>
      <w:pPr>
        <w:pStyle w:val="Heading1"/>
      </w:pPr>
      <w:r>
        <w:t>5.8 The historical free-surface curve and the pre-breach slopes</w:t>
      </w:r>
    </w:p>
    <w:p>
      <w:pPr>
        <w:spacing w:line="360" w:lineRule="auto"/>
        <w:jc w:val="both"/>
      </w:pPr>
      <w:r>
        <w:t>median deviation +0.022 m; NMAD 0.045 m (flat pool &lt;180 km (n=5): median +0.047 m, max |dev| 0.057 m). 0-180 km: +0.00, -0.06, +0.06 cm/km; 210-240 km: +0.13 cm/km. all fits in the band are single overpasses; chainage span / ground span median 1.34 (p90 1.94, max 2.65). The documented seiche and wind-setup magnitudes for this reservoir exceed the mean hydraulic rise over the pool (mean hydraulic rise over 183 km: 0 cm (Qmin), 6 cm (Q20%), 42 cm (Q1%) | seiche half-range at an antinode 17.5 cm | wind setup at an end 35 cm (15 m/s) to 148 cm (25 m/s)), which is why pre-breach scatter of several centimetres within an overpass is physical.</w:t>
      </w:r>
    </w:p>
    <w:p>
      <w:pPr>
        <w:pStyle w:val="Heading1"/>
      </w:pPr>
      <w:r>
        <w:t>5.9 What the frame is worth</w:t>
      </w:r>
    </w:p>
    <w:p>
      <w:pPr>
        <w:spacing w:line="360" w:lineRule="auto"/>
        <w:jc w:val="both"/>
      </w:pPr>
      <w:r>
        <w:t>Six validation and consistency checks were made before any hydraulic result was interpreted, and one — the 5 April 2023 anomaly — failed and is reported as failed. Not all six are independent of one another: RiverSP and PIXC come from the same SWOT observation, so their agreement establishes the correction chain rather than accuracy. The genuinely independent constraints are the gauge records and the 1970 field survey.</w:t>
      </w:r>
    </w:p>
    <w:p>
      <w:pPr>
        <w:pStyle w:val="Title"/>
      </w:pPr>
      <w:r>
        <w:t>6. THE MEASUREMENT</w:t>
      </w:r>
    </w:p>
    <w:p>
      <w:pPr>
        <w:pStyle w:val="Heading1"/>
      </w:pPr>
      <w:r>
        <w:t>6.1 Pre-breach water-surface geometry</w:t>
      </w:r>
    </w:p>
    <w:p>
      <w:pPr>
        <w:spacing w:line="360" w:lineRule="auto"/>
        <w:jc w:val="both"/>
      </w:pPr>
      <w:r>
        <w:t>Before the breach the impounded pool was near-level. Per-reach ICESat-2 slopes (0-180 km: +0.00, -0.06, +0.06 cm/km; 210-240 km: +0.13 cm/km) lie inside the historical discharge envelope of the design tables, and the 22–25 April 1970 field-measured free-surface curve, digitised and validated against Table 20 (median deviation +0.022 m; NMAD 0.045 m), bounds them from above. The apparent slope in the 180–210 km band is a chainage-geometry artefact, not a hydraulic signal (all fits in the band are single overpasses; chainage span / ground span median 1.34 (p90 1.94, max 2.65)).</w:t>
      </w:r>
    </w:p>
    <w:p>
      <w:pPr>
        <w:pStyle w:val="Heading1"/>
      </w:pPr>
      <w:r>
        <w:t>6.2 Early establishment of the post-breach gradient</w:t>
      </w:r>
    </w:p>
    <w:p>
      <w:pPr>
        <w:spacing w:line="360" w:lineRule="auto"/>
        <w:jc w:val="both"/>
      </w:pPr>
      <w:r>
        <w:t>The pool had drained by the end of June 2023, so the first ICESat-2 overpasses available over the residual system — five between 7 July and 7 September — observe an already-emptied reach rather than the drainage transient. They carry the post-breach gradient from the start: Theil-Sen median +3.245 cm/km (2023-07-07..2023-09-07) (n = 5). The new geometry was therefore established within weeks of depletion and is not a feature only of the settled 2024–25 sample. These passes are not used to reconstruct the drainage itself; that is the subject of the next section.</w:t>
      </w:r>
    </w:p>
    <w:p>
      <w:pPr>
        <w:pStyle w:val="Heading1"/>
      </w:pPr>
      <w:r>
        <w:t>6.2.1 The drawdown and the flood wave from orbit</w:t>
      </w:r>
    </w:p>
    <w:p>
      <w:pPr>
        <w:spacing w:line="360" w:lineRule="auto"/>
        <w:jc w:val="both"/>
      </w:pPr>
      <w:r>
        <w:t>That SWOT caught this event is not a new observation: the flood below the dam has been described from the same mission and used to test outburst-flood models (Lehnigk et al., 2026). What is added here is the outlet itself, carried in the same vertical frame as the gauges and the bed. Because the calibration orbit repeated daily over the outlet, the emptying of the pool was recorded directly rather than inferred: outlet 5.63 m EVRF2019 on 13 June, from 17.53 m on 31 May (n = 3 SWOT nodes on the date). Below the dam the same passes describe the wave that carried that water away, rising rise 9.10 m at 15 km (peak 10.24 m on 2023-06-07) and decaying downstream to about two metres by 80 km. Both series are snapshots from a handful of nodes per date (Node counts per date are small (1-3) and some dates rest on a single node; the series is a sequence of snapshots, not a gauged hydrograph.), so they are read as a sequence of observed water surfaces, not as a hydrograph.</w:t>
      </w:r>
    </w:p>
    <w:p>
      <w:pPr>
        <w:spacing w:line="360" w:lineRule="auto"/>
        <w:jc w:val="both"/>
      </w:pPr>
      <w:r>
        <w:rPr>
          <w:b/>
        </w:rPr>
        <w:t>Table 4. The drawdown and the flood wave, as recorded by SWOT.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Value</w:t>
            </w:r>
          </w:p>
        </w:tc>
        <w:tc>
          <w:tcPr>
            <w:tcW w:type="dxa" w:w="2880"/>
          </w:tcPr>
          <w:p>
            <w:r>
              <w:rPr>
                <w:b/>
              </w:rPr>
              <w:t>n</w:t>
            </w:r>
          </w:p>
        </w:tc>
      </w:tr>
      <w:tr>
        <w:tc>
          <w:tcPr>
            <w:tcW w:type="dxa" w:w="2880"/>
          </w:tcPr>
          <w:p>
            <w:r>
              <w:t>Outlet water surface, 31 May → 13 June 2023</w:t>
            </w:r>
          </w:p>
        </w:tc>
        <w:tc>
          <w:tcPr>
            <w:tcW w:type="dxa" w:w="2880"/>
          </w:tcPr>
          <w:p>
            <w:r>
              <w:t>outlet 5.63 m EVRF2019 on 13 June, from 17.53 m on 31 May</w:t>
            </w:r>
          </w:p>
        </w:tc>
        <w:tc>
          <w:tcPr>
            <w:tcW w:type="dxa" w:w="2880"/>
          </w:tcPr>
          <w:p>
            <w:r>
              <w:t>3 SWOT nodes on the date</w:t>
            </w:r>
          </w:p>
        </w:tc>
      </w:tr>
      <w:tr>
        <w:tc>
          <w:tcPr>
            <w:tcW w:type="dxa" w:w="2880"/>
          </w:tcPr>
          <w:p>
            <w:r>
              <w:t>Rise above the pre-breach surface, 15 km below the dam</w:t>
            </w:r>
          </w:p>
        </w:tc>
        <w:tc>
          <w:tcPr>
            <w:tcW w:type="dxa" w:w="2880"/>
          </w:tcPr>
          <w:p>
            <w:r>
              <w:t>rise 9.10 m at 15 km (peak 10.24 m on 2023-06-07)</w:t>
            </w:r>
          </w:p>
        </w:tc>
        <w:tc>
          <w:tcPr>
            <w:tcW w:type="dxa" w:w="2880"/>
          </w:tcPr>
          <w:p>
            <w:r>
              <w:t>48 nodes in the bin</w:t>
            </w:r>
          </w:p>
        </w:tc>
      </w:tr>
    </w:tbl>
    <w:p/>
    <w:p>
      <w:pPr>
        <w:spacing w:line="360" w:lineRule="auto"/>
        <w:jc w:val="both"/>
      </w:pPr>
      <w:r>
        <w:rPr>
          <w:i/>
        </w:rPr>
        <w:t>Node counts per date are small; the series is a sequence of observed surfaces, not a gauged hydrograph.</w:t>
      </w:r>
    </w:p>
    <w:p>
      <w:pPr>
        <w:spacing w:line="360" w:lineRule="auto"/>
        <w:jc w:val="both"/>
      </w:pPr>
      <w:r>
        <w:t>Figure 15 shows the outlet series against the upstream gauge and the downstream rise profile.</w:t>
      </w:r>
    </w:p>
    <w:p>
      <w:pPr>
        <w:jc w:val="center"/>
      </w:pPr>
      <w:r>
        <w:drawing>
          <wp:inline xmlns:a="http://schemas.openxmlformats.org/drawingml/2006/main" xmlns:pic="http://schemas.openxmlformats.org/drawingml/2006/picture">
            <wp:extent cx="5760720" cy="2853158"/>
            <wp:docPr id="2" name="Picture 2"/>
            <wp:cNvGraphicFramePr>
              <a:graphicFrameLocks noChangeAspect="1"/>
            </wp:cNvGraphicFramePr>
            <a:graphic>
              <a:graphicData uri="http://schemas.openxmlformats.org/drawingml/2006/picture">
                <pic:pic>
                  <pic:nvPicPr>
                    <pic:cNvPr id="0" name="F15_swot_drawdown_and_wave.png"/>
                    <pic:cNvPicPr/>
                  </pic:nvPicPr>
                  <pic:blipFill>
                    <a:blip r:embed="rId10"/>
                    <a:stretch>
                      <a:fillRect/>
                    </a:stretch>
                  </pic:blipFill>
                  <pic:spPr>
                    <a:xfrm>
                      <a:off x="0" y="0"/>
                      <a:ext cx="5760720" cy="2853158"/>
                    </a:xfrm>
                    <a:prstGeom prst="rect"/>
                  </pic:spPr>
                </pic:pic>
              </a:graphicData>
            </a:graphic>
          </wp:inline>
        </w:drawing>
      </w:r>
    </w:p>
    <w:p>
      <w:pPr>
        <w:spacing w:line="360" w:lineRule="auto"/>
        <w:jc w:val="both"/>
      </w:pPr>
      <w:r>
        <w:rPr>
          <w:b/>
        </w:rPr>
        <w:t>Figure 3.</w:t>
      </w:r>
      <w:r>
        <w:t xml:space="preserve"> The breach fortnight from orbit. (a) Outlet water surface against the upstream gauge, 28 May – 30 June 2023, in the common vertical frame. (b) Rise above the pre-breach surface with distance below the dam.</w:t>
      </w:r>
    </w:p>
    <w:p>
      <w:pPr>
        <w:pStyle w:val="Heading1"/>
      </w:pPr>
      <w:r>
        <w:t>6.3 Post-breach longitudinal gradient</w:t>
      </w:r>
    </w:p>
    <w:p>
      <w:pPr>
        <w:spacing w:line="360" w:lineRule="auto"/>
        <w:jc w:val="both"/>
      </w:pPr>
      <w:r>
        <w:t>Across the 14 pre-breach and 14 post-breach overpasses with a chainage span of at least 20 km, the per-overpass Theil–Sen slope moved from Theil-Sen median +0.090 cm/km pre -&gt; +3.314 cm/km post; difference +3.223 cm/km; the difference has a 95 % bootstrap confidence interval of 95% CI [+1.994, +5.071] cm/km; permutation p = 1.00e-04; Mann-Whitney p = 3.92e-05; positive slopes pre 10/14 (sign test p = 0.180) vs post 14/14 (p = 1.22e-04). Every one of the 14 post-breach overpasses is positive. The result is estimator-robust: ordinary least squares gives OLS +0.038 -&gt; +2.781 cm/km, difference +2.744 cm/km (95% CI [+1.454, +4.323]; permutation p = 3.00e-04). Each per-overpass slope is a fit through the six beam-median points of one pass over roughly 20–70 km of a reservoir-axis centreline; the claim is about the distribution of these local slopes across dates, not about a single whole-reservoir gradient.</w:t>
      </w:r>
    </w:p>
    <w:p>
      <w:pPr>
        <w:spacing w:line="360" w:lineRule="auto"/>
        <w:jc w:val="both"/>
      </w:pPr>
      <w:r>
        <w:rPr>
          <w:b/>
        </w:rPr>
        <w:t>Table 3. Water-surface geometry before and after the breach.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Quantity</w:t>
            </w:r>
          </w:p>
        </w:tc>
        <w:tc>
          <w:tcPr>
            <w:tcW w:type="dxa" w:w="2160"/>
          </w:tcPr>
          <w:p>
            <w:r>
              <w:rPr>
                <w:b/>
              </w:rPr>
              <w:t>Pre → post</w:t>
            </w:r>
          </w:p>
        </w:tc>
        <w:tc>
          <w:tcPr>
            <w:tcW w:type="dxa" w:w="2160"/>
          </w:tcPr>
          <w:p>
            <w:r>
              <w:rPr>
                <w:b/>
              </w:rPr>
              <w:t>Uncertainty</w:t>
            </w:r>
          </w:p>
        </w:tc>
        <w:tc>
          <w:tcPr>
            <w:tcW w:type="dxa" w:w="2160"/>
          </w:tcPr>
          <w:p>
            <w:r>
              <w:rPr>
                <w:b/>
              </w:rPr>
              <w:t>n</w:t>
            </w:r>
          </w:p>
        </w:tc>
      </w:tr>
      <w:tr>
        <w:tc>
          <w:tcPr>
            <w:tcW w:type="dxa" w:w="2160"/>
          </w:tcPr>
          <w:p>
            <w:r>
              <w:t>Per-overpass longitudinal slope, footprint-wide</w:t>
            </w:r>
          </w:p>
        </w:tc>
        <w:tc>
          <w:tcPr>
            <w:tcW w:type="dxa" w:w="2160"/>
          </w:tcPr>
          <w:p>
            <w:r>
              <w:t>Theil-Sen median +0.090 cm/km pre -&gt; +3.314 cm/km post; difference +3.223 cm/km</w:t>
            </w:r>
          </w:p>
        </w:tc>
        <w:tc>
          <w:tcPr>
            <w:tcW w:type="dxa" w:w="2160"/>
          </w:tcPr>
          <w:p>
            <w:r>
              <w:t>95% CI [+1.994, +5.071] cm/km; permutation p = 1.00e-04; Mann-Whitney p = 3.92e-05; positive slopes pre 10/14 (sign test p = 0.180) vs post 14/14 (p = 1.22e-04)</w:t>
            </w:r>
          </w:p>
        </w:tc>
        <w:tc>
          <w:tcPr>
            <w:tcW w:type="dxa" w:w="2160"/>
          </w:tcPr>
          <w:p>
            <w:r>
              <w:t>14 pre / 14 post</w:t>
            </w:r>
          </w:p>
        </w:tc>
      </w:tr>
      <w:tr>
        <w:tc>
          <w:tcPr>
            <w:tcW w:type="dxa" w:w="2160"/>
          </w:tcPr>
          <w:p>
            <w:r>
              <w:t>Slope in the first passes after drainage</w:t>
            </w:r>
          </w:p>
        </w:tc>
        <w:tc>
          <w:tcPr>
            <w:tcW w:type="dxa" w:w="2160"/>
          </w:tcPr>
          <w:p>
            <w:r>
              <w:t>Theil-Sen median +3.245 cm/km (2023-07-07..2023-09-07)</w:t>
            </w:r>
          </w:p>
        </w:tc>
        <w:tc>
          <w:tcPr>
            <w:tcW w:type="dxa" w:w="2160"/>
          </w:tcPr>
          <w:p>
            <w:r>
              <w:t>sits between the pre-breach and post-breach medians</w:t>
            </w:r>
          </w:p>
        </w:tc>
        <w:tc>
          <w:tcPr>
            <w:tcW w:type="dxa" w:w="2160"/>
          </w:tcPr>
          <w:p>
            <w:r>
              <w:t>5</w:t>
            </w:r>
          </w:p>
        </w:tc>
      </w:tr>
      <w:tr>
        <w:tc>
          <w:tcPr>
            <w:tcW w:type="dxa" w:w="2160"/>
          </w:tcPr>
          <w:p>
            <w:r>
              <w:t>Slope, estimator sensitivity (ordinary least squares)</w:t>
            </w:r>
          </w:p>
        </w:tc>
        <w:tc>
          <w:tcPr>
            <w:tcW w:type="dxa" w:w="2160"/>
          </w:tcPr>
          <w:p>
            <w:r>
              <w:t>OLS +0.038 -&gt; +2.781 cm/km, difference +2.744 cm/km</w:t>
            </w:r>
          </w:p>
        </w:tc>
        <w:tc>
          <w:tcPr>
            <w:tcW w:type="dxa" w:w="2160"/>
          </w:tcPr>
          <w:p>
            <w:r>
              <w:t>95% CI [+1.454, +4.323]; permutation p = 3.00e-04</w:t>
            </w:r>
          </w:p>
        </w:tc>
        <w:tc>
          <w:tcPr>
            <w:tcW w:type="dxa" w:w="2160"/>
          </w:tcPr>
          <w:p>
            <w:r>
              <w:t>14 pre / 14 post</w:t>
            </w:r>
          </w:p>
        </w:tc>
      </w:tr>
      <w:tr>
        <w:tc>
          <w:tcPr>
            <w:tcW w:type="dxa" w:w="2160"/>
          </w:tcPr>
          <w:p>
            <w:r>
              <w:t>Slope, channel-restricted control</w:t>
            </w:r>
          </w:p>
        </w:tc>
        <w:tc>
          <w:tcPr>
            <w:tcW w:type="dxa" w:w="2160"/>
          </w:tcPr>
          <w:p>
            <w:r>
              <w:t>Theil-Sen difference +1.109 cm/km, 95% CI [-0.086, +2.186]</w:t>
            </w:r>
          </w:p>
        </w:tc>
        <w:tc>
          <w:tcPr>
            <w:tcW w:type="dxa" w:w="2160"/>
          </w:tcPr>
          <w:p>
            <w:r>
              <w:t>permutation p = 0.0009; post positive 4/6; Cliff's delta -0.467</w:t>
            </w:r>
          </w:p>
        </w:tc>
        <w:tc>
          <w:tcPr>
            <w:tcW w:type="dxa" w:w="2160"/>
          </w:tcPr>
          <w:p>
            <w:r>
              <w:t>20 pre / 6 post</w:t>
            </w:r>
          </w:p>
        </w:tc>
      </w:tr>
      <w:tr>
        <w:tc>
          <w:tcPr>
            <w:tcW w:type="dxa" w:w="2160"/>
          </w:tcPr>
          <w:p>
            <w:r>
              <w:t>Per-overpass measurement uncertainty, post-breach</w:t>
            </w:r>
          </w:p>
        </w:tc>
        <w:tc>
          <w:tcPr>
            <w:tcW w:type="dxa" w:w="2160"/>
          </w:tcPr>
          <w:p>
            <w:r>
              <w:t>median per-pass interval half-width 21.545 cm/km; 3 of 14 passes exclude zero individually</w:t>
            </w:r>
          </w:p>
        </w:tc>
        <w:tc>
          <w:tcPr>
            <w:tcW w:type="dxa" w:w="2160"/>
          </w:tcPr>
          <w:p>
            <w:r>
              <w:t>half-width p25-p75 7.198-47.522 cm/km</w:t>
            </w:r>
          </w:p>
        </w:tc>
        <w:tc>
          <w:tcPr>
            <w:tcW w:type="dxa" w:w="2160"/>
          </w:tcPr>
          <w:p>
            <w:r>
              <w:t>14 passes, 6 beam medians each</w:t>
            </w:r>
          </w:p>
        </w:tc>
      </w:tr>
      <w:tr>
        <w:tc>
          <w:tcPr>
            <w:tcW w:type="dxa" w:w="2160"/>
          </w:tcPr>
          <w:p>
            <w:r>
              <w:t>Per-overpass measurement uncertainty, pre-breach</w:t>
            </w:r>
          </w:p>
        </w:tc>
        <w:tc>
          <w:tcPr>
            <w:tcW w:type="dxa" w:w="2160"/>
          </w:tcPr>
          <w:p>
            <w:r>
              <w:t>median per-pass interval half-width 2.129 cm/km; 0 of 14 passes exclude zero</w:t>
            </w:r>
          </w:p>
        </w:tc>
        <w:tc>
          <w:tcPr>
            <w:tcW w:type="dxa" w:w="2160"/>
          </w:tcPr>
          <w:p>
            <w:r>
              <w:t>—</w:t>
            </w:r>
          </w:p>
        </w:tc>
        <w:tc>
          <w:tcPr>
            <w:tcW w:type="dxa" w:w="2160"/>
          </w:tcPr>
          <w:p>
            <w:r>
              <w:t>14 passes</w:t>
            </w:r>
          </w:p>
        </w:tc>
      </w:tr>
      <w:tr>
        <w:tc>
          <w:tcPr>
            <w:tcW w:type="dxa" w:w="2160"/>
          </w:tcPr>
          <w:p>
            <w:r>
              <w:t>Minimum fitted span, 30 km</w:t>
            </w:r>
          </w:p>
        </w:tc>
        <w:tc>
          <w:tcPr>
            <w:tcW w:type="dxa" w:w="2160"/>
          </w:tcPr>
          <w:p>
            <w:r>
              <w:t>at a 30 km minimum span, 0.112 -&gt; 3.314 cm/km, difference 3.202</w:t>
            </w:r>
          </w:p>
        </w:tc>
        <w:tc>
          <w:tcPr>
            <w:tcW w:type="dxa" w:w="2160"/>
          </w:tcPr>
          <w:p>
            <w:r>
              <w:t>—</w:t>
            </w:r>
          </w:p>
        </w:tc>
        <w:tc>
          <w:tcPr>
            <w:tcW w:type="dxa" w:w="2160"/>
          </w:tcPr>
          <w:p>
            <w:r>
              <w:t>4 pre / 6 post</w:t>
            </w:r>
          </w:p>
        </w:tc>
      </w:tr>
      <w:tr>
        <w:tc>
          <w:tcPr>
            <w:tcW w:type="dxa" w:w="2160"/>
          </w:tcPr>
          <w:p>
            <w:r>
              <w:t>Within-overpass water-surface heterogeneity</w:t>
            </w:r>
          </w:p>
        </w:tc>
        <w:tc>
          <w:tcPr>
            <w:tcW w:type="dxa" w:w="2160"/>
          </w:tcPr>
          <w:p>
            <w:r>
              <w:t>0.117 m -&gt; 0.397 m, difference +0.280 m</w:t>
            </w:r>
          </w:p>
        </w:tc>
        <w:tc>
          <w:tcPr>
            <w:tcW w:type="dxa" w:w="2160"/>
          </w:tcPr>
          <w:p>
            <w:r>
              <w:t>95% CI [+0.138, +0.367] m; permutation p = 5.00e-05; Mann-Whitney p = 1.57e-11</w:t>
            </w:r>
          </w:p>
        </w:tc>
        <w:tc>
          <w:tcPr>
            <w:tcW w:type="dxa" w:w="2160"/>
          </w:tcPr>
          <w:p>
            <w:r>
              <w:t>192 pre / 23 post</w:t>
            </w:r>
          </w:p>
        </w:tc>
      </w:tr>
      <w:tr>
        <w:tc>
          <w:tcPr>
            <w:tcW w:type="dxa" w:w="2160"/>
          </w:tcPr>
          <w:p>
            <w:r>
              <w:t>Planform: water area</w:t>
            </w:r>
          </w:p>
        </w:tc>
        <w:tc>
          <w:tcPr>
            <w:tcW w:type="dxa" w:w="2160"/>
          </w:tcPr>
          <w:p>
            <w:r>
              <w:t>pre-breach 2023-06-05: 2 water bodies, 2,129 km2, largest component 99.995% of water area / post-breach median 503 bodies, 289 km2, largest component 58.2%</w:t>
            </w:r>
          </w:p>
        </w:tc>
        <w:tc>
          <w:tcPr>
            <w:tcW w:type="dxa" w:w="2160"/>
          </w:tcPr>
          <w:p>
            <w:r>
              <w:t>post-breach range 161-634 bodies; largest-component fraction 31.5-80.6%</w:t>
            </w:r>
          </w:p>
        </w:tc>
        <w:tc>
          <w:tcPr>
            <w:tcW w:type="dxa" w:w="2160"/>
          </w:tcPr>
          <w:p>
            <w:r>
              <w:t>1 pre / 4 post</w:t>
            </w:r>
          </w:p>
        </w:tc>
      </w:tr>
      <w:tr>
        <w:tc>
          <w:tcPr>
            <w:tcW w:type="dxa" w:w="2160"/>
          </w:tcPr>
          <w:p>
            <w:r>
              <w:t>Planform: residual water bodies</w:t>
            </w:r>
          </w:p>
        </w:tc>
        <w:tc>
          <w:tcPr>
            <w:tcW w:type="dxa" w:w="2160"/>
          </w:tcPr>
          <w:p>
            <w:r>
              <w:t>median offset -0.595 m</w:t>
            </w:r>
          </w:p>
        </w:tc>
        <w:tc>
          <w:tcPr>
            <w:tcW w:type="dxa" w:w="2160"/>
          </w:tcPr>
          <w:p>
            <w:r>
              <w:t>NMAD 0.459 m; p05 -1.19, p95 +0.51 m; 15.3% lie above the stem</w:t>
            </w:r>
          </w:p>
        </w:tc>
        <w:tc>
          <w:tcPr>
            <w:tcW w:type="dxa" w:w="2160"/>
          </w:tcPr>
          <w:p>
            <w:r>
              <w:t>678</w:t>
            </w:r>
          </w:p>
        </w:tc>
      </w:tr>
    </w:tbl>
    <w:p/>
    <w:p>
      <w:pPr>
        <w:jc w:val="center"/>
      </w:pPr>
      <w:r>
        <w:drawing>
          <wp:inline xmlns:a="http://schemas.openxmlformats.org/drawingml/2006/main" xmlns:pic="http://schemas.openxmlformats.org/drawingml/2006/picture">
            <wp:extent cx="5760720" cy="2675445"/>
            <wp:docPr id="3" name="Picture 3"/>
            <wp:cNvGraphicFramePr>
              <a:graphicFrameLocks noChangeAspect="1"/>
            </wp:cNvGraphicFramePr>
            <a:graphic>
              <a:graphicData uri="http://schemas.openxmlformats.org/drawingml/2006/picture">
                <pic:pic>
                  <pic:nvPicPr>
                    <pic:cNvPr id="0" name="F02_slope_per_overpass.png"/>
                    <pic:cNvPicPr/>
                  </pic:nvPicPr>
                  <pic:blipFill>
                    <a:blip r:embed="rId11"/>
                    <a:stretch>
                      <a:fillRect/>
                    </a:stretch>
                  </pic:blipFill>
                  <pic:spPr>
                    <a:xfrm>
                      <a:off x="0" y="0"/>
                      <a:ext cx="5760720" cy="2675445"/>
                    </a:xfrm>
                    <a:prstGeom prst="rect"/>
                  </pic:spPr>
                </pic:pic>
              </a:graphicData>
            </a:graphic>
          </wp:inline>
        </w:drawing>
      </w:r>
    </w:p>
    <w:p>
      <w:pPr>
        <w:spacing w:line="360" w:lineRule="auto"/>
        <w:jc w:val="both"/>
      </w:pPr>
      <w:r>
        <w:rPr>
          <w:b/>
        </w:rPr>
        <w:t>Figure 2.</w:t>
      </w:r>
      <w:r>
        <w:t xml:space="preserve"> Per-overpass longitudinal slope. (a) Every overpass with the interval its own fit carries; the axis is bounded, and the count of intervals reaching beyond it is printed on the panel. (b) The two distributions. The contrast is in the ensemble, not in any single pass.</w:t>
      </w:r>
    </w:p>
    <w:p>
      <w:pPr>
        <w:pStyle w:val="Heading1"/>
      </w:pPr>
      <w:r>
        <w:t>6.3.1 What one overpass can and cannot show</w:t>
      </w:r>
    </w:p>
    <w:p>
      <w:pPr>
        <w:spacing w:line="360" w:lineRule="auto"/>
        <w:jc w:val="both"/>
      </w:pPr>
      <w:r>
        <w:t xml:space="preserve">The interval quoted above is on the difference of medians </w:t>
      </w:r>
      <w:r>
        <w:rPr>
          <w:i/>
        </w:rPr>
        <w:t>across</w:t>
      </w:r>
      <w:r>
        <w:t xml:space="preserve"> overpasses. It is not a statement about any single pass, and the two must not be read as one. Fitted through six beam-median points over some 25 km, an individual post-breach slope is poorly resolved: median per-pass interval half-width 21.545 cm/km; 3 of 14 passes exclude zero individually (half-width p25-p75 7.198-47.522 cm/km; n = 14 passes, 6 beam medians each). Before the breach the same fit is far tighter — median per-pass interval half-width 2.129 cm/km; 0 of 14 passes exclude zero — because a level surface offers no leverage for disagreement between beams, whereas a sloping, spatially heterogeneous one does.</w:t>
      </w:r>
    </w:p>
    <w:p>
      <w:pPr>
        <w:spacing w:line="360" w:lineRule="auto"/>
        <w:jc w:val="both"/>
      </w:pPr>
      <w:r>
        <w:t>The transition is therefore evidenced by repetition rather than by precision: every post-breach pass is positive where only ten of fourteen were before, and it is that consistency, not the sharpness of any one measurement, which the confidence interval of Section 6.3 summarises (The evidence for the transition is therefore the ensemble - every post-breach pass positive, and the difference of medians - not the precision of any one measurement. Per-pass precision here is poorer than published reach-scale ICESat-2 slope benchmarks because the fits use six beam medians over a short span rather than a dense reach dataset.).</w:t>
      </w:r>
    </w:p>
    <w:p>
      <w:pPr>
        <w:pStyle w:val="Heading1"/>
      </w:pPr>
      <w:r>
        <w:t>6.3.2 Sensitivity to the fitted span</w:t>
      </w:r>
    </w:p>
    <w:p>
      <w:pPr>
        <w:spacing w:line="360" w:lineRule="auto"/>
        <w:jc w:val="both"/>
      </w:pPr>
      <w:r>
        <w:t>at a 30 km minimum span, 0.112 -&gt; 3.314 cm/km, difference 3.202 (n = 4 pre / 6 post). The 10 km and 20 km thresholds are not binding: the shortest fitted span in the sample is 20.3 km, so those rows repeat the headline rather than testing it. At 40 km only three passes per period remain and the difference falls to +2.988 cm/km.</w:t>
      </w:r>
    </w:p>
    <w:p>
      <w:pPr>
        <w:pStyle w:val="Heading1"/>
      </w:pPr>
      <w:r>
        <w:t>6.4 The channel-restricted control</w:t>
      </w:r>
    </w:p>
    <w:p>
      <w:pPr>
        <w:spacing w:line="360" w:lineRule="auto"/>
        <w:jc w:val="both"/>
      </w:pPr>
      <w:r>
        <w:t>Restricting both periods to the classified main channel weakens the contrast and its interval includes zero: Theil-Sen difference +1.109 cm/km, 95% CI [-0.086, +2.186] on 20 pre / 6 post. This is reported as a limitation of the headline result, which must therefore be read as a statement about the water surface within the former reservoir footprint, not strictly about the channel.</w:t>
      </w:r>
    </w:p>
    <w:p>
      <w:pPr>
        <w:pStyle w:val="Heading1"/>
      </w:pPr>
      <w:r>
        <w:t>6.5 Water-surface heterogeneity</w:t>
      </w:r>
    </w:p>
    <w:p>
      <w:pPr>
        <w:spacing w:line="360" w:lineRule="auto"/>
        <w:jc w:val="both"/>
      </w:pPr>
      <w:r>
        <w:t>On all ATL13 dates in the footprint, the within-overpass p95–p05 range of water-surface elevation rose from 0.117 m -&gt; 0.397 m, difference +0.280 m (95% CI [+0.138, +0.367] m; permutation p = 5.00e-05; Mann-Whitney p = 1.57e-11; 192 pre / 23 post). This metric is computed on the full ATL13 sample and is distinct from the within-profile range of the slope sample.</w:t>
      </w:r>
    </w:p>
    <w:p>
      <w:pPr>
        <w:jc w:val="center"/>
      </w:pPr>
      <w:r>
        <w:drawing>
          <wp:inline xmlns:a="http://schemas.openxmlformats.org/drawingml/2006/main" xmlns:pic="http://schemas.openxmlformats.org/drawingml/2006/picture">
            <wp:extent cx="5760720" cy="3900995"/>
            <wp:docPr id="4" name="Picture 4"/>
            <wp:cNvGraphicFramePr>
              <a:graphicFrameLocks noChangeAspect="1"/>
            </wp:cNvGraphicFramePr>
            <a:graphic>
              <a:graphicData uri="http://schemas.openxmlformats.org/drawingml/2006/picture">
                <pic:pic>
                  <pic:nvPicPr>
                    <pic:cNvPr id="0" name="F04_heterogeneity.png"/>
                    <pic:cNvPicPr/>
                  </pic:nvPicPr>
                  <pic:blipFill>
                    <a:blip r:embed="rId12"/>
                    <a:stretch>
                      <a:fillRect/>
                    </a:stretch>
                  </pic:blipFill>
                  <pic:spPr>
                    <a:xfrm>
                      <a:off x="0" y="0"/>
                      <a:ext cx="5760720" cy="3900995"/>
                    </a:xfrm>
                    <a:prstGeom prst="rect"/>
                  </pic:spPr>
                </pic:pic>
              </a:graphicData>
            </a:graphic>
          </wp:inline>
        </w:drawing>
      </w:r>
    </w:p>
    <w:p>
      <w:pPr>
        <w:spacing w:line="360" w:lineRule="auto"/>
        <w:jc w:val="both"/>
      </w:pPr>
      <w:r>
        <w:rPr>
          <w:b/>
        </w:rPr>
        <w:t>Figure 4.</w:t>
      </w:r>
      <w:r>
        <w:t xml:space="preserve"> Within-overpass water-surface heterogeneity (p95 − p05) by date. Horizontal bars are period medians. The metric is defined independently of the slope fit and uses every ATL13 date in the footprint, not only those with a 20 km span.</w:t>
      </w:r>
    </w:p>
    <w:p>
      <w:pPr>
        <w:pStyle w:val="Heading1"/>
      </w:pPr>
      <w:r>
        <w:t>6.6 Planform transformation</w:t>
      </w:r>
    </w:p>
    <w:p>
      <w:pPr>
        <w:spacing w:line="360" w:lineRule="auto"/>
        <w:jc w:val="both"/>
      </w:pPr>
      <w:r>
        <w:t>The optical record independently documents the loss of a single connected impounded surface (pre-breach 2023-06-05: 2 water bodies, 2,129 km2, largest component 99.995% of water area | post-breach median 503 bodies, 289 km2, largest component 58.2%). Component counts are not used inferentially: only one pre-breach date has near-complete coverage, and observed connectivity scales with the observed fraction, so the contrast is reported as corroboration of the geometric result rather than as a measurement in its own right.</w:t>
      </w:r>
    </w:p>
    <w:p>
      <w:pPr>
        <w:pStyle w:val="Heading1"/>
      </w:pPr>
      <w:r>
        <w:t>6.7 Residual water bodies</w:t>
      </w:r>
    </w:p>
    <w:p>
      <w:pPr>
        <w:spacing w:line="360" w:lineRule="auto"/>
        <w:jc w:val="both"/>
      </w:pPr>
      <w:r>
        <w:t>Classified residual water bodies sit below the adjacent channel stem: median offset -0.595 m (NMAD 0.459 m; p05 -1.19, p95 +0.51 m; 15.3% lie above the stem; n = 678), consistent with disconnected remnants perched in depressions rather than with a continuous surface.</w:t>
      </w:r>
    </w:p>
    <w:p>
      <w:pPr>
        <w:pStyle w:val="Heading1"/>
      </w:pPr>
      <w:r>
        <w:t>6.8 Persistence</w:t>
      </w:r>
    </w:p>
    <w:p>
      <w:pPr>
        <w:spacing w:line="360" w:lineRule="auto"/>
        <w:jc w:val="both"/>
      </w:pPr>
      <w:r>
        <w:t>Every post-breach overpass from January 2024 to November 2025 carries a positive per-overpass slope; the 14/14 sign consistency and the effect size, not the p-value, are the evidence that the new state persists beyond the drainage transient.</w:t>
      </w:r>
    </w:p>
    <w:p>
      <w:pPr>
        <w:pStyle w:val="Heading1"/>
      </w:pPr>
      <w:r>
        <w:t>6.9 Downstream geometry</w:t>
      </w:r>
    </w:p>
    <w:p>
      <w:pPr>
        <w:spacing w:line="360" w:lineRule="auto"/>
        <w:jc w:val="both"/>
      </w:pPr>
      <w:r>
        <w:t>The channel between the dam and Kherson has also changed geometry — its wetted width on comparable dates is larger after the breach — but that result, its method and its figure belong to the companion paper, where it serves as a validation target for the two-dimensional model.</w:t>
      </w:r>
    </w:p>
    <w:p>
      <w:pPr>
        <w:pStyle w:val="Title"/>
      </w:pPr>
      <w:r>
        <w:t>7. INTERPRETATION</w:t>
      </w:r>
    </w:p>
    <w:p>
      <w:pPr>
        <w:spacing w:line="360" w:lineRule="auto"/>
        <w:jc w:val="both"/>
      </w:pPr>
      <w:r>
        <w:t>Reaches released from an impoundment adjust in ways that are neither uniform nor immediate (Nichols &amp; Viers, 2017), and incisional channels formed after dam removal widen and narrow through migrating fronts rather than settling monotonically (Cantelli et al., 2004; Cantelli et al., 2007).</w:t>
      </w:r>
    </w:p>
    <w:p>
      <w:pPr>
        <w:pStyle w:val="Heading1"/>
      </w:pPr>
      <w:r>
        <w:t>7.1 From an impounded to a river-dominated state</w:t>
      </w:r>
    </w:p>
    <w:p>
      <w:pPr>
        <w:spacing w:line="360" w:lineRule="auto"/>
        <w:jc w:val="both"/>
      </w:pPr>
      <w:r>
        <w:t>Before the breach, the historical survey and the pre-breach overpasses agree that this particular impoundment held a near-level surface over the observed reach, with a hydraulic rise smaller than the wind setup and seiche that crossed it (mean hydraulic rise over 183 km: 0 cm (Qmin), 6 cm (Q20%), 42 cm (Q1%) | seiche half-range at an antinode 17.5 cm | wind setup at an end 35 cm (15 m/s) to 148 cm (25 m/s)). After depletion every overpass in the analysis carries a positive downstream gradient, and it does so from the first passes after drainage through to 2025 (Theil-Sen median +3.245 cm/km (2023-07-07..2023-09-07)). We read the change as a transition from a dam-controlled water-surface geometry to a channel-controlled one. That is a diagnosis from the observed surface: it is not an estimate of discharge, nor of friction or energy slope, and it is a statement about this reach rather than about reservoirs and rivers in general, which can both depart from these idealisations under backwater, unsteady flow and appreciable inflow.</w:t>
      </w:r>
    </w:p>
    <w:p>
      <w:pPr>
        <w:spacing w:line="360" w:lineRule="auto"/>
        <w:jc w:val="both"/>
      </w:pPr>
      <w:r>
        <w:t>The measured geometric change is consistent with a process literature in which the removal of a hydraulic control, or an imposed drawdown of the water surface, accelerates flow and initiates incision and subsequent channel adjustment. Laboratory dam-removal experiments document rapid incision followed by erosional narrowing and later widening (Cantelli et al., 2004; Cantelli et al., 2007), and field-scale levee breaches show that an imposed drawdown accelerates flow and promotes incision in the adjacent system (Nichols &amp; Viers, 2017; Nienhuis et al., 2018). Downstream of removed or breached dams, channel form and riparian structure have been observed to change over years rather than seasons (Skalak et al., 2009; Green &amp; Westbrook, 2009). These are process analogues, not scale equivalents: the first is a flume, the second a levee rather than a reservoir dam, and neither establishes that a persistent satellite-measured gradient is a general diagnostic of release from impoundment.</w:t>
      </w:r>
    </w:p>
    <w:p>
      <w:pPr>
        <w:spacing w:line="360" w:lineRule="auto"/>
        <w:jc w:val="both"/>
      </w:pPr>
      <w:r>
        <w:t>Before the breach the sign of the per-overpass slope was indistinguishable from a coin flip and the surface varied by centimetres over tens of kilometres; after it, every overpass shows water rising upstream at a few centimetres per kilometre, with metre-scale variability, and the change was already present during drainage. The comparison with reservoir-to-river transitions documented elsewhere belongs to Section 7.8 and is withheld until the literature retrieval has been validated.</w:t>
      </w:r>
    </w:p>
    <w:p>
      <w:pPr>
        <w:pStyle w:val="Heading1"/>
      </w:pPr>
      <w:r>
        <w:t>7.2 Why area alone misses the transition</w:t>
      </w:r>
    </w:p>
    <w:p>
      <w:pPr>
        <w:spacing w:line="360" w:lineRule="auto"/>
        <w:jc w:val="both"/>
      </w:pPr>
      <w:r>
        <w:t>The planform record shows one connected surface becoming a channel with remnants, but only one pre-breach date has full coverage and body counts scale with the observed fraction. The altimetric quantities — slope and within-overpass range — are independent of tile coverage and carry the inference.</w:t>
      </w:r>
    </w:p>
    <w:p>
      <w:pPr>
        <w:pStyle w:val="Heading1"/>
      </w:pPr>
      <w:r>
        <w:t>7.3 What the satellites can and cannot resolve</w:t>
      </w:r>
    </w:p>
    <w:p>
      <w:pPr>
        <w:spacing w:line="360" w:lineRule="auto"/>
        <w:jc w:val="both"/>
      </w:pPr>
      <w:r>
        <w:t>Each per-overpass slope is local, through six beam points; agreement between SWOT and ICESat-2 is centimetric only under close temporal collocation; a lake-averaged product cannot describe a sloping, fragmenting body. Canopy-height change from ICESat-2 requires repeat-track pairs that the current geometry does not provide.</w:t>
      </w:r>
    </w:p>
    <w:p>
      <w:pPr>
        <w:pStyle w:val="Heading1"/>
      </w:pPr>
      <w:r>
        <w:t>7.4 The vertical frame</w:t>
      </w:r>
    </w:p>
    <w:p>
      <w:pPr>
        <w:spacing w:line="360" w:lineRule="auto"/>
        <w:jc w:val="both"/>
      </w:pPr>
      <w:r>
        <w:t>One official grid, one quasigeoid and an explicit tide term are the minimum; empirical station correctors are local and do not transfer between reaches (reservoir -0.130 m [-0.184, -0.081] (n=5 stations) vs Kherson +0.0051 m [-0.0515, +0.0608]). The provenance of the quasigeoid raster is an open citation problem (Section 7.9).</w:t>
      </w:r>
    </w:p>
    <w:p>
      <w:pPr>
        <w:pStyle w:val="Heading1"/>
      </w:pPr>
      <w:r>
        <w:t>7.5 What the legacy hydrography contributes</w:t>
      </w:r>
    </w:p>
    <w:p>
      <w:pPr>
        <w:spacing w:line="360" w:lineRule="auto"/>
        <w:jc w:val="both"/>
      </w:pPr>
      <w:r>
        <w:t>The design documentation fixes the pre-breach surface twice — the operating levels and the 1970 field curve — and the chart soundings, once their reduction level is established, give a bed whose drawdown exposure agrees with the historical statistic within the datum band. The 0.40 m spread among the three routes to that level, not a confidence interval, is the honest uncertainty.</w:t>
      </w:r>
    </w:p>
    <w:p>
      <w:pPr>
        <w:pStyle w:val="Heading1"/>
      </w:pPr>
      <w:r>
        <w:t>7.6 What the geometry is for</w:t>
      </w:r>
    </w:p>
    <w:p>
      <w:pPr>
        <w:spacing w:line="360" w:lineRule="auto"/>
        <w:jc w:val="both"/>
      </w:pPr>
      <w:r>
        <w:t>The per-overpass slopes are the independent observation a hydraulic model of the current system must reproduce without having been calibrated on them, and they are handed to Paper 5 on that condition. The terrain such a model stands on is reconstructed in Paper 2.</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7.9 Implications for monitoring</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7.10 Limitations</w:t>
      </w:r>
    </w:p>
    <w:p>
      <w:pPr>
        <w:spacing w:line="360" w:lineRule="auto"/>
        <w:jc w:val="both"/>
      </w:pPr>
      <w:r>
        <w:t>The channel-restricted slope control is underpowered (Theil-Sen difference +1.109 cm/km, 95% CI [-0.086, +2.186]). The slope–discharge relation after the breach is not testable: Slope depends on discharge differently after the breach (beta3 = Q x POST). The survey epoch of the soundings is unrecorded (no epoch), the Baltic realisation of the historical tables is unstated, three co-located SWOT–ICESat-2 overpasses exist, and no wind record covers the 5 April 2023 anomaly. The quasigeoid grid is the full-resolution EGG2015 product, licensed from its author and used before in the same vertical harmonisation (Nikoriak et al., 2026). Because that grid is a restricted rather than a public release — the public release is coarser by an order of magnitude — it cannot be redistributed with the data of this paper, and a reader reproducing the work must obtain it on the same terms. That is a constraint on redistribution, not on the result.</w:t>
      </w:r>
    </w:p>
    <w:p>
      <w:pPr>
        <w:pStyle w:val="Title"/>
      </w:pPr>
      <w:r>
        <w:t>8. CONCLUSIONS</w:t>
      </w:r>
    </w:p>
    <w:p>
      <w:pPr>
        <w:spacing w:line="360" w:lineRule="auto"/>
        <w:jc w:val="both"/>
      </w:pPr>
      <w:r>
        <w:t>Within the former Kakhovka Reservoir footprint the per-overpass longitudinal water-surface slope changed from Theil-Sen median +0.090 cm/km pre -&gt; +3.314 cm/km post; difference +3.223 cm/km, with every post-breach overpass positive, and within-overpass heterogeneity rose from 0.117 m -&gt; 0.397 m, difference +0.280 m. These statements rest on harmonised elevations — one official transformation grid, one quasigeoid, an explicit permanent-tide term — and on a legacy survey whose reduction level was established by three independent routes rather than assumed. The same frame let the drawdown itself be read from orbit (outlet 5.63 m EVRF2019 on 13 June, from 17.53 m on 31 May). What the data cannot yet say — a post-breach slope–discharge law — is stated as such rather than inferred. The bed beneath this surface is reconstructed in Paper 2; what the new geometry means for roughness, conveyance and stage is the question of Papers 4 and 5, which take these profiles as a target they must meet without being calibrated on them.</w:t>
      </w:r>
    </w:p>
    <w:p>
      <w:pPr>
        <w:pStyle w:val="Title"/>
      </w:pPr>
      <w:r>
        <w:t>SUPPLEMENTARY MATERIAL</w:t>
      </w:r>
    </w:p>
    <w:p>
      <w:pPr>
        <w:pStyle w:val="Heading1"/>
      </w:pPr>
      <w:r>
        <w:t>S1. Machine tables and open items</w:t>
      </w:r>
    </w:p>
    <w:p>
      <w:pPr>
        <w:spacing w:line="360" w:lineRule="auto"/>
        <w:jc w:val="both"/>
      </w:pPr>
      <w:r>
        <w:t>Tables 1–7 are generated from `OWN_EVIDENCE.csv`; every number in the main text carries a claim id that points at a snapshot table row (`SNAPSHOT_MANIFEST.json`). Outstanding items are listed in `V2_OPEN_ITEMS.md`, parsed from the [PENDING] markers of this document.</w:t>
      </w:r>
    </w:p>
    <w:p>
      <w:pPr>
        <w:pStyle w:val="Heading1"/>
      </w:pPr>
      <w:r>
        <w:t>S2. The three ICESat-2 samples</w:t>
      </w:r>
    </w:p>
    <w:p>
      <w:pPr>
        <w:spacing w:line="360" w:lineRule="auto"/>
        <w:jc w:val="both"/>
      </w:pPr>
      <w:r>
        <w:t>The slope, heterogeneity and exposed-bed analyses draw on different subsets of the same archive and must not be conflated: the slope sample admits an overpass only if its chainage span reaches 20 km, the heterogeneity sample takes every ATL13 date in the footprint, and the exposed-bed sample is a ground-return set with no water in it at all. Sample sizes are given per claim in Tables 1–4.</w:t>
      </w:r>
    </w:p>
    <w:p>
      <w:pPr>
        <w:pStyle w:val="Title"/>
      </w:pPr>
      <w:r>
        <w:t>REFERENCES</w:t>
      </w:r>
    </w:p>
    <w:p>
      <w:pPr>
        <w:spacing w:line="360" w:lineRule="auto"/>
        <w:jc w:val="both"/>
      </w:pPr>
      <w:r>
        <w:t>- [CRS_EU_UA_KRON_EVRF2019ZERO] BKG (2020). UA_KRON / NH to EVRF2019zero — description of transformation (grid idw_ua_2019_z.asc, inverse distance weighted). CRS-EU. https://www.crs-geo.eu/crs/descrtrans/eu-descrtrans.php?crs_id=dFVBX0tST04gLyBOSA==&amp;op_id=VUFfS1JPTiAvIE5IIHRvIEVWUkYyMDE5emVybw==&amp;tr_one=0</w:t>
      </w:r>
    </w:p>
    <w:p>
      <w:pPr>
        <w:spacing w:line="360" w:lineRule="auto"/>
        <w:jc w:val="both"/>
      </w:pPr>
      <w:r>
        <w:t>- [EGG2015]</w:t>
      </w:r>
    </w:p>
    <w:p>
      <w:pPr>
        <w:spacing w:line="360" w:lineRule="auto"/>
        <w:jc w:val="both"/>
      </w:pPr>
      <w:r>
        <w:t>- [EVRF2019]</w:t>
      </w:r>
    </w:p>
    <w:p>
      <w:pPr>
        <w:spacing w:line="360" w:lineRule="auto"/>
        <w:jc w:val="both"/>
      </w:pPr>
      <w:r>
        <w:t>- [IAG_RESOLUTION_16_1983]</w:t>
      </w:r>
    </w:p>
    <w:p>
      <w:pPr>
        <w:spacing w:line="360" w:lineRule="auto"/>
        <w:jc w:val="both"/>
      </w:pPr>
      <w:r>
        <w:t>- [ICESAT2_ATL03_ATBD]</w:t>
      </w:r>
    </w:p>
    <w:p>
      <w:pPr>
        <w:spacing w:line="360" w:lineRule="auto"/>
        <w:jc w:val="both"/>
      </w:pPr>
      <w:r>
        <w:t>- [ICESAT2_ATL13_ATBD]</w:t>
      </w:r>
    </w:p>
    <w:p>
      <w:pPr>
        <w:spacing w:line="360" w:lineRule="auto"/>
        <w:jc w:val="both"/>
      </w:pPr>
      <w:r>
        <w:t>- [STOPKHAI_2026_BS77_EVRF2019] Стопхай, Ю., Матвійчук, І., Данильчук, Д., Жолоб, О., Прищепа, С., &amp; Чорнокнижний, О. (2026). Розроблення моделі для переходу від Балтійської системи висот 1977 р. до Європейської вертикальної референцної системи (EVRS) для території України. Сучасні досягнення геодезичної науки та виробництва, І(51), 62–67. https://zgt.com.ua/wp-content/uploads/2026/06/9.pdf</w:t>
      </w:r>
    </w:p>
    <w:p>
      <w:pPr>
        <w:spacing w:line="360" w:lineRule="auto"/>
        <w:jc w:val="both"/>
      </w:pPr>
      <w:r>
        <w:t>- [alston2022] Alston, Jesse M.; Fleming, Christen H.; Kays, Roland; Streicher, Jarryd P.; Downs, Colleen T.; Ramesh, Tharmalingam; Calabrese, Justin M. (2022). Mitigating pseudoreplication and bias in resource selection functions with autocorrelation-informed weighting. **. https://doi.org/10.1101/2022.04.21.489059</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[christoffersen2023] Christoffersen, Linda; Bauer-Gottwein, Peter; Sørensen, Louise Sandberg; Nielsen, Karina (2023). ICE2WSS; An R package for estimating river water surface slopes from ICESat-2. </w:t>
      </w:r>
      <w:r>
        <w:rPr>
          <w:i/>
        </w:rPr>
        <w:t>Environmental Modelling &amp;amp; Software</w:t>
      </w:r>
      <w:r>
        <w:t>. https://doi.org/10.1016/j.envsoft.2023.105789</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[efron1979] Efron, B. (1979). Bootstrap Methods: Another Look at the Jackknife. </w:t>
      </w:r>
      <w:r>
        <w:rPr>
          <w:i/>
        </w:rPr>
        <w:t>The Annals of Statistics</w:t>
      </w:r>
      <w:r>
        <w:t>. https://doi.org/10.1214/aos/1176344552</w:t>
      </w:r>
    </w:p>
    <w:p>
      <w:pPr>
        <w:spacing w:line="360" w:lineRule="auto"/>
        <w:jc w:val="both"/>
      </w:pPr>
      <w:r>
        <w:t xml:space="preserve">- [ernst2004] Ernst, Michael D. (2004). Permutation Methods: A Basis for Exact Inference. </w:t>
      </w:r>
      <w:r>
        <w:rPr>
          <w:i/>
        </w:rPr>
        <w:t>Statistical Science</w:t>
      </w:r>
      <w:r>
        <w:t>. https://doi.org/10.1214/088342304000000396</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[green2009] Green, Kim C.; Westbrook, Cherie J. (2009). Changes in riparian area structure, channel hydraulics, and sediment yield following loss of beaver dams. </w:t>
      </w:r>
      <w:r>
        <w:rPr>
          <w:i/>
        </w:rPr>
        <w:t>Journal of Ecosystems and Management</w:t>
      </w:r>
      <w:r>
        <w:t>. https://doi.org/10.22230/jem.2009v10n1a412</w:t>
      </w:r>
    </w:p>
    <w:p>
      <w:pPr>
        <w:spacing w:line="360" w:lineRule="auto"/>
        <w:jc w:val="both"/>
      </w:pPr>
      <w:r>
        <w:t xml:space="preserve">- [huang2026] Huang, Chi Hsiang; Gao, Huilin (2026). The Potential for Leveraging SWOT‐Mapped Uneven Water Surface Elevations to Enhance ICESat‐2–Derived Lake Levels. </w:t>
      </w:r>
      <w:r>
        <w:rPr>
          <w:i/>
        </w:rPr>
        <w:t>Geophysical Research Letters</w:t>
      </w:r>
      <w:r>
        <w:t>. https://doi.org/10.1029/2025gl119771</w:t>
      </w:r>
    </w:p>
    <w:p>
      <w:pPr>
        <w:spacing w:line="360" w:lineRule="auto"/>
        <w:jc w:val="both"/>
      </w:pPr>
      <w:r>
        <w:t xml:space="preserve">- [hurlbert1984] Hurlbert, Stuart H. (1984). Pseudoreplication and the Design of Ecological Field Experiments. </w:t>
      </w:r>
      <w:r>
        <w:rPr>
          <w:i/>
        </w:rPr>
        <w:t>Ecological Monographs</w:t>
      </w:r>
      <w:r>
        <w:t>. https://doi.org/10.2307/1942661</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[kadam2024] Kadam, Piyusha B.; Thakur, Praveen K.; Dwivedi, Sanjay K.; Garg, Vaibhav; Dhote, Pankja R. (2024). Dam Breach Analysis and Damage Assessment of Nova Kakhovka Dam using Satellite data and 1D and 2D Hydrodynamic Modeling. </w:t>
      </w:r>
      <w:r>
        <w:rPr>
          <w:i/>
        </w:rPr>
        <w:t>The International Archives of the Photogrammetry, Remote Sensing and Spatial Information Sciences</w:t>
      </w:r>
      <w:r>
        <w:t>. https://doi.org/10.5194/isprs-archives-xlviii-3-2024-251-2024</w:t>
      </w:r>
    </w:p>
    <w:p>
      <w:pPr>
        <w:spacing w:line="360" w:lineRule="auto"/>
        <w:jc w:val="both"/>
      </w:pPr>
      <w:r>
        <w:t xml:space="preserve">- [kozlova2024] Kozlova, A.; Lischenko, L.; Andreiev, A.; Lubskyi, M.; Lysenko, A. (2024). Water Occurrence Mapping of Kakhovka Reservoir after the Dam Destruction. </w:t>
      </w:r>
      <w:r>
        <w:rPr>
          <w:i/>
        </w:rPr>
        <w:t>International Conference of Young Professionals «GeoTerrace-2024»</w:t>
      </w:r>
      <w:r>
        <w:t>. https://doi.org/10.3997/2214-4609.2024510066</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[nielsen2022] Nielsen, Karina; Zakharova, Elena; Tarpanelli, Angelica; Andersen, Ole B.; Benveniste, Jérôme (2022). River levels from multi mission altimetry, a statistical approach. </w:t>
      </w:r>
      <w:r>
        <w:rPr>
          <w:i/>
        </w:rPr>
        <w:t>Remote Sensing of Environment</w:t>
      </w:r>
      <w:r>
        <w:t>. https://doi.org/10.1016/j.rse.2021.112876</w:t>
      </w:r>
    </w:p>
    <w:p>
      <w:pPr>
        <w:spacing w:line="360" w:lineRule="auto"/>
        <w:jc w:val="both"/>
      </w:pPr>
      <w:r>
        <w:t xml:space="preserve">- [nienhuis2018] Nienhuis, Jaap H.; Törnqvist, Torbjörn E.; Esposito, Christopher R. (2018). Crevasse Splays Versus Avulsions: A Recipe for Land Building With Levee Breaches. </w:t>
      </w:r>
      <w:r>
        <w:rPr>
          <w:i/>
        </w:rPr>
        <w:t>Geophysical Research Letters</w:t>
      </w:r>
      <w:r>
        <w:t>. https://doi.org/10.1029/2018gl077933</w:t>
      </w:r>
    </w:p>
    <w:p>
      <w:pPr>
        <w:spacing w:line="360" w:lineRule="auto"/>
        <w:jc w:val="both"/>
      </w:pPr>
      <w:r>
        <w:t xml:space="preserve">- [nikoriak2026] Nikoriak, V.V.; Osypov, V.V.; Osadcha, N.M. (2026). Validation of global elevation models using ICESat-2 LiDAR data for floodplain modeling in the Ukrainian Carpathians. </w:t>
      </w:r>
      <w:r>
        <w:rPr>
          <w:i/>
        </w:rPr>
        <w:t>Geofizicheskiy Zhurnal</w:t>
      </w:r>
      <w:r>
        <w:t>. https://doi.org/10.24028/gj.v48i2.346831</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[pohjankukka2017] Pohjankukka, Jonne; Pahikkala, Tapio; Nevalainen, Paavo; Heikkonen, Jukka (2017). Estimating the prediction performance of spatial models via spatial k-fold cross validation. </w:t>
      </w:r>
      <w:r>
        <w:rPr>
          <w:i/>
        </w:rPr>
        <w:t>International Journal of Geographical Information Science</w:t>
      </w:r>
      <w:r>
        <w:t>. https://doi.org/10.1080/13658816.2017.1346255</w:t>
      </w:r>
    </w:p>
    <w:p>
      <w:pPr>
        <w:spacing w:line="360" w:lineRule="auto"/>
        <w:jc w:val="both"/>
      </w:pPr>
      <w:r>
        <w:t xml:space="preserve">- [roy2017] Roy, Mathieu; Dolcine, Leslie; Fuamba, Musandji (2017). Error Analysis of Wind Effects on Natural Flow Estimation. </w:t>
      </w:r>
      <w:r>
        <w:rPr>
          <w:i/>
        </w:rPr>
        <w:t>Journal of Hydrologic Engineering</w:t>
      </w:r>
      <w:r>
        <w:t>. https://doi.org/10.1061/(asce)he.1943-5584.0001481</w:t>
      </w:r>
    </w:p>
    <w:p>
      <w:pPr>
        <w:spacing w:line="360" w:lineRule="auto"/>
        <w:jc w:val="both"/>
      </w:pPr>
      <w:r>
        <w:t xml:space="preserve">- [sazonenko2024] Sazonenko, Ye.; Pidgorodetska, L.; Kolos, L.; Fedorov, O. (2024). Analysis of Spatial and Temporal Changes in the Water Surface Area of the Kakhovka Reservoir based on Satellite Data. </w:t>
      </w:r>
      <w:r>
        <w:rPr>
          <w:i/>
        </w:rPr>
        <w:t>International Conference of Young Professionals «GeoTerrace-2024»</w:t>
      </w:r>
      <w:r>
        <w:t>. https://doi.org/10.3997/2214-4609.2024510069</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[sen1968] Sen, Pranab Kumar (1968). Estimates of the Regression Coefficient Based on Kendall's Tau. </w:t>
      </w:r>
      <w:r>
        <w:rPr>
          <w:i/>
        </w:rPr>
        <w:t>Journal of the American Statistical Association</w:t>
      </w:r>
      <w:r>
        <w:t>. https://doi.org/10.1080/01621459.1968.10480934</w:t>
      </w:r>
    </w:p>
    <w:p>
      <w:pPr>
        <w:spacing w:line="360" w:lineRule="auto"/>
        <w:jc w:val="both"/>
      </w:pPr>
      <w:r>
        <w:t xml:space="preserve">- [shumilova2025] Shumilova, O.; Sukhodolov, A.; Osadcha, N.; Oreshchenko, A.; Constantinescu, G.; Afanasyev, S.; Koken, M.; Osadchyi, V.; Rhoads, B.; Tockner, K.; Monaghan, M. T.; Schröder, B.; Nabyvanets, J.; Wolter, C.; Lietytska, O.; van de Koppel, J.; Magas, N.; Jähnig, S. C.; Lakisova, V.; Trokhymenko, G.; Venohr, M.; Komorin, V.; Stepanenko, S.; Khilchevskyi, V.; Domisch, S.; Blettler, M.; Gleick, P.; De Meester, L.; Grossart, H.-P. (2025). Environmental effects of the Kakhovka Dam destruction by warfare in Ukraine. </w:t>
      </w:r>
      <w:r>
        <w:rPr>
          <w:i/>
        </w:rPr>
        <w:t>Science</w:t>
      </w:r>
      <w:r>
        <w:t>. https://doi.org/10.1126/science.adn8655</w:t>
      </w:r>
    </w:p>
    <w:p>
      <w:pPr>
        <w:spacing w:line="360" w:lineRule="auto"/>
        <w:jc w:val="both"/>
      </w:pPr>
      <w:r>
        <w:t xml:space="preserve">- [skalak2009] Skalak, Katherine; Pizzuto, James; Hart, David D. (2009). Influence of Small Dams on Downstream Channel Characteristics in Pennsylvania and Maryland: Implications for the Long‐Term Geomorphic Effects of Dam Removal&lt;sup&gt;1&lt;/sup&gt;. </w:t>
      </w:r>
      <w:r>
        <w:rPr>
          <w:i/>
        </w:rPr>
        <w:t>JAWRA Journal of the American Water Resources Association</w:t>
      </w:r>
      <w:r>
        <w:t>. https://doi.org/10.1111/j.1752-1688.2008.00263.x</w:t>
      </w:r>
    </w:p>
    <w:p>
      <w:pPr>
        <w:spacing w:line="360" w:lineRule="auto"/>
        <w:jc w:val="both"/>
      </w:pPr>
      <w:r>
        <w:t xml:space="preserve">- [theil1992] Theil, Henri (1992). A Rank-Invariant Method of Linear and Polynomial Regression Analysis. </w:t>
      </w:r>
      <w:r>
        <w:rPr>
          <w:i/>
        </w:rPr>
        <w:t>Advanced Studies in Theoretical and Applied Econometrics</w:t>
      </w:r>
      <w:r>
        <w:t>. https://doi.org/10.1007/978-94-011-2546-8_20</w:t>
      </w:r>
    </w:p>
    <w:p>
      <w:pPr>
        <w:spacing w:line="360" w:lineRule="auto"/>
        <w:jc w:val="both"/>
      </w:pPr>
      <w:r>
        <w:t xml:space="preserve">- [trevoho2021] Trevoho, Ihor; Zablotskyi, Fedir; Piskorek, Andrzej; Dzhuman, Bohdan; Vovk, Andrii (2021). About modernization of Ukrainian height system. </w:t>
      </w:r>
      <w:r>
        <w:rPr>
          <w:i/>
        </w:rPr>
        <w:t>Geodesy, cartography and aerial photography</w:t>
      </w:r>
      <w:r>
        <w:t>. https://doi.org/10.23939/istcgcap2021.93.013</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p>
      <w:pPr>
        <w:spacing w:line="360" w:lineRule="auto"/>
        <w:jc w:val="both"/>
      </w:pPr>
      <w:r>
        <w:t xml:space="preserve">- [zhang2020] Zhang, Panpan; Bao, Lifeng; Guo, Dongmei; Wu, Lin; Li, Qianqian; Liu, Hui; Xue, Zhixin; Li, Zhicai (2020). Estimation of Vertical Datum Parameters Using the GBVP Approach Based on the Combined Global Geopotential Models. </w:t>
      </w:r>
      <w:r>
        <w:rPr>
          <w:i/>
        </w:rPr>
        <w:t>Remote Sensing</w:t>
      </w:r>
      <w:r>
        <w:t>. https://doi.org/10.3390/rs12244137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