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and floodplain: the post-breach transformation of the Kakhovka Reservoir from harmonised satellite altimetry, optical and radar imagery, legacy hydrography and vegetation succession</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what surface it flows over, are questions that a single water-area time series cannot answer: they require water-surface geometry, a bed, and the roughness of what has grown on it, all in one vertical frame.</w:t>
      </w:r>
    </w:p>
    <w:p>
      <w:pPr>
        <w:spacing w:line="360" w:lineRule="auto"/>
        <w:jc w:val="both"/>
      </w:pPr>
      <w:r>
        <w:rPr>
          <w:b/>
        </w:rPr>
        <w:t>Methods.</w:t>
      </w:r>
      <w:r>
        <w:t xml:space="preserve"> Seven hydrological gauges, ICESat-2 ATL13 and ATL08 laser altimetry, SWOT PIXC/RiverSP radar interferometry, Sentinel-1 and Sentinel-2 imagery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former water surface is classified on leaf-on Sentinel-2 dates into ten surface classes, woody cover is followed with Dynamic World probabilities, channel width below the dam is measured on 157 transects at matched downstream stage, and class areas are translated into Manning roughness ranges from published priors.</w:t>
      </w:r>
    </w:p>
    <w:p>
      <w:pPr>
        <w:spacing w:line="360" w:lineRule="auto"/>
        <w:jc w:val="both"/>
      </w:pPr>
      <w:r>
        <w:rPr>
          <w:b/>
        </w:rPr>
        <w:t>Results.</w:t>
      </w:r>
      <w:r>
        <w:t xml:space="preserve"> The per-overpass slope within the former reservoir footprint changed from Theil-Sen median +0.090 cm/km pre -&gt; +3.314 cm/km post; difference +3.223 cm/km (95 % CI 95% CI [+1.994, +5.071] cm/km; permutation p = 1.00e-04; Mann-Whitney p = 3.92e-05; positive slopes pre 10/14 (sign test p = 0.180) vs post 14/14 (p = 1.22e-04)). Within-overpass water-surface heterogeneity rose from 0.117 m -&gt; 0.397 m, difference +0.280 m. A soundings-only bed reconstruction reproduces the historical drawdown exposure (whole mapped reservoir: historical 12.9% vs reconstructed 12.77% (diff -0.18 pp)) and, in the downstream zones, soundings-only interpolation outperforms every shoreline-constrained variant (SND_ONLY / LINEAR: RMSE 2.20 m, bias -0.07 m, NMAD 1.24 m). On the former water surface the vegetated share rose to veg 83.8%, bare 4.0%, water 10.8% (2025) after veg 26.9%, bare 25.6%, water 36.7% (2023), Dynamic World woody probability reached share woody prob ≥0.3: 0.03% (2022) → 0.31% (2023) → 25.2% (2024); 'trees' label 2024 21.8%, and the translated area-weighted Manning roughness moved from n 0.032 → 0.063; median Δn +0.035. Below the dam the wetted width on comparable dates is 2025 median 690 m (p25 465, p75 895); main arm 560 m against 2019 median 580 m; main arm 500 m; Kherson stage 0.2 m.</w:t>
      </w:r>
    </w:p>
    <w:p>
      <w:pPr>
        <w:spacing w:line="360" w:lineRule="auto"/>
        <w:jc w:val="both"/>
      </w:pPr>
      <w:r>
        <w:rPr>
          <w:b/>
        </w:rPr>
        <w:t>Conclusions.</w:t>
      </w:r>
      <w:r>
        <w:t xml:space="preserve"> The reservoir did not merely shrink: its water surface acquired a persistent downstream gradient, its bed is now a vegetating floodplain with roughly twice the roughness it had as open water, and the channel below the dam is wider. Each of these statements rests on a measured quantity with a stated uncertainty and, where a quantity cannot be measured with the data at hand — canopy-height change, a post-breach slope–discharge law, classification accuracy — the manuscript says so rather than inferring it.</w:t>
      </w:r>
    </w:p>
    <w:p>
      <w:pPr>
        <w:spacing w:line="360" w:lineRule="auto"/>
        <w:jc w:val="both"/>
      </w:pPr>
      <w:r>
        <w:rPr>
          <w:b/>
        </w:rPr>
        <w:t>Keywords:</w:t>
      </w:r>
      <w:r>
        <w:t xml:space="preserve"> satellite altimetry; ICESat-2; SWOT; vertical datum; EVRF2019; reservoir drawdown; vegetation succession; Manning roughness; Sentinel-1; Sentinel-2;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 xml:space="preserve">Post-breach studies of the site have characterised the event predominantly through planform quantities — water extent, exposed area and their change. &gt;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 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 provided that thousands of along-track measurements from one pass are not mistaken for thousands of independent observations, and provided that heights reported on different ellipsoids, geoids and permanent-tide conventions are reduced to one frame before they are compared.</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w:t>
      </w:r>
    </w:p>
    <w:p>
      <w:pPr>
        <w:pStyle w:val="Heading1"/>
      </w:pPr>
      <w:r>
        <w:t>1.5 The exposed bed: succession, roughness and conveyance</w:t>
      </w:r>
    </w:p>
    <w:p>
      <w:pPr>
        <w:spacing w:line="360" w:lineRule="auto"/>
        <w:jc w:val="both"/>
      </w:pPr>
      <w:r>
        <w:t>A drained reservoir bed is also a new floodplain. Field surveys in the first seasons after the breach documented rapid colonisation of the bed, dominated by willow ((Kuzemko et al., 2025); (Didukh et al., 2024)). What those surveys do not provide is a multi-year, whole-bed area and transition series, or a translation of the emerging cover into the hydraulic roughness that any reconstruction of the breach flood or of future floods must assume. Manning roughness for vegetated flood plains has a long literature of priors ((Arcement &amp; Schneider, 1989); (Järvelä, 2004)), and translating a class map into an n field is standard practice in two-dimensional modelling; what is not standard is doing so on a surface that changes from open water to reed and young forest in two years.</w:t>
      </w:r>
    </w:p>
    <w:p>
      <w:pPr>
        <w:pStyle w:val="Heading1"/>
      </w:pPr>
      <w:r>
        <w:t>1.6 Objectives</w:t>
      </w:r>
    </w:p>
    <w:p>
      <w:pPr>
        <w:spacing w:line="360" w:lineRule="auto"/>
        <w:jc w:val="both"/>
      </w:pPr>
      <w:r>
        <w:t>This paper asks four questions. (i) Did the water surface within the former reservoir footprint change hydraulic regime, and does the change persist? (ii) Can SWOT and ICESat-2 be read together once their vertical references are harmonised, and does the legacy hydrography constrain both the pre-breach surface and the reconstructed bed? (iii) How did the exposed bed, the woody cover and the channel below the dam change over 2023–2025? (iv) What does that change imply for the roughness of the new floodplain? Where the data cannot answer — the slope–discharge relation after the breach, canopy-height change, the accuracy of the surface classes — the paper states the limitation instead of inferring an answer.</w:t>
      </w:r>
    </w:p>
    <w:p>
      <w:pPr>
        <w:pStyle w:val="Title"/>
      </w:pPr>
      <w:r>
        <w:t>2. STUDY AREA AND OBSERVATION GEOMETRY</w:t>
      </w:r>
    </w:p>
    <w:p>
      <w:pPr>
        <w:spacing w:line="360" w:lineRule="auto"/>
        <w:jc w:val="both"/>
      </w:pPr>
      <w:r>
        <w:t xml:space="preserve">&gt; </w:t>
      </w:r>
      <w:r>
        <w:rPr>
          <w:b/>
        </w:rPr>
        <w:t>[PENDING OPEN12]</w:t>
      </w:r>
      <w:r>
        <w:t xml:space="preserve"> X1.1 is REVISE_UNCERTAINTY: may appear only as a limitation</w:t>
      </w:r>
    </w:p>
    <w:p>
      <w:pPr>
        <w:spacing w:line="360" w:lineRule="auto"/>
        <w:jc w:val="both"/>
      </w:pPr>
      <w:r>
        <w:t>&gt; `backs: X1.1` · `section: 2. STUDY AREA AND OBSERVATION GEOMETRY`</w:t>
      </w:r>
    </w:p>
    <w:p>
      <w:pPr>
        <w:spacing w:line="360" w:lineRule="auto"/>
        <w:jc w:val="both"/>
      </w:pPr>
      <w:r>
        <w:t>&gt; `status: blocked` · `blocks_submission: yes`</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 ATL08 terrain and canopy segments at 100 m and 20 m were layered over all four zones (280489 canopy_ok of 1335986 segments (100 m)).</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and Sentinel-1</w:t>
      </w:r>
    </w:p>
    <w:p>
      <w:pPr>
        <w:spacing w:line="360" w:lineRule="auto"/>
        <w:jc w:val="both"/>
      </w:pPr>
      <w:r>
        <w:t>Sentinel-2 L2A scenes were processed on a 20 m registry grid (EPSG:32636) with the BOA additive offset applied, into seven indices (NDVI, NDWI, MNDWI, NDMI, BSI, AWEIsh, NDTI), a ten-class surface classification and regime composites per zone; 53 dates cover the former pool. Sentinel-1 RTC γ⁰ (VV, VH) was classified with an anchored two-class discriminant and its variants (Section 4.11). Dynamic World annual composites for 2022–2024 and FABDEM-derived slope and height-above-nearest-water complete the surface layers.</w:t>
      </w:r>
    </w:p>
    <w:p>
      <w:pPr>
        <w:pStyle w:val="Heading1"/>
      </w:pPr>
      <w:r>
        <w:t>3.5 Legacy hydrography</w:t>
      </w:r>
    </w:p>
    <w:p>
      <w:pPr>
        <w:spacing w:line="360" w:lineRule="auto"/>
        <w:jc w:val="both"/>
      </w:pPr>
      <w:r>
        <w:t xml:space="preserve">&gt; </w:t>
      </w:r>
      <w:r>
        <w:rPr>
          <w:b/>
        </w:rPr>
        <w:t>[PENDING OPEN25]</w:t>
      </w:r>
      <w:r>
        <w:t xml:space="preserve"> X2.1 is NOT_TESTABLE: may appear only as a limitation</w:t>
      </w:r>
    </w:p>
    <w:p>
      <w:pPr>
        <w:spacing w:line="360" w:lineRule="auto"/>
        <w:jc w:val="both"/>
      </w:pPr>
      <w:r>
        <w:t>&gt; `backs: X2.1` · `section: 3.5 Legacy hydrography`</w:t>
      </w:r>
    </w:p>
    <w:p>
      <w:pPr>
        <w:spacing w:line="360" w:lineRule="auto"/>
        <w:jc w:val="both"/>
      </w:pPr>
      <w:r>
        <w:t>&gt; `status: blocked` · `blocks_submission: yes`</w:t>
      </w:r>
    </w:p>
    <w:p>
      <w:pPr>
        <w:pStyle w:val="Heading1"/>
      </w:pPr>
      <w:r>
        <w:t>3.6 Geodetic reference data</w:t>
      </w:r>
    </w:p>
    <w:p>
      <w:pPr>
        <w:spacing w:line="360" w:lineRule="auto"/>
        <w:jc w:val="both"/>
      </w:pPr>
      <w:r>
        <w:t>official correction at the posts 0.216 m The EGG2015 quasigeoid grid used for the ICESat-2 and SWOT branches is the 1′×1′ raster whose provenance is discussed in Section 7.10.</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Gauge stages are carried into EVRF2019 normal heights by the official EPSG:9902 operation, sampled from the production grid at each station (10,194 daily values transformed); the offset is spatially varying, 0.1715 to 0.2157 m, so no single national constant is admissible. ICESat-2 ATL13 heights are reduced with the EGG2015 quasigeoid after adding the ATL03 tide-free-to-mean-tide term, which moves the six-station corrector by . SWOT PIXC heights are reduced by subtracting the solid-earth, load and pole tides that the product supplies but does not apply, never the geoid field, and then by the same quasigeoid. The residual permanent-tide term between a mean-tide crust and a zero-tide quasigeoid (1–4 cm at this latitude) is carried as its own line in the uncertainty budget.</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is primary and ordinary least squares the sensitivity check. One overpass is the independent unit: segments and beams within a pass share the atmosphere and the water state and are never treated as replicates. The pre/post contrast uses a bootstrap on the difference of medians, a two-sided permutation test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Bed reconstruction</w:t>
      </w:r>
    </w:p>
    <w:p>
      <w:pPr>
        <w:spacing w:line="360" w:lineRule="auto"/>
        <w:jc w:val="both"/>
      </w:pPr>
      <w:r>
        <w:t>For the reservoir, the bed is interpolated from soundings only (ordinary kriging, inverse distance, linear and radial-basis interpolators) on a 250 m canonical grid, pinned at the observed 5 June 2023 shoreline, and scored by spatially blocked cross-validation at 1 km, matched to the median sounding spacing. For the downstream zones the same design is repeated with three arms — soundings only, soundings with Sentinel-2 shoreline soft constraints, and soundings with p18 pseudo-points — and the arm is chosen on the soundings-only score.</w:t>
      </w:r>
    </w:p>
    <w:p>
      <w:pPr>
        <w:pStyle w:val="Heading1"/>
      </w:pPr>
      <w:r>
        <w:t>4.7 Sentinel-2 indices and surface classes</w:t>
      </w:r>
    </w:p>
    <w:p>
      <w:pPr>
        <w:spacing w:line="360" w:lineRule="auto"/>
        <w:jc w:val="both"/>
      </w:pPr>
      <w:r>
        <w:t>Seven indices are computed per date on the 20 m registry grid with the BOA offset applied and scene-classification masking; the ten-class rule uses NDVI thresholds of 0.15 and 0.30, NDMI 0.10 and BSI 0.10 with morphological cleaning. Classes are: open water, shallow or mixed water, wet sediment, dry bare sediment, sparse herbaceous, dense herbaceous, reed or flooded vegetation, built surface and ambiguous. Shrub and tree cover are not separable from herbaceous cover by these indices alone.</w:t>
      </w:r>
    </w:p>
    <w:p>
      <w:pPr>
        <w:pStyle w:val="Heading1"/>
      </w:pPr>
      <w:r>
        <w:t>4.8 Vegetation succession and first-event timing</w:t>
      </w:r>
    </w:p>
    <w:p>
      <w:pPr>
        <w:spacing w:line="360" w:lineRule="auto"/>
        <w:jc w:val="both"/>
      </w:pPr>
      <w:r>
        <w:t>On the former water surface (pool 2174.7 km²; former water surface 2107.0 km²; legacy land 55.0 km²) the mode class of each pixel is computed per leaf-on season, class shares are summarised per date and per year, transition matrices are formed between consecutive years, and the first date on which a pixel is seen non-water and vegetated is bracketed as an interval between consecutive valid observations. A 320-point stratified reference sample (40 per class) was drawn for a design-based accuracy assessment; it is not yet labelled.</w:t>
      </w:r>
    </w:p>
    <w:p>
      <w:pPr>
        <w:pStyle w:val="Heading1"/>
      </w:pPr>
      <w:r>
        <w:t>4.9 Woody cover</w:t>
      </w:r>
    </w:p>
    <w:p>
      <w:pPr>
        <w:spacing w:line="360" w:lineRule="auto"/>
        <w:jc w:val="both"/>
      </w:pPr>
      <w:r>
        <w:t>Dynamic World annual composites (2022–2024) supply the trees-plus-shrub probability and the label share on the same surface; the frozen 2022 composite is the pre-breach reference.</w:t>
      </w:r>
    </w:p>
    <w:p>
      <w:pPr>
        <w:pStyle w:val="Heading1"/>
      </w:pPr>
      <w:r>
        <w:t>4.10 Channel transects</w:t>
      </w:r>
    </w:p>
    <w:p>
      <w:pPr>
        <w:spacing w:line="360" w:lineRule="auto"/>
        <w:jc w:val="both"/>
      </w:pPr>
      <w:r>
        <w:t>321 SWORD nodes, 157 transects at 500 m, half-length 2500 m. On each date the water mask is intersected with each transect; the wetted width, the main-arm width and the number of arms are recorded, and dates are compared at matched Kherson stage.</w:t>
      </w:r>
    </w:p>
    <w:p>
      <w:pPr>
        <w:pStyle w:val="Heading1"/>
      </w:pPr>
      <w:r>
        <w:t>4.11 Sentinel-1 water masks</w:t>
      </w:r>
    </w:p>
    <w:p>
      <w:pPr>
        <w:spacing w:line="360" w:lineRule="auto"/>
        <w:jc w:val="both"/>
      </w:pPr>
      <w:r>
        <w:t>The baseline classifier is an anchored two-class Fisher discriminant on VV and VH with a midpoint cut and a 0.05 km² sieve. Variants add speckle filtering, majority filtering, minimum mapping units, same-orbit change detection, a terrain veto from FABDEM slope and height above nearest water, and — in a pilot — a logistic and a random-forest rejection stage evaluated leave-one-orbit-out against optical water.</w:t>
      </w:r>
    </w:p>
    <w:p>
      <w:pPr>
        <w:pStyle w:val="Heading1"/>
      </w:pPr>
      <w:r>
        <w:t>4.12 Roughness translation</w:t>
      </w:r>
    </w:p>
    <w:p>
      <w:pPr>
        <w:spacing w:line="360" w:lineRule="auto"/>
        <w:jc w:val="both"/>
      </w:pPr>
      <w:r>
        <w:t>Each pixel of a state map (breach 2023, first exposure 2023, 2024, 2025, and for the floodway 2026) is assigned one of eleven roughness classes from its surface class, hydroperiod and Dynamic World woody probability, and each class carries a low, base and high Manning n from published priors (Table 5). Area-weighted n and the change between states are computed per zone. No hydraulic observation enters this step.</w:t>
      </w:r>
    </w:p>
    <w:p>
      <w:pPr>
        <w:pStyle w:val="Heading1"/>
      </w:pPr>
      <w:r>
        <w:t>4.13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10,194 daily values transformed (grid sampler agrees with an independent implementation to 0.000 mm). 0.1715 to 0.2157 m (spread 44 mm; grid accuracy 0.068 m (EPSG registry)).</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+0.0264 m (satellite - gauge) (NMAD 0.0413 m; 95% CI [-0.0420, +0.0394]; median moves 8.4 cm across aggregation radii 0.5-5 km; n = 9).</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reservoir -0.130 m [-0.184, -0.081] (n=5 stations) vs Kherson +0.0051 m [-0.0515, +0.0608] (station-to-station NMAD 0.033 m; radius swing 1.8 cm (Rozumivka) and 5.0 cm (Kherson) over 1-10 km).</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5.10 Area-weighted exposure</w:t>
      </w:r>
    </w:p>
    <w:p>
      <w:pPr>
        <w:spacing w:line="360" w:lineRule="auto"/>
        <w:jc w:val="both"/>
      </w:pPr>
      <w:r>
        <w:t>whole mapped reservoir: historical 12.9% vs reconstructed 12.77% (diff -0.18 pp) (across interpolators 12.61-13.29% (spread 0.68 pp); by reach historical 3.9 / 9.4 / 26.0 % vs reconstructed 7.5 / 9.3 / 21.7 %). The historical fraction was used as validation, not calibration. The reconstructed bed also reproduces the published level–area curve (RMS area error 74 km2 (3.8% of mean area); median +1.7%) and the exposure fraction is converged with grid resolution (250 m -&gt; 12.77%; 50 m -&gt; 12.79%; 30 m -&gt; 12.79%).</w:t>
      </w:r>
    </w:p>
    <w:p>
      <w:pPr>
        <w:pStyle w:val="Heading1"/>
      </w:pPr>
      <w:r>
        <w:t>5.11 Downstream zone beds</w:t>
      </w:r>
    </w:p>
    <w:p>
      <w:pPr>
        <w:spacing w:line="360" w:lineRule="auto"/>
        <w:jc w:val="both"/>
      </w:pPr>
      <w:r>
        <w:t>In the delta, estuary and floodway the soundings-only arm wins in every zone: SND_ONLY / LINEAR: RMSE 2.31 m, bias +0.02 m, NMAD 1.67 m; SND_ONLY / OK: RMSE 2.62 m, bias +0.04 m, NMAD 2.27 m; SND_ONLY / LINEAR: RMSE 2.20 m, bias -0.07 m, NMAD 1.24 m. Shoreline soft constraints and pseudo-points add metre-scale positive bias where the near-shore band holds most of the soundings.</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The optical shoreline sits at the edge of the emergent-vegetation belt rather than at the water–land boundary, so the signal of level change is smaller than the position bias; the experiment is reported as a negative result.</w:t>
      </w:r>
    </w:p>
    <w:p>
      <w:pPr>
        <w:pStyle w:val="Heading1"/>
      </w:pPr>
      <w:r>
        <w:t>5.13 Shoreline elevation uncertainty</w:t>
      </w:r>
    </w:p>
    <w:p>
      <w:pPr>
        <w:spacing w:line="360" w:lineRule="auto"/>
        <w:jc w:val="both"/>
      </w:pPr>
      <w:r>
        <w:t>σ_total 0.193 m (σ_9902 0.068, σ_level_spread 0.11, σ_wind 0.09–0.09); reed-adjacent fraction 0.84. σ_total 0.375 m; reed-adjacent fraction 0.70.</w:t>
      </w:r>
    </w:p>
    <w:p>
      <w:pPr>
        <w:spacing w:line="360" w:lineRule="auto"/>
        <w:jc w:val="both"/>
      </w:pPr>
      <w:r>
        <w:rPr>
          <w:b/>
        </w:rPr>
        <w:t>Table 7. Bed-surface cross-validation and shoreline uncertainty by zone.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pStyle w:val="Heading1"/>
      </w:pPr>
      <w:r>
        <w:t>5.14 Sentinel-1 classifier validation</w:t>
      </w:r>
    </w:p>
    <w:p>
      <w:pPr>
        <w:spacing w:line="360" w:lineRule="auto"/>
        <w:jc w:val="both"/>
      </w:pPr>
      <w:r>
        <w:t>false-water proxy 0.200 of observed frame; Δrecall vs M3 -0.0007; guard pass True. Every change-detection variant fails the new-water recall guard in all four zones because the pre-event reference over bare sediment is itself dark. VRF precision 0.050 vs M3 0.012 at recall 0.735 (M3 0.733); AP 0.204. false-water rate median 0.181 (q25 0.124, q75 0.321); 377 km² median.</w:t>
      </w:r>
    </w:p>
    <w:p>
      <w:pPr>
        <w:pStyle w:val="Heading1"/>
      </w:pPr>
      <w:r>
        <w:t>5.15 Validation synthesis</w:t>
      </w:r>
    </w:p>
    <w:p>
      <w:pPr>
        <w:spacing w:line="360" w:lineRule="auto"/>
        <w:jc w:val="both"/>
      </w:pPr>
      <w:r>
        <w:t>Six independent checks were performed before any hydraulic or surface result was interpreted; one (the 5 April 2023 anomaly) failed and is reported as failed. The class maps of Section 6.9 have no accuracy assessment yet, and the roughness values of Section 6.12 have no hydraulic calibration; both are stated as such wherever they are used.</w:t>
      </w:r>
    </w:p>
    <w:p>
      <w:pPr>
        <w:pStyle w:val="Title"/>
      </w:pPr>
      <w:r>
        <w:t>6. HYDRAULIC AND SURFACE TRANSFORMATION RESULTS</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Drawdown</w:t>
      </w:r>
    </w:p>
    <w:p>
      <w:pPr>
        <w:spacing w:line="360" w:lineRule="auto"/>
        <w:jc w:val="both"/>
      </w:pPr>
      <w:r>
        <w:t>The five overpasses of July–September 2023 already carry the post-breach gradient: Theil-Sen median +3.245 cm/km (2023-07-07..2023-09-07) (n = 5). The structural change is therefore visible during the transient drainage itself, not only once the system had settled.</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Hydraulic-state comparison, pre- and post-breach.</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r>
        <w:tc>
          <w:tcPr>
            <w:tcW w:type="dxa" w:w="1440"/>
          </w:tcPr>
          <w:p>
            <w:r>
              <w:t>K1.1</w:t>
            </w:r>
          </w:p>
        </w:tc>
        <w:tc>
          <w:tcPr>
            <w:tcW w:type="dxa" w:w="1440"/>
          </w:tcPr>
          <w:p>
            <w:r>
              <w:t>Wetted width on 157 SWORD-node transects below the dam is larger after the breach on comparable late-summer dates at matched Kherson stage.</w:t>
            </w:r>
          </w:p>
        </w:tc>
        <w:tc>
          <w:tcPr>
            <w:tcW w:type="dxa" w:w="1440"/>
          </w:tcPr>
          <w:p>
            <w:r>
              <w:t>2025 median 690 m (p25 465, p75 895); main arm 560 m</w:t>
            </w:r>
          </w:p>
        </w:tc>
        <w:tc>
          <w:tcPr>
            <w:tcW w:type="dxa" w:w="1440"/>
          </w:tcPr>
          <w:p/>
        </w:tc>
        <w:tc>
          <w:tcPr>
            <w:tcW w:type="dxa" w:w="1440"/>
          </w:tcPr>
          <w:p>
            <w:r>
              <w:t>406 valid transect-dates on 4 dates; Kherson stage median -0.2 m</w:t>
            </w:r>
          </w:p>
        </w:tc>
        <w:tc>
          <w:tcPr>
            <w:tcW w:type="dxa" w:w="1440"/>
          </w:tcPr>
          <w:p>
            <w:r>
              <w:t>SUPPORTED_WITH_LIMITATION</w:t>
            </w:r>
          </w:p>
        </w:tc>
      </w:tr>
      <w:tr>
        <w:tc>
          <w:tcPr>
            <w:tcW w:type="dxa" w:w="1440"/>
          </w:tcPr>
          <w:p>
            <w:r>
              <w:t>N1.1</w:t>
            </w:r>
          </w:p>
        </w:tc>
        <w:tc>
          <w:tcPr>
            <w:tcW w:type="dxa" w:w="1440"/>
          </w:tcPr>
          <w:p>
            <w:r>
              <w:t>The area-weighted Manning n of the former pool roughly doubles between the breach state and 2025 as class areas move from open water to reed and young woody cover.</w:t>
            </w:r>
          </w:p>
        </w:tc>
        <w:tc>
          <w:tcPr>
            <w:tcW w:type="dxa" w:w="1440"/>
          </w:tcPr>
          <w:p>
            <w:r>
              <w:t>n 0.032 → 0.063; median Δn +0.035</w:t>
            </w:r>
          </w:p>
        </w:tc>
        <w:tc>
          <w:tcPr>
            <w:tcW w:type="dxa" w:w="1440"/>
          </w:tcPr>
          <w:p>
            <w:r>
              <w:t>share of area with Δn &gt; 0.02: 0.63; Δn &lt; −0.02: 0.004</w:t>
            </w:r>
          </w:p>
        </w:tc>
        <w:tc>
          <w:tcPr>
            <w:tcW w:type="dxa" w:w="1440"/>
          </w:tcPr>
          <w:p>
            <w:r>
              <w:t>2154 km²</w:t>
            </w:r>
          </w:p>
        </w:tc>
        <w:tc>
          <w:tcPr>
            <w:tcW w:type="dxa" w:w="1440"/>
          </w:tcPr>
          <w:p>
            <w:r>
              <w:t>SUPPORTED_WITH_LIMITATION</w:t>
            </w:r>
          </w:p>
        </w:tc>
      </w:tr>
    </w:tbl>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pStyle w:val="Heading1"/>
      </w:pPr>
      <w:r>
        <w:t>6.6 Planform transformation</w:t>
      </w:r>
    </w:p>
    <w:p>
      <w:pPr>
        <w:spacing w:line="360" w:lineRule="auto"/>
        <w:jc w:val="both"/>
      </w:pPr>
      <w:r>
        <w:t>Sentinel-2 water masks with a coverage gate show the transition from one continuous impounded surface to a channel with disconnected remnants: pre-breach 2023-06-05: 2 water bodies, 2,129 km2, largest component 99.995% of water area | post-breach median 503 bodies, 289 km2, largest component 58.2%. Only one pre-breach date has near-complete coverage, so this contrast is descriptive and carries no significance test; water-body counts are not reported because they scale with the observed fraction of the footprint.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Vegetation succession on the exposed bed</w:t>
      </w:r>
    </w:p>
    <w:p>
      <w:pPr>
        <w:spacing w:line="360" w:lineRule="auto"/>
        <w:jc w:val="both"/>
      </w:pPr>
      <w:r>
        <w:t>The former water surface — the pool polygon intersected with pre-breach mode water, pool 2174.7 km²; former water surface 2107.0 km²; legacy land 55.0 km² — was classified on every leaf-on Sentinel-2 date into ten surface classes. Median class shares by year moved from veg 26.9%, bare 25.6%, water 36.7% (2023) through veg 72.0%, bare 7.6%, water 16.6% (2024) to veg 83.8%, bare 4.0%, water 10.8% (2025) (per-date range veg 0.00–0.88; observed share 0.48). In mode-class areas the first season was dominated by open water and dry bare sediment (2023: open water 673, dry bare 612, sparse herb 166, reed 417 km²); by 2024 reed and flooded vegetation covered the largest area (2024: open water 212, dry bare 137, dense herb 159, reed 1031 km²); by 2025 dense herbaceous cover had expanded while open water and bare sediment collapsed (2025: open water 90, dry bare 38, dense herb 286, reed 686 km²). The transition matrices show where the vegetation came from: 2023→2025 (1258 km²): water→veg 407, sediment→veg 406, veg→veg 261, water→water 116 km²; between 2024 and 2025 persistence dominates (2024→2025 veg→veg 847 of 1214 km²).</w:t>
      </w:r>
    </w:p>
    <w:p>
      <w:pPr>
        <w:spacing w:line="360" w:lineRule="auto"/>
        <w:jc w:val="both"/>
      </w:pPr>
      <w:r>
        <w:rPr>
          <w:b/>
        </w:rPr>
        <w:t>Table 6. Surface-class areas of the former water surface by year / state (km²).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These are measured class shares and areas. They carry no accuracy statement: the 320-point stratified reference sample designed for this purpose has not yet been labelled, and until it is, no error-adjusted area or per-class accuracy is admissible.</w:t>
      </w:r>
    </w:p>
    <w:p>
      <w:pPr>
        <w:pStyle w:val="Heading1"/>
      </w:pPr>
      <w:r>
        <w:t>6.10 Woody encroachment</w:t>
      </w:r>
    </w:p>
    <w:p>
      <w:pPr>
        <w:spacing w:line="360" w:lineRule="auto"/>
        <w:jc w:val="both"/>
      </w:pPr>
      <w:r>
        <w:t xml:space="preserve">Spectral-index thresholds cannot separate shrub or tree cover from herbaceous cover, so woody encroachment was followed with Dynamic World probabilities on the same former water surface: share woody prob ≥0.3: 0.03% (2022) → 0.31% (2023) → 25.2% (2024); 'trees' label 2024 21.8% (mean trees+shrub prob 0.071 → 0.217; share ≥0.5 stays 0.29%). Independently, the number of ICESat-2 20 m canopy segments passing quality control over the former pool rose (canopy_ok 20 m: 164 (2023) → 2165 (2024)), and the ATL08 canopy-height distribution over the zones is low and right-skewed (h_canopy p50 1.58 m, p95 11.87 m). Canopy-height </w:t>
      </w:r>
      <w:r>
        <w:rPr>
          <w:i/>
        </w:rPr>
        <w:t>change</w:t>
      </w:r>
      <w:r>
        <w:t xml:space="preserve"> is not identifiable from ICESat-2 with the current track geometry (Section 7.10).</w:t>
      </w:r>
    </w:p>
    <w:p>
      <w:pPr>
        <w:pStyle w:val="Heading1"/>
      </w:pPr>
      <w:r>
        <w:t>6.11 Channel widening below the dam</w:t>
      </w:r>
    </w:p>
    <w:p>
      <w:pPr>
        <w:spacing w:line="360" w:lineRule="auto"/>
        <w:jc w:val="both"/>
      </w:pPr>
      <w:r>
        <w:t>On 321 SWORD nodes, 157 transects at 500 m, half-length 2500 m, the wetted width of the channel between the dam and Kherson was measured on every usable Sentinel-1/-2 date from 2017 to 2026. On comparable late-summer dates at Kherson stages within 0.5 m, the width is larger after the breach: 2025 median 690 m (p25 465, p75 895); main arm 560 m against the pre-breach 2019 median 580 m; main arm 500 m; Kherson stage 0.2 m. The breach year shows transient braiding: 2023 median 720 m; main arm 560 m; n_arms median 2. The water contour is not the geomorphic bank, and bank displacement relative to the September 2023 reference stays at the 40 m detection limit, so the widening is a statement about the wetted surface at matched stage.</w:t>
      </w:r>
    </w:p>
    <w:p>
      <w:pPr>
        <w:pStyle w:val="Heading1"/>
      </w:pPr>
      <w:r>
        <w:t>6.12 Roughness translation</w:t>
      </w:r>
    </w:p>
    <w:p>
      <w:pPr>
        <w:spacing w:line="360" w:lineRule="auto"/>
        <w:jc w:val="both"/>
      </w:pPr>
      <w:r>
        <w:t>Each surface class was assigned a Manning n range from published priors (Table 5) and the class maps were translated state by state. For the former pool the area-weighted n moved from n 0.032 → 0.063; median Δn +0.035, with share of area with Δn &gt; 0.02: 0.63; Δn &lt; −0.02: 0.004; the first step at exposure was small (n 0.032 → 0.042) and the large step came with the 2024 reed expansion (n 0.041 → 0.060; share Δn &gt; 0.02 0.45). In the 2025 state the largest classes are reed 739, young woody dense 472, dense herb 343, open water 174 km², against a breach state that was open water 2101 of valid 2162 km²; mature woody legacy 30 km². The floodway below the dam also roughens: n 0.069 → 0.067; share Δn &gt; 0.02 0.05. These values are a translation of class change through literature priors; no hydraulic observation has calibrated them.</w:t>
      </w:r>
    </w:p>
    <w:p>
      <w:pPr>
        <w:spacing w:line="360" w:lineRule="auto"/>
        <w:jc w:val="both"/>
      </w:pPr>
      <w:r>
        <w:rPr>
          <w:b/>
        </w:rPr>
        <w:t>Table 5. Manning roughness priors per surface class (literature-supported, not calibrated).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6.13 Exposure and first-vegetation timing</w:t>
      </w:r>
    </w:p>
    <w:p>
      <w:pPr>
        <w:spacing w:line="360" w:lineRule="auto"/>
        <w:jc w:val="both"/>
      </w:pPr>
      <w:r>
        <w:t>An interval-censored first-event analysis on the Sentinel-2 series gives the timing of exposure and of first vegetation: exposed by series end 2031 km² (censored 76); vegetated 1925 km² (censored 182); exposure hi-quantiles (d) [29.0, 29.0, 29.0, 82.0, 94.0]; vegetation hi-quantiles (d) [29.0, 72.0, 94.0, 109.0, 424.0] (interval width median 30 d (exposure) / 30 d (vegetation)). Ninety per cent of the surface that was ever seen non-water had been exposed within about three months of the breach, and most of it was seen vegetated within the first season, with a long tail into 2024.</w:t>
      </w:r>
    </w:p>
    <w:p>
      <w:pPr>
        <w:pStyle w:val="Title"/>
      </w:pPr>
      <w:r>
        <w:t>7. DISCUSSION</w:t>
      </w:r>
    </w:p>
    <w:p>
      <w:pPr>
        <w:pStyle w:val="Heading1"/>
      </w:pPr>
      <w:r>
        <w:t>7.1 From a reservoir-like to a river-dominated regime</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7.10).</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Succession, roughness and conveyance</w:t>
      </w:r>
    </w:p>
    <w:p>
      <w:pPr>
        <w:spacing w:line="360" w:lineRule="auto"/>
        <w:jc w:val="both"/>
      </w:pPr>
      <w:r>
        <w:t>Two seasons turned most of the former water surface into reed, herbaceous cover and young willow, and a translation through published priors roughly doubles the area-weighted Manning n of the pool (n 0.032 → 0.063; median Δn +0.035). The floodplain forest documented in the field ((Didukh et al., 2024)) is the class whose n prior is widest (n_low 0.07 / n_base 0.1 / n_high 0.16; confidence low). Any hydraulic reconstruction of the breach flood or of future floods that assumes the roughness of open water or bare sediment over this surface will understate stage; how much is a question for a calibrated model, which this study does not provide.</w:t>
      </w:r>
    </w:p>
    <w:p>
      <w:pPr>
        <w:pStyle w:val="Heading1"/>
      </w:pPr>
      <w:r>
        <w:t>7.7 The channel below the dam</w:t>
      </w:r>
    </w:p>
    <w:p>
      <w:pPr>
        <w:spacing w:line="360" w:lineRule="auto"/>
        <w:jc w:val="both"/>
      </w:pPr>
      <w:r>
        <w:t>A wider wetted surface at matched stage, transient braiding in the weeks after the breach, and bank displacement below the detection limit describe an adjusting reach whose geomorphic bank has not yet been measured; the precedent from dam-removal reaches elsewhere is withheld until Section 7.8 can be written.</w:t>
      </w:r>
    </w:p>
    <w:p>
      <w:pPr>
        <w:pStyle w:val="Heading1"/>
      </w:pPr>
      <w:r>
        <w:t>7.8 Comparison with literature</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 and reconstruction</w:t>
      </w:r>
    </w:p>
    <w:p>
      <w:pPr>
        <w:spacing w:line="360" w:lineRule="auto"/>
        <w:jc w:val="both"/>
      </w:pPr>
      <w:r>
        <w:t>The quantities that change first and persist — slope, heterogeneity, class areas, roughness — are all derivable from open satellite archives once a vertical frame is fixed and a coverage gate is enforced; the quantities that cannot yet be derived — post-breach discharge, canopy growth, class accuracy — name the observations still needed.</w:t>
      </w:r>
    </w:p>
    <w:p>
      <w:pPr>
        <w:pStyle w:val="Heading1"/>
      </w:pPr>
      <w:r>
        <w:t>7.10 Limitations</w:t>
      </w:r>
    </w:p>
    <w:p>
      <w:pPr>
        <w:spacing w:line="360" w:lineRule="auto"/>
        <w:jc w:val="both"/>
      </w:pPr>
      <w:r>
        <w:t xml:space="preserve">The channel-restricted slope control is underpowered (Theil-Sen difference +1.109 cm/km, 95% CI [-0.086, +2.186]). The slope–discharge relation after the breach is not testable: . Canopy-height change is not identifiable (one pair RGT 167→1211 (2023→2025), dh -3.15 m at 17.2 m separation). The surface classes carry no accuracy assessment until the stratified sample is labelled, and no Manning value is hydraulically calibrated. The survey epoch of the soundings is unrecorded (no epoch), the Baltic realisation of the historical tables is unstated, three co-located SWOT–ICESat-2 overpasses exist, no wind record covers the 5 April 2023 anomaly, and Dynamic World composites for 2025–2026 are missing. The 1′×1′ EGG2015 raster has no citable upstream source; this is a citation problem, not a numerical one, and it blocks submission until resolved. &gt; </w:t>
      </w:r>
      <w:r>
        <w:rPr>
          <w:b/>
        </w:rPr>
        <w:t>[PENDING OPEN99]</w:t>
      </w:r>
      <w:r>
        <w:t xml:space="preserve"> EGG2015 provenance (G2) unresolved</w:t>
      </w:r>
    </w:p>
    <w:p>
      <w:pPr>
        <w:spacing w:line="360" w:lineRule="auto"/>
        <w:jc w:val="both"/>
      </w:pPr>
      <w:r>
        <w:t>&gt; `backs: G2` · `section: 7.10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The soundings-only bed reproduces the historical drawdown exposure (whole mapped reservoir: historical 12.9% vs reconstructed 12.77% (diff -0.18 pp)), and in the downstream zones shoreline constraints degrade rather than improve the bed (SND_ONLY / LINEAR: RMSE 2.20 m, bias -0.07 m, NMAD 1.24 m). On the exposed surface the vegetated share rose to veg 83.8%, bare 4.0%, water 10.8% (2025), woody probability reached share woody prob ≥0.3: 0.03% (2022) → 0.31% (2023) → 25.2% (2024); 'trees' label 2024 21.8%, and the translated roughness moved from n 0.032 → 0.063; median Δn +0.035; below the dam the wetted width at matched stage is 2025 median 690 m (p25 465, p75 895); main arm 560 m. What the data cannot yet say — a post-breach slope–discharge law, canopy growth, class accuracy, calibrated roughness — is stated as such.</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