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impounded pool to river: water-surface geometry and post-breach hydraulic transformation of the former Kakhovka Reservoir</w:t>
      </w:r>
    </w:p>
    <w:p>
      <w:pPr>
        <w:pStyle w:val="Heading1"/>
      </w:pPr>
      <w:r>
        <w:t>ABSTRACT</w:t>
      </w:r>
    </w:p>
    <w:p>
      <w:pPr>
        <w:spacing w:line="360" w:lineRule="auto"/>
        <w:jc w:val="both"/>
      </w:pPr>
      <w:r>
        <w:rPr>
          <w:b/>
        </w:rPr>
        <w:t>Background.</w:t>
      </w:r>
      <w:r>
        <w:t xml:space="preserve"> Руйнування греблі Каховського водосховища 6  червня 2023 d призвело до спорожнення 2 155 km² водосховища на нижньому Дніпрі протягом кількох днів. Чи поводиться залишкова система тепер як річка, яким руслом вона тече і як поверхня, що оголилася, змінює опір потоку — це питання, на які часові ряди площі водного дзеркала не можуть дати відповіді. Вони потребують геометрії водної поверхні, опису дна та поверхні, які є сумірними в одній вертикальній системі відліку.</w:t>
      </w:r>
    </w:p>
    <w:p>
      <w:pPr>
        <w:spacing w:line="360" w:lineRule="auto"/>
        <w:jc w:val="both"/>
      </w:pPr>
      <w:r>
        <w:rPr>
          <w:b/>
        </w:rPr>
        <w:t>Методи.</w:t>
      </w:r>
      <w:r>
        <w:t xml:space="preserve"> Сім гідрологічних постів, лазерна альтиметрія ICESat-2 ATL13 , радарна інтерферометрія SWOT PIXC/RiverSP та архівні дані навігаційних карт зведені до нормальних висот EVRF2019  через квазігеоїд EGG2015  та операцію EPSG:9902 , при цьому конвенція постійного припливу кожного продукту врахована явно. Поздовжні ухили водної поверхні для кожного прольоту оцінюються за допомогою робастного (оцінювач Тейла–Сена) підгону, де один проліт є незалежною одиницею спостереження. Дно реконструюється за даними промірів глибин виключно в межах просторової блокової крос-валідації та перевіряється за історичною статистикою оголеного дна під час спрацювання. Класи поверхні, нанесені на знімки Sentinel-2 d у період вегетації, з урахуванням імовірностей деревно-чагарникового покриву Dynamic World, перетворюються на гідравлічно інтерпретований шар коефіцієнта шорсткості Маннінга (n) за допомогою опублікованих апріорних даних; ширина русла нижче греблі вимірюється на 157  трансектах при відповідному рівні води нижче за течією.</w:t>
      </w:r>
    </w:p>
    <w:p>
      <w:pPr>
        <w:spacing w:line="360" w:lineRule="auto"/>
        <w:jc w:val="both"/>
      </w:pPr>
      <w:r>
        <w:rPr>
          <w:b/>
        </w:rPr>
        <w:t>Результати.</w:t>
      </w:r>
      <w:r>
        <w:t xml:space="preserve"> У межах площі колишнього водосховища ухил на один проліт змінився з медіани Тейла–Сена +0.090 cm/km до -&gt; +3.314 cm/km після; різниця +3.223 cm/km (95 % ДІ 95% ДІ [+1.994, +5.071] см/км; перестановочний тест p = 1.00e-04; тест Манна–Вітні p = 3.92e-05; додатні ухили до 10/14  (знаковий тест p = 0.180) проти після 14/14  (p = 1.22e-04)), а неоднорідність висоти водної поверхні в межах прольоту зросла з 0.117 m -&gt; 0.397 m, різниця +0.280 m. Реконструкція дна лише за даними промірів глибин відтворює історичне оголене дно внаслідок спрацювання (усе закартоване водосховище: історичне 12.9% проти реконструйованого 12.77% (різниця -0.18 pp)), а в зонах нижче за течією інтерполяція лише за даними промірів глибин перевершує кожен варіант з обмеженням береговою лінією (SND_ONLY / LINEAR: СКП (RMSE) 2.20 m, зміщення -0.07 m, NMAD 1.24 m). На колишній водній поверхні частка рослинності зросла до veg 83.8%, оголена ділянка 4.0%, вода 10.8% (2025) після veg 26.9%, оголена ділянка 25.6%, вода 36.7% (2023); згідно з літературними апріорними даними, зважена за площею шорсткість поверхні змінилася з n 0.032 → 0.063; медіана Δn +0.035  — похідна, а не калібрована величина. Нижче греблі ширина змоченого перерізу при відповідному рівні води становить 2025 median 690 m (p25 465, p75 895); головний рукав 560 m проти 2019 median 580 m; головний рукав 500 m; рівень води в Херсоні 0.2 m.</w:t>
      </w:r>
    </w:p>
    <w:p>
      <w:pPr>
        <w:spacing w:line="360" w:lineRule="auto"/>
        <w:jc w:val="both"/>
      </w:pPr>
      <w:r>
        <w:rPr>
          <w:b/>
        </w:rPr>
        <w:t>Висновки.</w:t>
      </w:r>
      <w:r>
        <w:t xml:space="preserve"> Водосховище не просто скоротилося: його водна поверхня набула стійкого поздовжнього градієнта в напрямку нижнього Дніпра, його дно тепер є заплавою, що заростає, картографована поверхня якої передбачає приблизно вдвічі більший опір потоку, ніж відкрита вода, а русло нижче за прорив греблі стало ширшим. Кожне твердження ґрунтується на виміряній величині із зазначеною невизначеністю; там, де величину неможливо виміряти наявними даними — закон залежності ухилу від витрати води після прориву греблі, зміна висоти пологу, точність класифікації, калібрований коефіцієнт шорсткості Маннінга (n) — у рукописі про це сказано прямо, замість того щоб робити висновки.</w:t>
      </w:r>
    </w:p>
    <w:p>
      <w:pPr>
        <w:spacing w:line="360" w:lineRule="auto"/>
        <w:jc w:val="both"/>
      </w:pPr>
      <w:r>
        <w:rPr>
          <w:b/>
        </w:rPr>
        <w:t>Ключові слова:</w:t>
      </w:r>
      <w:r>
        <w:t xml:space="preserve"> супутникова альтиметрія; ICESat-2; SWOT; вертикальна система відліку; EVRF2019; спрацювання водосховища; реконструкція дна; шорсткість поверхні; ширина русла; Каховське водосховище</w:t>
      </w:r>
    </w:p>
    <w:p>
      <w:pPr>
        <w:pStyle w:val="Title"/>
      </w:pPr>
      <w:r>
        <w:t>1. INTRODUCTION</w:t>
      </w:r>
    </w:p>
    <w:p>
      <w:pPr>
        <w:pStyle w:val="Heading1"/>
      </w:pPr>
      <w:r>
        <w:t>1.1 The Kakhovka Reservoir and the 2023 dam breach</w:t>
      </w:r>
    </w:p>
    <w:p>
      <w:pPr>
        <w:spacing w:line="360" w:lineRule="auto"/>
        <w:jc w:val="both"/>
      </w:pPr>
      <w:r>
        <w:t>Каховське водосховище було найнижчим у Дніпровському каскаді: при його нормальному підпірному рівні (НПР) 16.00 m (Балтійська система висот 1977 р. (БС-77)) воно вміщувало 18.19 km³ на площі 2 155 km², з рівнем навігаційного спрацювання (УНС) 14.00 m та рівнем мертвого об'єму 12.7 m, як зазначено в оригінальній проектній документації. 6  червня 2023  року стався прорив греблі, і водойма спорожніла протягом кількох днів. Залишилася річка, що тече своїм колишнім руслом, низка роз'єднаних залишкових водойм та близько двох тисяч квадратних кілометрів свіжооголених відкладень.</w:t>
      </w:r>
    </w:p>
    <w:p>
      <w:pPr>
        <w:pStyle w:val="Heading1"/>
      </w:pPr>
      <w:r>
        <w:t>1.2 Why water area is not enough</w:t>
      </w:r>
    </w:p>
    <w:p>
      <w:pPr>
        <w:spacing w:line="360" w:lineRule="auto"/>
        <w:jc w:val="both"/>
      </w:pPr>
      <w:r>
        <w:t xml:space="preserve">Дослідження ділянки після прориву греблі характеризували цю подію переважно через планові показники — площу водного дзеркала, площу оголеного дна та їхні зміни. &gt; </w:t>
      </w:r>
      <w:r>
        <w:rPr>
          <w:b/>
        </w:rPr>
        <w:t>[PENDING OPEN41]</w:t>
      </w:r>
      <w:r>
        <w:t xml:space="preserve"> §7.8 literature claim LK1.1/LK1.2 not yet supportable (RETRIEVAL_UNVALIDATED)</w:t>
      </w:r>
    </w:p>
    <w:p>
      <w:pPr>
        <w:spacing w:line="360" w:lineRule="auto"/>
        <w:jc w:val="both"/>
      </w:pPr>
      <w:r>
        <w:t>&gt; `backs: M1.1,M3.1` · `section: 1.2 Why water area is not enough`</w:t>
      </w:r>
    </w:p>
    <w:p>
      <w:pPr>
        <w:spacing w:line="360" w:lineRule="auto"/>
        <w:jc w:val="both"/>
      </w:pPr>
      <w:r>
        <w:t>&gt; `unblock_by: verify hold-out positive controls for T03, T19; run --step retrieve, calibrate, gate` · `status: blocked`</w:t>
      </w:r>
    </w:p>
    <w:p>
      <w:pPr>
        <w:spacing w:line="360" w:lineRule="auto"/>
        <w:jc w:val="both"/>
      </w:pPr>
      <w:r>
        <w:t>&gt; `blocks_submission: yes` Однакові площі водного дзеркала можуть відповідати принципово різним гідравлічним режимам: спокійна водойма та русло з ухилом водної поверхні можуть займати однакову площу. Зміна режиму — це зміна геометрії водної поверхні, і її виявлення потребує значень висоти, які є порівнюваними між різними сенсорами та епохами.</w:t>
      </w:r>
    </w:p>
    <w:p>
      <w:pPr>
        <w:pStyle w:val="Heading1"/>
      </w:pPr>
      <w:r>
        <w:t>1.3 Longitudinal water-surface geometry from spatial altimetry</w:t>
      </w:r>
    </w:p>
    <w:p>
      <w:pPr>
        <w:spacing w:line="360" w:lineRule="auto"/>
        <w:jc w:val="both"/>
      </w:pPr>
      <w:r>
        <w:t>Фотонінний лідар ICESat-2  та Ka-діапазонна інтерферометрія SWOT дозволяють спостерігати висоту водної поверхні вздовж траєкторій та в межах смуг огляду, а не на віртуальних станціях, тому вони можуть безпосередньо визначати поздовжній градієнт ділянки — за умови, що тисячі вимірювань вздовж траєкторії з одного прольоту не сприймаються помилково як тисячі незалежних одиниць спостереження, і за умови, що висоти, наведені для різних еліпсоїдів, геоїдів та систем постійного припливу, зведені до однієї системи відліку перед їх порівнянням.</w:t>
      </w:r>
    </w:p>
    <w:p>
      <w:pPr>
        <w:pStyle w:val="Heading1"/>
      </w:pPr>
      <w:r>
        <w:t>1.4 The vertical reference as the enabling step</w:t>
      </w:r>
    </w:p>
    <w:p>
      <w:pPr>
        <w:spacing w:line="360" w:lineRule="auto"/>
        <w:jc w:val="both"/>
      </w:pPr>
      <w:r>
        <w:t>Рівні води на гідрологічних постах у Балтійській системі висот 1977, , висоти ICESat -2 h у безприпливній еліпсоїдальній системі, висоти SWOT із наданими, але не застосованими полями припливів, а також застарілі дані зйомки, зведені до робочого рівня, — це чотири поверхні. Корекції між ними мають той самий порядок, що й гідравлічний сигнал, який досліджується — сантиметри на кілометр на десятках кілометрів, — тому гармонізація є не допоміжною процедурою попередньої обробки, а самим методом.</w:t>
      </w:r>
    </w:p>
    <w:p>
      <w:pPr>
        <w:pStyle w:val="Heading1"/>
      </w:pPr>
      <w:r>
        <w:t>1.5 The exposed bed: succession, roughness and conveyance</w:t>
      </w:r>
    </w:p>
    <w:p>
      <w:pPr>
        <w:spacing w:line="360" w:lineRule="auto"/>
        <w:jc w:val="both"/>
      </w:pPr>
      <w:r>
        <w:t>Осушене ложе водосховища є також новою заплавою. Польові дослідження в перші сезони після прориву греблі задокументували швидку колонізацію ложа, де домінує верба ((Kuzemko et al., 2025); (Didukh et al., 2024)). Чого ці дослідження не надають, так це багаторічних серій даних щодо площі та перехідних станів усього ложа, або перерахунку новоутвореного покриву в гідравлічну шорсткість, яку має враховувати будь-яка реконструкція повені внаслідок прориву греблі або майбутніх повеней. Коефіцієнт шорсткості Маннінга (n) для заліснених заплав має тривалу історію апріорних значень у літературі ((Arcement &amp; Schneider, 1989); (Järvelä, 2004)), а перетворення карти класів у поле n є стандартною практикою у двовимірному моделюванні; що не є стандартним, так це виконання цього на поверхні, яка за два роки змінюється від відкритої води до очерету та молодого лісу.</w:t>
      </w:r>
    </w:p>
    <w:p>
      <w:pPr>
        <w:pStyle w:val="Heading1"/>
      </w:pPr>
      <w:r>
        <w:t>1.6 Objectives</w:t>
      </w:r>
    </w:p>
    <w:p>
      <w:pPr>
        <w:spacing w:line="360" w:lineRule="auto"/>
        <w:jc w:val="both"/>
      </w:pPr>
      <w:r>
        <w:t>У цій статті розглядаються чотири питання. (i) Чи змінився гідравлічний режим водної поверхні в межах колишнього Каховського водосховища і чи зберігається ця зміна? (ii) Чи можна спільно використовувати дані SWOT та ICESat-2  після гармонізації їхніх вертикальних систем відліку, і чи обмежують застарілі гідрографічні дані як стан поверхні до прориву греблі, так і реконструйоване дно? (iii) Як змінилися оголене дно, деревно-чагарниковий покрив та русло нижче греблі протягом 2023–2025? (iv) Що відображена трансформація поверхні означає для опору потоку нової заплави з огляду на опубліковані апріорні значення коефіцієнта шорсткості Маннінга (n)? Там, де дані не дають відповіді — співвідношення ухил–витрата води після прориву греблі, зміна висоти пологу, точність класів поверхні — у статті зазначається обмеження замість виведення відповіді.</w:t>
      </w:r>
    </w:p>
    <w:p>
      <w:pPr>
        <w:pStyle w:val="Title"/>
      </w:pPr>
      <w:r>
        <w:t>2. STUDY AREA AND OBSERVATION GEOMETRY</w:t>
      </w:r>
    </w:p>
    <w:p>
      <w:pPr>
        <w:spacing w:line="360" w:lineRule="auto"/>
        <w:jc w:val="both"/>
      </w:pPr>
      <w:r>
        <w:t>Досліджувана система зареєстрована у чотирьох зонах аналізу, визначених один раз у реєстрі геометрії та завантажуваних кожним скриптом: ZONE_1  (колишнє Каховське водосховище та нижній Дніпро, 11 412 km², з ядром водосховища 2 144 km²), ZONE_2  (Херсонська дельта, 1 677 km²), ZONE_3  (Дніпровсько-Бузький лиман, 7 621 km²) та ZONE_4  (русло від греблі до Херсона, визначене як контур затоплення за даними Sentinel -1  у червні 2023  плюс буфер 1 km, 695 km²). Пікетаж для профілів водосховища вимірюється від греблі вздовж осьової лінії водосховища; історичні межі ділянок згідно з проектною документацією нанесені на неї там, де це дозволяють прив'язки — це обмеження, оскільки лише дві з п'яти прив'язок є придатними для використання (співвідношення ~1.36  у двох незалежних одиницях спостереження; залишок ~30 km ізольований для ділянки 1) — а ділянка 5  лежить за межами картографованої області. Орбіта калібрувальної фази SWOT ніколи не охоплювала акваторію, тому SWOT входить у це дослідження лише нижче за течією в районі Херсона.</w:t>
      </w:r>
    </w:p>
    <w:p>
      <w:pPr>
        <w:spacing w:line="360" w:lineRule="auto"/>
        <w:jc w:val="both"/>
      </w:pPr>
      <w:r>
        <w:t xml:space="preserve">&gt; </w:t>
      </w:r>
      <w:r>
        <w:rPr>
          <w:b/>
        </w:rPr>
        <w:t>[PENDING FIG01]</w:t>
      </w:r>
      <w:r>
        <w:t xml:space="preserve"> Figure 1 — study system, gauges, zones, ICESat-2 tracks by period, SWOT coverage</w:t>
      </w:r>
    </w:p>
    <w:p>
      <w:pPr>
        <w:spacing w:line="360" w:lineRule="auto"/>
        <w:jc w:val="both"/>
      </w:pPr>
      <w:r>
        <w:t>&gt; `backs: V1.3,M1.1` · `section: 2 Study area`</w:t>
      </w:r>
    </w:p>
    <w:p>
      <w:pPr>
        <w:spacing w:line="360" w:lineRule="auto"/>
        <w:jc w:val="both"/>
      </w:pPr>
      <w:r>
        <w:t>&gt; `produces: SWOT-DNIPRO scripts (V0 gauge network + SFig01 + Fig12 composite)` · `status: not_started`</w:t>
      </w:r>
    </w:p>
    <w:p>
      <w:pPr>
        <w:spacing w:line="360" w:lineRule="auto"/>
        <w:jc w:val="both"/>
      </w:pPr>
      <w:r>
        <w:t>&gt; `blocks_submission: yes`</w:t>
      </w:r>
    </w:p>
    <w:p>
      <w:pPr>
        <w:pStyle w:val="Title"/>
      </w:pPr>
      <w:r>
        <w:t>3. DATA</w:t>
      </w:r>
    </w:p>
    <w:p>
      <w:pPr>
        <w:pStyle w:val="Heading1"/>
      </w:pPr>
      <w:r>
        <w:t>3.1 Gauges and sea posts</w:t>
      </w:r>
    </w:p>
    <w:p>
      <w:pPr>
        <w:spacing w:line="360" w:lineRule="auto"/>
        <w:jc w:val="both"/>
      </w:pPr>
      <w:r>
        <w:t xml:space="preserve">&gt; </w:t>
      </w:r>
      <w:r>
        <w:rPr>
          <w:b/>
        </w:rPr>
        <w:t>[PENDING OPEN91]</w:t>
      </w:r>
      <w:r>
        <w:t xml:space="preserve"> translation rejected: locked tokens did not round-trip; English kept</w:t>
      </w:r>
    </w:p>
    <w:p>
      <w:pPr>
        <w:spacing w:line="360" w:lineRule="auto"/>
        <w:jc w:val="both"/>
      </w:pPr>
      <w:r>
        <w:t>&gt; `section: paragraph 25` · `status: blocked`</w:t>
      </w:r>
    </w:p>
    <w:p>
      <w:pPr>
        <w:spacing w:line="360" w:lineRule="auto"/>
        <w:jc w:val="both"/>
      </w:pPr>
      <w:r>
        <w:t>&gt; `blocks_submission: yes`</w:t>
      </w:r>
    </w:p>
    <w:p>
      <w:pPr>
        <w:spacing w:line="360" w:lineRule="auto"/>
        <w:jc w:val="both"/>
      </w:pPr>
      <w:r>
        <w:t>Six reservoir gauges share a zero of 12.000 m BS-77 and the Kherson post 80805 sits at −5.000 m BS-77 (reservoir 12.000 m BS-77; Kherson -5.000 m BS-77); the reservoir series end on 31 December 2021 and Kherson runs daily through 2025. The 2023 UkrHMI yearbooks for the seas and river mouths add the estuary posts, extracted grid by grid and checked against the printed monthly statistics; at Ochakiv the breach surge appears as annual max 573 cm on 8.06, mean 487 cm, min 444 cm.</w:t>
      </w:r>
    </w:p>
    <w:p>
      <w:pPr>
        <w:pStyle w:val="Heading1"/>
      </w:pPr>
      <w:r>
        <w:t>3.2 ICESat-2 ATL13 and ATL08</w:t>
      </w:r>
    </w:p>
    <w:p>
      <w:pPr>
        <w:spacing w:line="360" w:lineRule="auto"/>
        <w:jc w:val="both"/>
      </w:pPr>
      <w:r>
        <w:t>Висоти водної поверхні ATL13 v7  (ITRF2020, , безприпливна система) використовуються у трьох вибірках, які не слід плутати: вибірка ухилу (14 до прориву греблі, 5 dспрацювання та 14 після прориву греблі прольоти з пікетажем щонайменше 20 km), вибірка неоднорідності (усі дати ATL13 d у межах сліду, 192 до та 23 після) та вибірка оголеного дна (28 треки). Сегменти рельєфу та рослинного покриву ATL08  на 100 m та 20 m були накладені на всі чотири зони (280489 canopy_ok з 1335986 сегментів (100 m)).</w:t>
      </w:r>
    </w:p>
    <w:p>
      <w:pPr>
        <w:pStyle w:val="Heading1"/>
      </w:pPr>
      <w:r>
        <w:t>3.3 SWOT</w:t>
      </w:r>
    </w:p>
    <w:p>
      <w:pPr>
        <w:spacing w:line="360" w:lineRule="auto"/>
        <w:jc w:val="both"/>
      </w:pPr>
      <w:r>
        <w:t>Гранули SWOT PIXC та RiverSP над Херсоном (цикли 482, 511  та 521,  квітень–травень 2023) забезпечують крос-сенсорну та гідрологічну валідацію за даними гідрологічних постів. Архів LakeSP, обрізаний за межами України, існує, але тут не використовується: усереднений для озера продукт є фізично недоречним для водойми, що має ухил водної поверхні та фрагментується.</w:t>
      </w:r>
    </w:p>
    <w:p>
      <w:pPr>
        <w:pStyle w:val="Heading1"/>
      </w:pPr>
      <w:r>
        <w:t>3.4 Sentinel-2 and Sentinel-1</w:t>
      </w:r>
    </w:p>
    <w:p>
      <w:pPr>
        <w:spacing w:line="360" w:lineRule="auto"/>
        <w:jc w:val="both"/>
      </w:pPr>
      <w:r>
        <w:t>Сцени Sentinel-2 L2A були оброблені на реєстровій сітці 20 m (EPSG:32636) із застосуванням адитивного зміщення BOA, з отриманням семи індексів (NDVI, NDWI, MNDWI, NDMI, BSI, AWEIsh, NDTI), десятикласової класифікації поверхні та композитів режиму для кожної зони; 53 dates охоплюють колишню акваторію. Дані Sentinel-1 RTC γ⁰ (VV, VH) забезпечують маски води для трансект русла (Розділ 4.7; Додаткові методи S2). Річні композити Dynamic World за 2022–2024 , а також ухил, отриманий з FABDEM, і висота над найближчим водним об'єктом доповнюють шари поверхні.</w:t>
      </w:r>
    </w:p>
    <w:p>
      <w:pPr>
        <w:pStyle w:val="Heading1"/>
      </w:pPr>
      <w:r>
        <w:t>3.5 Legacy hydrography</w:t>
      </w:r>
    </w:p>
    <w:p>
      <w:pPr>
        <w:spacing w:line="360" w:lineRule="auto"/>
        <w:jc w:val="both"/>
      </w:pPr>
      <w:r>
        <w:t>Вісім сфотографованих сторінок монографії про Дніпровські водосховища (Таблиці 19–21, , Рисунки 13–16) та проміри глибин на картах 7 514 S-57 є історичними джерелами; епоха зйомки промірів не зафіксована, що є обмеженням, яке унеможливлює визначення будь-якої швидкості зміни дна (відсутність епохи). Який рівень редукції мають ці проміри, у джерелі не зазначено і встановлюється у Розділі 5.7..</w:t>
      </w:r>
    </w:p>
    <w:p>
      <w:pPr>
        <w:pStyle w:val="Heading1"/>
      </w:pPr>
      <w:r>
        <w:t>3.6 Geodetic reference data</w:t>
      </w:r>
    </w:p>
    <w:p>
      <w:pPr>
        <w:spacing w:line="360" w:lineRule="auto"/>
        <w:jc w:val="both"/>
      </w:pPr>
      <w:r>
        <w:t>офіційна корекція на постах 0.216 m Сітка квазігеоїда EGG2015 , що використовується для гілок ICESat-2  та SWOT, є растром 1′×1′, походження якого обговорюється в Розділі 7.10.</w:t>
      </w:r>
    </w:p>
    <w:p>
      <w:pPr>
        <w:spacing w:line="360" w:lineRule="auto"/>
        <w:jc w:val="both"/>
      </w:pPr>
      <w:r>
        <w:t xml:space="preserve">&gt; </w:t>
      </w:r>
      <w:r>
        <w:rPr>
          <w:b/>
        </w:rPr>
        <w:t>[PENDING TAB01]</w:t>
      </w:r>
      <w:r>
        <w:t xml:space="preserve"> Table 1 — data sources (machine-generated from the snapshot inventories; must state the three ICESat-2 samples and the single full-coverage pre-breach Sentinel-2 date)</w:t>
      </w:r>
    </w:p>
    <w:p>
      <w:pPr>
        <w:spacing w:line="360" w:lineRule="auto"/>
        <w:jc w:val="both"/>
      </w:pPr>
      <w:r>
        <w:t>&gt; `backs: V1.3,M1.1,M2.1,M3.1,S1.5` · `section: 3 Data`</w:t>
      </w:r>
    </w:p>
    <w:p>
      <w:pPr>
        <w:spacing w:line="360" w:lineRule="auto"/>
        <w:jc w:val="both"/>
      </w:pPr>
      <w:r>
        <w:t>&gt; `produces: knoweledg_graf src/paper_3/v2/assemble.py TABLE_SPECS T1` · `status: not_started`</w:t>
      </w:r>
    </w:p>
    <w:p>
      <w:pPr>
        <w:spacing w:line="360" w:lineRule="auto"/>
        <w:jc w:val="both"/>
      </w:pPr>
      <w:r>
        <w:t>&gt; `blocks_submission: yes`</w:t>
      </w:r>
    </w:p>
    <w:p>
      <w:pPr>
        <w:pStyle w:val="Title"/>
      </w:pPr>
      <w:r>
        <w:t>4. METHODS</w:t>
      </w:r>
    </w:p>
    <w:p>
      <w:pPr>
        <w:pStyle w:val="Heading1"/>
      </w:pPr>
      <w:r>
        <w:t>4.1 Vertical harmonisation: the four surfaces</w:t>
      </w:r>
    </w:p>
    <w:p>
      <w:pPr>
        <w:spacing w:line="360" w:lineRule="auto"/>
        <w:jc w:val="both"/>
      </w:pPr>
      <w:r>
        <w:t>Рівні води на гідрологічних постах перераховуються у нормальні висоти EVRF2019  за допомогою офіційної операції EPSG:9902 , вибірка якої здійснюється з виробничої сітки на кожній станції (трансформовані 10,194 dенні значення); зміщення просторово варіюється від 0.1715  до 0.2157 m, тому жодна єдина національна константа не є прийнятною. Висоти ICESat-2 ATL13 h редукуються за допомогою квазігеоїда EGG2015  після додавання терміна ATL03  для переходу від безприпливної до середньоприпливної системи, що зміщує коректор шести станцій на . Висоти SWOT PIXC редукуються шляхом віднімання припливів твердої Землі, навантажувальних та полюсних припливів, які надаються у продукті, але не застосовуються, і ніколи не віднімаються від поля геоїда, а потім — за допомогою того самого квазігеоїда. Залишковий термін постійного припливу між середньоприпливною земною корою та нульовою системою квазігеоїда (1–4 cm на цій широті) враховується як окремий рядок у бюджеті невизначеності.</w:t>
      </w:r>
    </w:p>
    <w:p>
      <w:pPr>
        <w:pStyle w:val="Heading1"/>
      </w:pPr>
      <w:r>
        <w:t>4.2 Chainage</w:t>
      </w:r>
    </w:p>
    <w:p>
      <w:pPr>
        <w:spacing w:line="360" w:lineRule="auto"/>
        <w:jc w:val="both"/>
      </w:pPr>
      <w:r>
        <w:t>Профілі водосховища використовують осьову лінію, побудовану на основі полігону водосховища шляхом групування за головними осями, при цьому пікетаж вимірюється від греблі; SWORD v16  використовується лише для градієнта ділянки біля Херсона, для русла залишкової водойми та для трансект ширини змоченого перерізу.</w:t>
      </w:r>
    </w:p>
    <w:p>
      <w:pPr>
        <w:pStyle w:val="Heading1"/>
      </w:pPr>
      <w:r>
        <w:t>4.3 Per-overpass slope and its inference</w:t>
      </w:r>
    </w:p>
    <w:p>
      <w:pPr>
        <w:spacing w:line="360" w:lineRule="auto"/>
        <w:jc w:val="both"/>
      </w:pPr>
      <w:r>
        <w:t>Для кожного прольоту медіанна висота водної поверхні за променем для кожного із шести променів регресується на пікетаж; оцінювач Тейла–Сена є основним, а звичайний метод найменших квадратів — перевіркою на чутливість. Один проліт є незалежною одиницею спостереження: сегменти та промені в межах одного проходу мають спільні атмосферні умови та стан води, тому ніколи не розглядаються як повторні вимірювання. Порівняння до/після використовує бутстреп для різниці медіан, двосторонній перестановочний тест і знаковий тест, і повторюється на мінімальних інтервалах 10, 20, 30  та 40 km.</w:t>
      </w:r>
    </w:p>
    <w:p>
      <w:pPr>
        <w:pStyle w:val="Heading1"/>
      </w:pPr>
      <w:r>
        <w:t>4.4 Water-surface heterogeneity</w:t>
      </w:r>
    </w:p>
    <w:p>
      <w:pPr>
        <w:spacing w:line="360" w:lineRule="auto"/>
        <w:jc w:val="both"/>
      </w:pPr>
      <w:r>
        <w:t>Гетерогенність — це діапазон висоти водної поверхні в межах прольоту p95–p05  для всіх ATL13 dates у межах сліду — це не стандартне відхилення і не діапазон вибірки ухилу водної поверхні в межах профілю.</w:t>
      </w:r>
    </w:p>
    <w:p>
      <w:pPr>
        <w:pStyle w:val="Heading1"/>
      </w:pPr>
      <w:r>
        <w:t>4.5 Historical datum and free-surface curve</w:t>
      </w:r>
    </w:p>
    <w:p>
      <w:pPr>
        <w:spacing w:line="360" w:lineRule="auto"/>
        <w:jc w:val="both"/>
      </w:pPr>
      <w:r>
        <w:t>Рівень редукції промірів глибин S-57 перевіряється трьома шляхами: замиканням кривої місткості, отриманої за даними промірів, відносно опублікованої таблиці залежності рівня від об'єму, висотою оголеного дна за даними ICESat-2,  та опублікованим рівнем навігаційного спрацювання. Крива вільної поверхні, виміряна в польових умовах 1970 , оцифрована з рисунка монографії та валідована відносно табличного профілю підпору.</w:t>
      </w:r>
    </w:p>
    <w:p>
      <w:pPr>
        <w:pStyle w:val="Heading1"/>
      </w:pPr>
      <w:r>
        <w:t>4.6 Bed reconstruction</w:t>
      </w:r>
    </w:p>
    <w:p>
      <w:pPr>
        <w:spacing w:line="360" w:lineRule="auto"/>
        <w:jc w:val="both"/>
      </w:pPr>
      <w:r>
        <w:t>Для водосховища дно інтерполюється виключно за даними промірів глибин (звичайний кригінг, зворотна відстань, лінійні та радіально-базисні інтерполятори) на канонічній сітці 250 m, закріпленій за спостережуваною береговою лінією 5  червня 2023 , та оцінюється за допомогою просторової блокової крос-валідації при 1 km, що відповідає медіанній відстані між промірами. Для зон нижче за течією такий самий дизайн повторюється з трьома варіантами: лише проміри глибин, проміри глибин із м'якими обмеженнями берегової лінії Sentinel-2  та проміри глибин із псевдоточками p18 , причому варіант обирається на основі оцінки лише за промірами глибин.</w:t>
      </w:r>
    </w:p>
    <w:p>
      <w:pPr>
        <w:pStyle w:val="Heading1"/>
      </w:pPr>
      <w:r>
        <w:t>4.7 Sentinel-2 indices, surface classes and Sentinel-1 water masks</w:t>
      </w:r>
    </w:p>
    <w:p>
      <w:pPr>
        <w:spacing w:line="360" w:lineRule="auto"/>
        <w:jc w:val="both"/>
      </w:pPr>
      <w:r>
        <w:t>Сім індексів обчислюються для кожної дати на сітці реєстру 20 m із застосуванням зміщення BOA та маскуванням класифікації сцени; правило десяти класів використовує порогові значення NDVI 0.15  та 0.30, , NDMI 0.10  та BSI 0.10  з морфологічним очищенням. Класи: відкрита вода, мілководна або змішана вода, вологий осад, сухий оголений осад, рідка трав'яниста рослинність, щільна трав'яниста рослинність, очерет або затоплена рослинність, забудована поверхня та неоднозначні об'єкти. Чагарниковий та деревно-чагарниковий покрив неможливо відокремити від трав'янистого покриву лише за допомогою цих індексів. Маски води Sentinel-1  використовують закріплений двокласовий дискримінант на основі VV/VH, перевірений за допомогою оптичних даних про воду; протестовані та відхилені варіанти описані в Додаткових методах S2 і не відіграють жодної ролі в аргументації цієї статті.</w:t>
      </w:r>
    </w:p>
    <w:p>
      <w:pPr>
        <w:pStyle w:val="Heading1"/>
      </w:pPr>
      <w:r>
        <w:t>4.8 Vegetation succession and first-event timing</w:t>
      </w:r>
    </w:p>
    <w:p>
      <w:pPr>
        <w:spacing w:line="360" w:lineRule="auto"/>
        <w:jc w:val="both"/>
      </w:pPr>
      <w:r>
        <w:t>На колишня водна поверхня (pool 2174.7 km²; former water surface 2107.0 km²; legacy land 55.0 km²) модальний клас кожного пікселя обчислюється для сезону з наявним листям, частки класів підсумовуються за датою та за роком, формуються матриці переходів між послідовними роками, а перша дата, коли піксель ідентифікується як неводний і вкритий рослинністю, визначається як інтервал між послідовними валідними спостереженнями. Стратифікована еталонна вибірка з 320 точок (40  на клас) була сформована для оцінки точності на основі плану; вона ще не розмічена.</w:t>
      </w:r>
    </w:p>
    <w:p>
      <w:pPr>
        <w:pStyle w:val="Heading1"/>
      </w:pPr>
      <w:r>
        <w:t>4.9 Woody cover</w:t>
      </w:r>
    </w:p>
    <w:p>
      <w:pPr>
        <w:spacing w:line="360" w:lineRule="auto"/>
        <w:jc w:val="both"/>
      </w:pPr>
      <w:r>
        <w:t>Щорічні композити Dynamic World (2022–2024) надають імовірність наявності дерев і чагарників та частку міток на тій самій поверхні; заморожений композит 2022  є еталоном до моменту прориву греблі.</w:t>
      </w:r>
    </w:p>
    <w:p>
      <w:pPr>
        <w:pStyle w:val="Heading1"/>
      </w:pPr>
      <w:r>
        <w:t>4.10 Channel transects</w:t>
      </w:r>
    </w:p>
    <w:p>
      <w:pPr>
        <w:spacing w:line="360" w:lineRule="auto"/>
        <w:jc w:val="both"/>
      </w:pPr>
      <w:r>
        <w:t>Вузли 321 SWORD, 157 трансекти на 500 m, напівдовжина 2500 m. Для кожної дати маска води перетинається з кожною трансектою; фіксуються ширина змоченого перерізу, ширина головного русла та кількість рукавів, а дати порівнюються за відповідним рівнем води в Херсоні.</w:t>
      </w:r>
    </w:p>
    <w:p>
      <w:pPr>
        <w:pStyle w:val="Heading1"/>
      </w:pPr>
      <w:r>
        <w:t>4.11 Roughness translation</w:t>
      </w:r>
    </w:p>
    <w:p>
      <w:pPr>
        <w:spacing w:line="360" w:lineRule="auto"/>
        <w:jc w:val="both"/>
      </w:pPr>
      <w:r>
        <w:t>Кожному пікселю карти станів (прорив 2023, , первинне оголення 2023, 2024, 2025,  та для водотоку 2026) присвоюється один із одинадцяти класів шорсткості на основі його класу поверхні, гідроперіоду та ймовірності наявності деревно-чагарникового покриву за даними Dynamic World, причому кожен клас має низьке, базове та високе значення коефіцієнта шорсткості Маннінга (n) згідно з опублікованими апріорними даними (Таблиця 5). Зважені за площею значення n та зміна між станами обчислюються для кожної зони. Результатом є гідравлічно інтерпретований шар шорсткості, отриманий на основі відображених класів поверхні; жодні гідравлічні спостереження не використовуються на цьому етапі, і жодне значення не є відкаліброваним коефіцієнтом Маннінга.</w:t>
      </w:r>
    </w:p>
    <w:p>
      <w:pPr>
        <w:pStyle w:val="Heading1"/>
      </w:pPr>
      <w:r>
        <w:t>4.12 Statistical rules</w:t>
      </w:r>
    </w:p>
    <w:p>
      <w:pPr>
        <w:spacing w:line="360" w:lineRule="auto"/>
        <w:jc w:val="both"/>
      </w:pPr>
      <w:r>
        <w:t xml:space="preserve">&gt; </w:t>
      </w:r>
      <w:r>
        <w:rPr>
          <w:b/>
        </w:rPr>
        <w:t>[PENDING OPEN92]</w:t>
      </w:r>
      <w:r>
        <w:t xml:space="preserve"> translation rejected: locked tokens did not round-trip; English kept</w:t>
      </w:r>
    </w:p>
    <w:p>
      <w:pPr>
        <w:spacing w:line="360" w:lineRule="auto"/>
        <w:jc w:val="both"/>
      </w:pPr>
      <w:r>
        <w:t>&gt; `section: paragraph 61` · `status: blocked`</w:t>
      </w:r>
    </w:p>
    <w:p>
      <w:pPr>
        <w:spacing w:line="360" w:lineRule="auto"/>
        <w:jc w:val="both"/>
      </w:pPr>
      <w:r>
        <w:t>&gt; `blocks_submission: yes`</w:t>
      </w:r>
    </w:p>
    <w:p>
      <w:pPr>
        <w:spacing w:line="360" w:lineRule="auto"/>
        <w:jc w:val="both"/>
      </w:pPr>
      <w:r>
        <w:t>Every statistic names its independent unit. Absence statements about the literature are made only for a screened sample with a stated denominator, and only after retrieval has been validated against hold-out controls.</w:t>
      </w:r>
    </w:p>
    <w:p>
      <w:pPr>
        <w:pStyle w:val="Title"/>
      </w:pPr>
      <w:r>
        <w:t>5. VALIDATION RESULTS</w:t>
      </w:r>
    </w:p>
    <w:p>
      <w:pPr>
        <w:pStyle w:val="Heading1"/>
      </w:pPr>
      <w:r>
        <w:t>5.1 The gauge network in one geodetic frame</w:t>
      </w:r>
    </w:p>
    <w:p>
      <w:pPr>
        <w:spacing w:line="360" w:lineRule="auto"/>
        <w:jc w:val="both"/>
      </w:pPr>
      <w:r>
        <w:t xml:space="preserve">&gt; </w:t>
      </w:r>
      <w:r>
        <w:rPr>
          <w:b/>
        </w:rPr>
        <w:t>[PENDING OPEN93]</w:t>
      </w:r>
      <w:r>
        <w:t xml:space="preserve"> translation rejected: locked tokens did not round-trip; English kept</w:t>
      </w:r>
    </w:p>
    <w:p>
      <w:pPr>
        <w:spacing w:line="360" w:lineRule="auto"/>
        <w:jc w:val="both"/>
      </w:pPr>
      <w:r>
        <w:t>&gt; `section: paragraph 64` · `status: blocked`</w:t>
      </w:r>
    </w:p>
    <w:p>
      <w:pPr>
        <w:spacing w:line="360" w:lineRule="auto"/>
        <w:jc w:val="both"/>
      </w:pPr>
      <w:r>
        <w:t>&gt; `blocks_submission: yes`</w:t>
      </w:r>
    </w:p>
    <w:p>
      <w:pPr>
        <w:spacing w:line="360" w:lineRule="auto"/>
        <w:jc w:val="both"/>
      </w:pPr>
      <w:r>
        <w:t>10,194 daily values transformed (grid sampler agrees with an independent implementation to 0.000 mm). 0.1715 to 0.2157 m (spread 44 mm; grid accuracy 0.068 m (EPSG registry)).</w:t>
      </w:r>
    </w:p>
    <w:p>
      <w:pPr>
        <w:pStyle w:val="Heading1"/>
      </w:pPr>
      <w:r>
        <w:t>5.2 The SWOT PIXC vertical chain</w:t>
      </w:r>
    </w:p>
    <w:p>
      <w:pPr>
        <w:spacing w:line="360" w:lineRule="auto"/>
        <w:jc w:val="both"/>
      </w:pPr>
      <w:r>
        <w:t>Документований ланцюжок корекції відтворює висоти вузлів RiverSP: -0.0010 m для документованого ланцюжка (альтернативи: +0.0720 m некоригований, +0.1451 m зі зміненим знаком, -23.89 m з відніманням геоїда; n = 1023). RiverSP походить від того самого спостереження SWOT, тому це встановлює ланцюжок корекції, а не незалежну точність.</w:t>
      </w:r>
    </w:p>
    <w:p>
      <w:pPr>
        <w:pStyle w:val="Heading1"/>
      </w:pPr>
      <w:r>
        <w:t>5.3 SWOT against ICESat-2</w:t>
      </w:r>
    </w:p>
    <w:p>
      <w:pPr>
        <w:spacing w:line="360" w:lineRule="auto"/>
        <w:jc w:val="both"/>
      </w:pPr>
      <w:r>
        <w:t>найкраща пара 2023-05-14: +0.0036 m (dt -2.28 h, 3417 сегментів) (повний набір: 2023-04-05 dt +14.2 h -&gt; -0.1810 m; 2023-05-04 dt +11.1 h -&gt; +0.0597 m; 2023-05-14 dt -2.3 h -&gt; +0.0036 m). Оскільки є три суміщені прольоти, регресія не підбирається і про універсальну сантиметрову узгодженість не йдеться.</w:t>
      </w:r>
    </w:p>
    <w:p>
      <w:pPr>
        <w:pStyle w:val="Heading1"/>
      </w:pPr>
      <w:r>
        <w:t>5.4 Kherson as a local anchor</w:t>
      </w:r>
    </w:p>
    <w:p>
      <w:pPr>
        <w:spacing w:line="360" w:lineRule="auto"/>
        <w:jc w:val="both"/>
      </w:pPr>
      <w:r>
        <w:t>+0.0264 m (супутник – гідрологічний пост) (NMAD 0.0413 m; 95% CI [-0.0420, +0.0394]; медіанні зміщення 8.4 cm для різних радіусів агрегації 0.5-5 km; n = 9).</w:t>
      </w:r>
    </w:p>
    <w:p>
      <w:pPr>
        <w:pStyle w:val="Heading1"/>
      </w:pPr>
      <w:r>
        <w:t>5.5 A validated negative result</w:t>
      </w:r>
    </w:p>
    <w:p>
      <w:pPr>
        <w:spacing w:line="360" w:lineRule="auto"/>
        <w:jc w:val="both"/>
      </w:pPr>
      <w:r>
        <w:t>спостережено -18.1 cm; очікувано +5.9 cm з гідрологічного поста +10.0 cm/день за dt 14.2 h (залишок після застосування гідрологічного члена: -24.0 cm (гірше)). Записів про вітер або тиск за цей день не існує, тому вітровий нагін неможливо ні підтвердити, ні виключити; це залишається як обмеження.</w:t>
      </w:r>
    </w:p>
    <w:p>
      <w:pPr>
        <w:pStyle w:val="Heading1"/>
      </w:pPr>
      <w:r>
        <w:t>5.6 Spatial limits of an empirical correction</w:t>
      </w:r>
    </w:p>
    <w:p>
      <w:pPr>
        <w:spacing w:line="360" w:lineRule="auto"/>
        <w:jc w:val="both"/>
      </w:pPr>
      <w:r>
        <w:t>водосховище -0.130 m [-0.184, -0.081] (n=5 станцій) проти Херсона +0.0051 m [-0.0515, +0.0608] (NMAD між станціями 0.033 m; радіус коливання 1.8 cm (Розумівка) та 5.0 cm (Херсон) протягом 1-10 km).</w:t>
      </w:r>
    </w:p>
    <w:p>
      <w:pPr>
        <w:pStyle w:val="Heading1"/>
      </w:pPr>
      <w:r>
        <w:t>5.7 The historical sounding datum</w:t>
      </w:r>
    </w:p>
    <w:p>
      <w:pPr>
        <w:spacing w:line="360" w:lineRule="auto"/>
        <w:jc w:val="both"/>
      </w:pPr>
      <w:r>
        <w:t>14.00 m: +0.0979 m [-0.0756, +0.3028], нуль у межах довірчого інтервалу | 16.00 m: -1.9021 m [-2.0787, -1.6848], нуль поза межами довірчого інтервалу (NMAD 0.498 m для n=94  точок; припущення 16.00 m відхиляється на рівні ~1.90 m). Те, що нанесені на карту проміри глибин були зведені до рівня навігаційного спрацювання, є висновком цього дослідження, підтвердженим трьома шляхами, а не твердженням джерела. Перераховано в EVRF2019, 14.162  до 14.216 m EVRF2019, m медіана 14.185 m (медіанне зміщення +0.1854 m; розкид 54 m м).</w:t>
      </w:r>
    </w:p>
    <w:p>
      <w:pPr>
        <w:pStyle w:val="Heading1"/>
      </w:pPr>
      <w:r>
        <w:t>5.8 The historical free-surface curve and the pre-breach slopes</w:t>
      </w:r>
    </w:p>
    <w:p>
      <w:pPr>
        <w:spacing w:line="360" w:lineRule="auto"/>
        <w:jc w:val="both"/>
      </w:pPr>
      <w:r>
        <w:t>медіанне відхилення +0.022 m; NMAD 0.045 m (спокійна ділянка &lt;180 km (n=5): медіана +0.047 m, макс |відх| 0.057 m). 0-180 km: +0.00, -0.06, +0.06 cm/km; 210-240 km: +0.13 cm/km. усі апроксимації в межах смуги є результатами окремих прольотів; медіана відношення пікетажу до наземної відстані 1.34 (p90 1.94, max 2.65). Задокументовані величини сейш та вітрового нагону для цього водосховища перевищують середній гідравлічний підйом над басейном (середній гідравлічний підйом над 183 km: 0 cm (Qmin), 6 cm (Q20%), 42 cm (Q1%) | півамплітуда сейш в антиноді 17.5 cm | вітровий нагін на кінці 35 cm (15 m/s) до 148 cm (25 m/s)), тому розсіювання значень у кілька сантиметрів у межах одного прольоту до прориву греблі є фізично обґрунтованим.</w:t>
      </w:r>
    </w:p>
    <w:p>
      <w:pPr>
        <w:pStyle w:val="Heading1"/>
      </w:pPr>
      <w:r>
        <w:t>5.9 Bed-surface reconstruction and cross-validation</w:t>
      </w:r>
    </w:p>
    <w:p>
      <w:pPr>
        <w:spacing w:line="360" w:lineRule="auto"/>
        <w:jc w:val="both"/>
      </w:pPr>
      <w:r>
        <w:t>preferred OK: RMSE 2.76 m, NMAD 1.32 m, bias -0.03 m, median |e| 0.89 m (ranking OK 2.76, IDW 2.78, LINEAR 2.82, RBF 3.23; the worst 5% of observations account for 51% of the squared prediction error; n = 7509). The boundary condition is the single most consequential choice: unconstrained 6.7% vs constrained at the observed 2023-06-05 waterline 12.3% (whole reservoir, OK surface). The error is one of local bed morphology, not of the vertical frame: random hold-out already gives 2.648 m; 1 km blocking adds only 1.04x (2.761 m) and 5 km blocking 1.20x.</w:t>
      </w:r>
    </w:p>
    <w:p>
      <w:pPr>
        <w:pStyle w:val="Heading1"/>
      </w:pPr>
      <w:r>
        <w:t>5.10 Area-weighted exposure</w:t>
      </w:r>
    </w:p>
    <w:p>
      <w:pPr>
        <w:spacing w:line="360" w:lineRule="auto"/>
        <w:jc w:val="both"/>
      </w:pPr>
      <w:r>
        <w:t>усе картографоване водосховище: історичне 12.9% проти реконструйованого 12.77% (різниця -0.18 pp) (за інтерполяторами 12.61-13.29% (розкид 0.68 pp); за ділянками історичне 3.9 / 9.4 / 26.0 % проти реконструйованого 7.5 / 9.3 / 21.7 %). Історична частка використовувалася як валідація, а не калібрування. Реконструйоване дно також відтворює опубліковану криву залежності рівня від площі (СКП (RMSE) площі 74 km2 (3.8% від середньої площі); медіана +1.7%), а частка оголеного дна збігається з роздільною здатністю сітки (250 m -&gt; 12.77%; 50 m -&gt; 12.79%; 30 m -&gt; 12.79%).</w:t>
      </w:r>
    </w:p>
    <w:p>
      <w:pPr>
        <w:pStyle w:val="Heading1"/>
      </w:pPr>
      <w:r>
        <w:t>5.11 Downstream zone beds</w:t>
      </w:r>
    </w:p>
    <w:p>
      <w:pPr>
        <w:spacing w:line="360" w:lineRule="auto"/>
        <w:jc w:val="both"/>
      </w:pPr>
      <w:r>
        <w:t>У дельті, естуарії та заплаві метод лише промірів глибин (soundings-only) переважає в кожній зоні: SND_ONLY / LINEAR: RMSE 2.31 m, зміщення +0.02 m, NMAD 1.67 m; SND_ONLY / OK: RMSE 2.62 m, зміщення +0.04 m, NMAD 2.27 m; SND_ONLY / LINEAR: RMSE 2.20 m, зміщення -0.07 m, NMAD 1.24 m. М'які обмеження берегової лінії та псевдоточки додають додатне зміщення метрового масштабу там, де прибережна смуга містить більшість промірів глибин.</w:t>
      </w:r>
    </w:p>
    <w:p>
      <w:pPr>
        <w:pStyle w:val="Heading1"/>
      </w:pPr>
      <w:r>
        <w:t>5.12 Why multi-level contours cannot constrain the shallow bed</w:t>
      </w:r>
    </w:p>
    <w:p>
      <w:pPr>
        <w:spacing w:line="360" w:lineRule="auto"/>
        <w:jc w:val="both"/>
      </w:pPr>
      <w:r>
        <w:t>verdict NO_CONSTANT: between-scene spread 50.2 m vs within-scene NMAD 22.1 m (ratio 2.27); central offset -3.7 m. H3 14.23 m: σ_sensor 21.2 m, σ_reference 87.2 m, σ_total 89.8 m; ABSOLUTE_COMMON_MODE_EXCLUDED; transfer licensed False. Оптична берегова лінія розташована на межі поясу надводної рослинності, а не на межі води та суші, тому сигнал зміни рівня менший за зміщення положення; експеримент класифіковано як негативний результат.</w:t>
      </w:r>
    </w:p>
    <w:p>
      <w:pPr>
        <w:pStyle w:val="Heading1"/>
      </w:pPr>
      <w:r>
        <w:t>5.13 Shoreline elevation uncertainty</w:t>
      </w:r>
    </w:p>
    <w:p>
      <w:pPr>
        <w:spacing w:line="360" w:lineRule="auto"/>
        <w:jc w:val="both"/>
      </w:pPr>
      <w:r>
        <w:t>σ_total 0.193 m (σ_9902 0.068, σ_level_spread 0.11, σ_wind 0.09–0.09); частка, прилегла до очерету 0.84. σ_total 0.375 m; частка, прилегла до очерету 0.70.</w:t>
      </w:r>
    </w:p>
    <w:p>
      <w:pPr>
        <w:spacing w:line="360" w:lineRule="auto"/>
        <w:jc w:val="both"/>
      </w:pPr>
      <w:r>
        <w:rPr>
          <w:b/>
        </w:rPr>
        <w:t>Table 7. Крос-валідація поверхні дна та невизначеність берегової лінії за зонами.</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claim_id</w:t>
            </w:r>
          </w:p>
        </w:tc>
        <w:tc>
          <w:tcPr>
            <w:tcW w:type="dxa" w:w="1728"/>
          </w:tcPr>
          <w:p>
            <w:r>
              <w:rPr>
                <w:b/>
              </w:rPr>
              <w:t>claim_text</w:t>
            </w:r>
          </w:p>
        </w:tc>
        <w:tc>
          <w:tcPr>
            <w:tcW w:type="dxa" w:w="1728"/>
          </w:tcPr>
          <w:p>
            <w:r>
              <w:rPr>
                <w:b/>
              </w:rPr>
              <w:t>value_resolved</w:t>
            </w:r>
          </w:p>
        </w:tc>
        <w:tc>
          <w:tcPr>
            <w:tcW w:type="dxa" w:w="1728"/>
          </w:tcPr>
          <w:p>
            <w:r>
              <w:rPr>
                <w:b/>
              </w:rPr>
              <w:t>n_resolved</w:t>
            </w:r>
          </w:p>
        </w:tc>
        <w:tc>
          <w:tcPr>
            <w:tcW w:type="dxa" w:w="1728"/>
          </w:tcPr>
          <w:p>
            <w:r>
              <w:rPr>
                <w:b/>
              </w:rPr>
              <w:t>audit_status</w:t>
            </w:r>
          </w:p>
        </w:tc>
      </w:tr>
      <w:tr>
        <w:tc>
          <w:tcPr>
            <w:tcW w:type="dxa" w:w="1728"/>
          </w:tcPr>
          <w:p>
            <w:r>
              <w:t>V10.3</w:t>
            </w:r>
          </w:p>
        </w:tc>
        <w:tc>
          <w:tcPr>
            <w:tcW w:type="dxa" w:w="1728"/>
          </w:tcPr>
          <w:p>
            <w:r>
              <w:t>Interpolation uncertainty, not grid resolution, is the limiting term in the bed surface. The median absolute prediction error is ~0.9 m, while RMSE rises to 2.76 m because of a small number of large errors concentrated i</w:t>
            </w:r>
          </w:p>
        </w:tc>
        <w:tc>
          <w:tcPr>
            <w:tcW w:type="dxa" w:w="1728"/>
          </w:tcPr>
          <w:p>
            <w:r>
              <w:t>preferred OK: RMSE 2.76 m, NMAD 1.32 m, bias -0.03 m, median /e/ 0.89 m</w:t>
            </w:r>
          </w:p>
        </w:tc>
        <w:tc>
          <w:tcPr>
            <w:tcW w:type="dxa" w:w="1728"/>
          </w:tcPr>
          <w:p>
            <w:r>
              <w:t>7509</w:t>
            </w:r>
          </w:p>
        </w:tc>
        <w:tc>
          <w:tcPr>
            <w:tcW w:type="dxa" w:w="1728"/>
          </w:tcPr>
          <w:p>
            <w:r>
              <w:t>SUPPORTED</w:t>
            </w:r>
          </w:p>
        </w:tc>
      </w:tr>
      <w:tr>
        <w:tc>
          <w:tcPr>
            <w:tcW w:type="dxa" w:w="1728"/>
          </w:tcPr>
          <w:p>
            <w:r>
              <w:t>V10.4</w:t>
            </w:r>
          </w:p>
        </w:tc>
        <w:tc>
          <w:tcPr>
            <w:tcW w:type="dxa" w:w="1728"/>
          </w:tcPr>
          <w:p>
            <w:r>
              <w:t>The 2.76 m blocked-CV RMSE is a heavy-tailed error of local bed morphology, not a vertical offset of the DEM and not an artefact of blocked cross-validation.</w:t>
            </w:r>
          </w:p>
        </w:tc>
        <w:tc>
          <w:tcPr>
            <w:tcW w:type="dxa" w:w="1728"/>
          </w:tcPr>
          <w:p>
            <w:r>
              <w:t>random hold-out already gives 2.648 m; 1 km blocking adds only 1.04x (2.761 m) and 5 km blocking 1.20x</w:t>
            </w:r>
          </w:p>
        </w:tc>
        <w:tc>
          <w:tcPr>
            <w:tcW w:type="dxa" w:w="1728"/>
          </w:tcPr>
          <w:p>
            <w:r>
              <w:t>7509</w:t>
            </w:r>
          </w:p>
        </w:tc>
        <w:tc>
          <w:tcPr>
            <w:tcW w:type="dxa" w:w="1728"/>
          </w:tcPr>
          <w:p>
            <w:r>
              <w:t>SUPPORTED</w:t>
            </w:r>
          </w:p>
        </w:tc>
      </w:tr>
      <w:tr>
        <w:tc>
          <w:tcPr>
            <w:tcW w:type="dxa" w:w="1728"/>
          </w:tcPr>
          <w:p>
            <w:r>
              <w:t>B2.1</w:t>
            </w:r>
          </w:p>
        </w:tc>
        <w:tc>
          <w:tcPr>
            <w:tcW w:type="dxa" w:w="1728"/>
          </w:tcPr>
          <w:p>
            <w:r>
              <w:t>ZONE_2 (Kherson delta) pre-breach bed: soundings-only interpolation is the selected arm.</w:t>
            </w:r>
          </w:p>
        </w:tc>
        <w:tc>
          <w:tcPr>
            <w:tcW w:type="dxa" w:w="1728"/>
          </w:tcPr>
          <w:p>
            <w:r>
              <w:t>SND_ONLY / LINEAR: RMSE 2.31 m, bias +0.02 m, NMAD 1.67 m</w:t>
            </w:r>
          </w:p>
        </w:tc>
        <w:tc>
          <w:tcPr>
            <w:tcW w:type="dxa" w:w="1728"/>
          </w:tcPr>
          <w:p>
            <w:r>
              <w:t>527 soundings; 17271 S2 shoreline constraints offered; canonical 181 km²</w:t>
            </w:r>
          </w:p>
        </w:tc>
        <w:tc>
          <w:tcPr>
            <w:tcW w:type="dxa" w:w="1728"/>
          </w:tcPr>
          <w:p>
            <w:r>
              <w:t>SUPPORTED_WITH_LIMITATION</w:t>
            </w:r>
          </w:p>
        </w:tc>
      </w:tr>
      <w:tr>
        <w:tc>
          <w:tcPr>
            <w:tcW w:type="dxa" w:w="1728"/>
          </w:tcPr>
          <w:p>
            <w:r>
              <w:t>B2.2</w:t>
            </w:r>
          </w:p>
        </w:tc>
        <w:tc>
          <w:tcPr>
            <w:tcW w:type="dxa" w:w="1728"/>
          </w:tcPr>
          <w:p>
            <w:r>
              <w:t>ZONE_3 (Dnipro–Buh estuary) pre-breach bed.</w:t>
            </w:r>
          </w:p>
        </w:tc>
        <w:tc>
          <w:tcPr>
            <w:tcW w:type="dxa" w:w="1728"/>
          </w:tcPr>
          <w:p>
            <w:r>
              <w:t>SND_ONLY / OK: RMSE 2.62 m, bias +0.04 m, NMAD 2.27 m</w:t>
            </w:r>
          </w:p>
        </w:tc>
        <w:tc>
          <w:tcPr>
            <w:tcW w:type="dxa" w:w="1728"/>
          </w:tcPr>
          <w:p>
            <w:r>
              <w:t>634 soundings; canonical 728 km²</w:t>
            </w:r>
          </w:p>
        </w:tc>
        <w:tc>
          <w:tcPr>
            <w:tcW w:type="dxa" w:w="1728"/>
          </w:tcPr>
          <w:p>
            <w:r>
              <w:t>SUPPORTED_WITH_LIMITATION</w:t>
            </w:r>
          </w:p>
        </w:tc>
      </w:tr>
      <w:tr>
        <w:tc>
          <w:tcPr>
            <w:tcW w:type="dxa" w:w="1728"/>
          </w:tcPr>
          <w:p>
            <w:r>
              <w:t>B2.3</w:t>
            </w:r>
          </w:p>
        </w:tc>
        <w:tc>
          <w:tcPr>
            <w:tcW w:type="dxa" w:w="1728"/>
          </w:tcPr>
          <w:p>
            <w:r>
              <w:t>ZONE_4 (dam-to-Kherson floodway) pre-breach bed.</w:t>
            </w:r>
          </w:p>
        </w:tc>
        <w:tc>
          <w:tcPr>
            <w:tcW w:type="dxa" w:w="1728"/>
          </w:tcPr>
          <w:p>
            <w:r>
              <w:t>SND_ONLY / LINEAR: RMSE 2.20 m, bias -0.07 m, NMAD 1.24 m</w:t>
            </w:r>
          </w:p>
        </w:tc>
        <w:tc>
          <w:tcPr>
            <w:tcW w:type="dxa" w:w="1728"/>
          </w:tcPr>
          <w:p>
            <w:r>
              <w:t>626 soundings; 2110 p18 pseudo-points offered; canonical 101 km²</w:t>
            </w:r>
          </w:p>
        </w:tc>
        <w:tc>
          <w:tcPr>
            <w:tcW w:type="dxa" w:w="1728"/>
          </w:tcPr>
          <w:p>
            <w:r>
              <w:t>SUPPORTED_WITH_LIMITATION</w:t>
            </w:r>
          </w:p>
        </w:tc>
      </w:tr>
      <w:tr>
        <w:tc>
          <w:tcPr>
            <w:tcW w:type="dxa" w:w="1728"/>
          </w:tcPr>
          <w:p>
            <w:r>
              <w:t>B3.1</w:t>
            </w:r>
          </w:p>
        </w:tc>
        <w:tc>
          <w:tcPr>
            <w:tcW w:type="dxa" w:w="1728"/>
          </w:tcPr>
          <w:p>
            <w:r>
              <w:t>The SAR–optical shoreline offset is not a single constant, so the multi-level contour bathymetry experiment (hist21–hist31) cannot be promoted.</w:t>
            </w:r>
          </w:p>
        </w:tc>
        <w:tc>
          <w:tcPr>
            <w:tcW w:type="dxa" w:w="1728"/>
          </w:tcPr>
          <w:p>
            <w:r>
              <w:t>verdict NO_CONSTANT: between-scene spread 50.2 m vs within-scene NMAD 22.1 m (ratio 2.27); central offset -3.7 m</w:t>
            </w:r>
          </w:p>
        </w:tc>
        <w:tc>
          <w:tcPr>
            <w:tcW w:type="dxa" w:w="1728"/>
          </w:tcPr>
          <w:p/>
        </w:tc>
        <w:tc>
          <w:tcPr>
            <w:tcW w:type="dxa" w:w="1728"/>
          </w:tcPr>
          <w:p>
            <w:r>
              <w:t>SUPPORTED</w:t>
            </w:r>
          </w:p>
        </w:tc>
      </w:tr>
      <w:tr>
        <w:tc>
          <w:tcPr>
            <w:tcW w:type="dxa" w:w="1728"/>
          </w:tcPr>
          <w:p>
            <w:r>
              <w:t>B3.2</w:t>
            </w:r>
          </w:p>
        </w:tc>
        <w:tc>
          <w:tcPr>
            <w:tcW w:type="dxa" w:w="1728"/>
          </w:tcPr>
          <w:p>
            <w:r>
              <w:t>Only the H3 (14.2 m) contour has direct sounding support; no stage is licensed for cross-stage transfer.</w:t>
            </w:r>
          </w:p>
        </w:tc>
        <w:tc>
          <w:tcPr>
            <w:tcW w:type="dxa" w:w="1728"/>
          </w:tcPr>
          <w:p>
            <w:r>
              <w:t>H3 14.23 m: σ_sensor 21.2 m, σ_reference 87.2 m, σ_total 89.8 m; ABSOLUTE_COMMON_MODE_EXCLUDED; transfer licensed False</w:t>
            </w:r>
          </w:p>
        </w:tc>
        <w:tc>
          <w:tcPr>
            <w:tcW w:type="dxa" w:w="1728"/>
          </w:tcPr>
          <w:p>
            <w:r>
              <w:t>512 bracketing triangles, 55.1 km supported</w:t>
            </w:r>
          </w:p>
        </w:tc>
        <w:tc>
          <w:tcPr>
            <w:tcW w:type="dxa" w:w="1728"/>
          </w:tcPr>
          <w:p>
            <w:r>
              <w:t>SUPPORTED</w:t>
            </w:r>
          </w:p>
        </w:tc>
      </w:tr>
      <w:tr>
        <w:tc>
          <w:tcPr>
            <w:tcW w:type="dxa" w:w="1728"/>
          </w:tcPr>
          <w:p>
            <w:r>
              <w:t>I1.1</w:t>
            </w:r>
          </w:p>
        </w:tc>
        <w:tc>
          <w:tcPr>
            <w:tcW w:type="dxa" w:w="1728"/>
          </w:tcPr>
          <w:p>
            <w:r>
              <w:t>Shoreline elevation uncertainty budget for ZONE_2 from Sentinel-1 contours.</w:t>
            </w:r>
          </w:p>
        </w:tc>
        <w:tc>
          <w:tcPr>
            <w:tcW w:type="dxa" w:w="1728"/>
          </w:tcPr>
          <w:p>
            <w:r>
              <w:t>σ_total 0.193 m (σ_9902 0.068, σ_level_spread 0.11, σ_wind 0.09–0.09); reed-adjacent fraction 0.84</w:t>
            </w:r>
          </w:p>
        </w:tc>
        <w:tc>
          <w:tcPr>
            <w:tcW w:type="dxa" w:w="1728"/>
          </w:tcPr>
          <w:p>
            <w:r>
              <w:t>10 dates, 872 km shoreline, 8692 vertices</w:t>
            </w:r>
          </w:p>
        </w:tc>
        <w:tc>
          <w:tcPr>
            <w:tcW w:type="dxa" w:w="1728"/>
          </w:tcPr>
          <w:p>
            <w:r>
              <w:t>SUPPORTED_WITH_LIMITATION</w:t>
            </w:r>
          </w:p>
        </w:tc>
      </w:tr>
      <w:tr>
        <w:tc>
          <w:tcPr>
            <w:tcW w:type="dxa" w:w="1728"/>
          </w:tcPr>
          <w:p>
            <w:r>
              <w:t>I1.2</w:t>
            </w:r>
          </w:p>
        </w:tc>
        <w:tc>
          <w:tcPr>
            <w:tcW w:type="dxa" w:w="1728"/>
          </w:tcPr>
          <w:p>
            <w:r>
              <w:t>Shoreline elevation uncertainty budget for ZONE_4 from Sentinel-1 contours.</w:t>
            </w:r>
          </w:p>
        </w:tc>
        <w:tc>
          <w:tcPr>
            <w:tcW w:type="dxa" w:w="1728"/>
          </w:tcPr>
          <w:p>
            <w:r>
              <w:t>σ_total 0.375 m; reed-adjacent fraction 0.70</w:t>
            </w:r>
          </w:p>
        </w:tc>
        <w:tc>
          <w:tcPr>
            <w:tcW w:type="dxa" w:w="1728"/>
          </w:tcPr>
          <w:p>
            <w:r>
              <w:t>11 dates, 1383 km shoreline</w:t>
            </w:r>
          </w:p>
        </w:tc>
        <w:tc>
          <w:tcPr>
            <w:tcW w:type="dxa" w:w="1728"/>
          </w:tcPr>
          <w:p>
            <w:r>
              <w:t>SUPPORTED_WITH_LIMITATION</w:t>
            </w:r>
          </w:p>
        </w:tc>
      </w:tr>
    </w:tbl>
    <w:p/>
    <w:p>
      <w:pPr>
        <w:pStyle w:val="Heading1"/>
      </w:pPr>
      <w:r>
        <w:t>5.14 Validation synthesis</w:t>
      </w:r>
    </w:p>
    <w:p>
      <w:pPr>
        <w:spacing w:line="360" w:lineRule="auto"/>
        <w:jc w:val="both"/>
      </w:pPr>
      <w:r>
        <w:t>Перед інтерпретацією будь-яких гідравлічних або поверхневих результатів було виконано шість незалежних перевірок; одна з них (аномалія 5 квітня 2023 ) виявилася невдалою і зафіксована як така, що не пройшла перевірку. Карти класів поверхні в Розділі 6.9 h поки що не мають оцінки точності — 320-точкова стратифікована вибірка не розмічена, — а шар шорсткості не має гідравлічного калібрування; обидва ці факти зазначені всюди, де вони використовуються, а дослідження класифікатора Sentinel-1  обмежене Додатковими методами S2.</w:t>
      </w:r>
    </w:p>
    <w:p>
      <w:pPr>
        <w:pStyle w:val="Title"/>
      </w:pPr>
      <w:r>
        <w:t>6. HYDRAULIC AND SURFACE TRANSFORMATION RESULTS</w:t>
      </w:r>
    </w:p>
    <w:p>
      <w:pPr>
        <w:pStyle w:val="Heading1"/>
      </w:pPr>
      <w:r>
        <w:t>6.1 Pre-breach water-surface geometry</w:t>
      </w:r>
    </w:p>
    <w:p>
      <w:pPr>
        <w:spacing w:line="360" w:lineRule="auto"/>
        <w:jc w:val="both"/>
      </w:pPr>
      <w:r>
        <w:t>До прориву греблі водойма перебувала майже на горизонтальному рівні. Ухили водної поверхні за окремими ділянками згідно з ICESat-2  (0-180 km: +0.00, -0.06, +0.06 cm/km; 210-240 km: +0.13 cm/km) лежать у межах історичного діапазону витрат води, наведеного в проектних таблицях, а крива вільної поверхні, виміряна в польових умовах 22–25  квітня 1970  року, оцифрована та перевірена за Таблицею 20  (медіанне відхилення +0.022 m; NMAD 0.045 m), обмежує їх зверху. Видимий ухил у смузі 180–210 km є артефактом геометрії пікетажу, а не гідравлічним сигналом (усі апроксимації в межах смуги отримані за допомогою одного прольоту; медіана відношення довжини пікетажу до довжини на місцевості становить 1.34  (p90 1.94, max 2.65)).</w:t>
      </w:r>
    </w:p>
    <w:p>
      <w:pPr>
        <w:pStyle w:val="Heading1"/>
      </w:pPr>
      <w:r>
        <w:t>6.2 Drawdown</w:t>
      </w:r>
    </w:p>
    <w:p>
      <w:pPr>
        <w:spacing w:line="360" w:lineRule="auto"/>
        <w:jc w:val="both"/>
      </w:pPr>
      <w:r>
        <w:t>П'ять прольотів за липень–вересень 2023  вже відображають градієнт після прориву греблі: медіана Тейла–Сена +3.245 cm/km (2023-07-07..2023-09-07) (n = 5). Таким чином, структурні зміни помітні вже під час самого перехідного процесу дренажу, а не лише після стабілізації системи.</w:t>
      </w:r>
    </w:p>
    <w:p>
      <w:pPr>
        <w:pStyle w:val="Heading1"/>
      </w:pPr>
      <w:r>
        <w:t>6.3 Post-breach longitudinal gradient</w:t>
      </w:r>
    </w:p>
    <w:p>
      <w:pPr>
        <w:spacing w:line="360" w:lineRule="auto"/>
        <w:jc w:val="both"/>
      </w:pPr>
      <w:r>
        <w:t>Для 14 прольотів до прориву греблі та 14 прольотів після прориву греблі з пікетажем щонайменше 20 km, медіанний ухил за оцінювачем Тейла–Сена для кожного прольоту змінився з +0.090 cm/km до -&gt; +3.314 cm/km; різниця +3.223 cm/km; різниця має 95 % бутстреп-довірчий інтервал 95% CI [+1.994, +5.071] см/км; перестановочний тест p = 1.00e-04; тест Манна–Вітні p = 3.92e-05; додатні ухили до 10/14  (знаковий тест p = 0.180) проти після 14/14  (p = 1.22e-04). Кожен із 14 прольотів після прориву греблі є додатним. Результат є стійким до вибору оцінювача: метод найменших квадратів дає OLS +0.038 -&gt; +2.781 cm/km, різниця +2.744 cm/km (95% CI [+1.454, +4.323]; перестановочний тест p = 3.00e-04). Кожен ухил для прольоту — це апроксимація через шість точок медіан променів одного прольоту над приблизно 20–70 km осьової лінії водосховища; твердження стосується розподілу цих локальних ухилів за датами, а не єдиного градієнта всього водосховища.</w:t>
      </w:r>
    </w:p>
    <w:p>
      <w:pPr>
        <w:spacing w:line="360" w:lineRule="auto"/>
        <w:jc w:val="both"/>
      </w:pPr>
      <w:r>
        <w:rPr>
          <w:b/>
        </w:rPr>
        <w:t>Table 3. Порівняння гідравлічного стану до та після прориву греблі.</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claim_id</w:t>
            </w:r>
          </w:p>
        </w:tc>
        <w:tc>
          <w:tcPr>
            <w:tcW w:type="dxa" w:w="1440"/>
          </w:tcPr>
          <w:p>
            <w:r>
              <w:rPr>
                <w:b/>
              </w:rPr>
              <w:t>claim_text</w:t>
            </w:r>
          </w:p>
        </w:tc>
        <w:tc>
          <w:tcPr>
            <w:tcW w:type="dxa" w:w="1440"/>
          </w:tcPr>
          <w:p>
            <w:r>
              <w:rPr>
                <w:b/>
              </w:rPr>
              <w:t>value_resolved</w:t>
            </w:r>
          </w:p>
        </w:tc>
        <w:tc>
          <w:tcPr>
            <w:tcW w:type="dxa" w:w="1440"/>
          </w:tcPr>
          <w:p>
            <w:r>
              <w:rPr>
                <w:b/>
              </w:rPr>
              <w:t>uncertainty_resolved</w:t>
            </w:r>
          </w:p>
        </w:tc>
        <w:tc>
          <w:tcPr>
            <w:tcW w:type="dxa" w:w="1440"/>
          </w:tcPr>
          <w:p>
            <w:r>
              <w:rPr>
                <w:b/>
              </w:rPr>
              <w:t>n_resolved</w:t>
            </w:r>
          </w:p>
        </w:tc>
        <w:tc>
          <w:tcPr>
            <w:tcW w:type="dxa" w:w="1440"/>
          </w:tcPr>
          <w:p>
            <w:r>
              <w:rPr>
                <w:b/>
              </w:rPr>
              <w:t>audit_status</w:t>
            </w:r>
          </w:p>
        </w:tc>
      </w:tr>
      <w:tr>
        <w:tc>
          <w:tcPr>
            <w:tcW w:type="dxa" w:w="1440"/>
          </w:tcPr>
          <w:p>
            <w:r>
              <w:t>M1.1</w:t>
            </w:r>
          </w:p>
        </w:tc>
        <w:tc>
          <w:tcPr>
            <w:tcW w:type="dxa" w:w="1440"/>
          </w:tcPr>
          <w:p>
            <w:r>
              <w:t>The pre-breach impounded reservoir had a near-level main water surface, whereas after the dam breach the system developed a persistent, directional, river-like longitudinal hydraulic gradient.</w:t>
            </w:r>
          </w:p>
        </w:tc>
        <w:tc>
          <w:tcPr>
            <w:tcW w:type="dxa" w:w="1440"/>
          </w:tcPr>
          <w:p>
            <w:r>
              <w:t>Theil-Sen median +0.090 cm/km pre -&gt; +3.314 cm/km post; difference +3.223 cm/km</w:t>
            </w:r>
          </w:p>
        </w:tc>
        <w:tc>
          <w:tcPr>
            <w:tcW w:type="dxa" w:w="1440"/>
          </w:tcPr>
          <w:p>
            <w:r>
              <w:t>95% CI [+1.994, +5.071] cm/km; permutation p = 1.00e-04; Mann-Whitney p = 3.92e-05; positive slopes pre 10/14 (sign test p = 0.180) vs post 14/14 (p = 1.22e-04)</w:t>
            </w:r>
          </w:p>
        </w:tc>
        <w:tc>
          <w:tcPr>
            <w:tcW w:type="dxa" w:w="1440"/>
          </w:tcPr>
          <w:p>
            <w:r>
              <w:t>14 pre / 14 post</w:t>
            </w:r>
          </w:p>
        </w:tc>
        <w:tc>
          <w:tcPr>
            <w:tcW w:type="dxa" w:w="1440"/>
          </w:tcPr>
          <w:p>
            <w:r>
              <w:t>SUPPORTED</w:t>
            </w:r>
          </w:p>
        </w:tc>
      </w:tr>
      <w:tr>
        <w:tc>
          <w:tcPr>
            <w:tcW w:type="dxa" w:w="1440"/>
          </w:tcPr>
          <w:p>
            <w:r>
              <w:t>M1.3</w:t>
            </w:r>
          </w:p>
        </w:tc>
        <w:tc>
          <w:tcPr>
            <w:tcW w:type="dxa" w:w="1440"/>
          </w:tcPr>
          <w:p>
            <w:r>
              <w:t>The result is estimator-robust: OLS gives the same sign, a similar magnitude and the same conclusion.</w:t>
            </w:r>
          </w:p>
        </w:tc>
        <w:tc>
          <w:tcPr>
            <w:tcW w:type="dxa" w:w="1440"/>
          </w:tcPr>
          <w:p>
            <w:r>
              <w:t>OLS +0.038 -&gt; +2.781 cm/km, difference +2.744 cm/km</w:t>
            </w:r>
          </w:p>
        </w:tc>
        <w:tc>
          <w:tcPr>
            <w:tcW w:type="dxa" w:w="1440"/>
          </w:tcPr>
          <w:p>
            <w:r>
              <w:t>95% CI [+1.454, +4.323]; permutation p = 3.00e-04</w:t>
            </w:r>
          </w:p>
        </w:tc>
        <w:tc>
          <w:tcPr>
            <w:tcW w:type="dxa" w:w="1440"/>
          </w:tcPr>
          <w:p>
            <w:r>
              <w:t>14 pre / 14 post</w:t>
            </w:r>
          </w:p>
        </w:tc>
        <w:tc>
          <w:tcPr>
            <w:tcW w:type="dxa" w:w="1440"/>
          </w:tcPr>
          <w:p>
            <w:r>
              <w:t>SUPPORTED</w:t>
            </w:r>
          </w:p>
        </w:tc>
      </w:tr>
      <w:tr>
        <w:tc>
          <w:tcPr>
            <w:tcW w:type="dxa" w:w="1440"/>
          </w:tcPr>
          <w:p>
            <w:r>
              <w:t>M1.2</w:t>
            </w:r>
          </w:p>
        </w:tc>
        <w:tc>
          <w:tcPr>
            <w:tcW w:type="dxa" w:w="1440"/>
          </w:tcPr>
          <w:p>
            <w:r>
              <w:t>The drawdown period is intermediate between the two regimes.</w:t>
            </w:r>
          </w:p>
        </w:tc>
        <w:tc>
          <w:tcPr>
            <w:tcW w:type="dxa" w:w="1440"/>
          </w:tcPr>
          <w:p>
            <w:r>
              <w:t>Theil-Sen median +3.245 cm/km (2023-07-07..2023-09-07)</w:t>
            </w:r>
          </w:p>
        </w:tc>
        <w:tc>
          <w:tcPr>
            <w:tcW w:type="dxa" w:w="1440"/>
          </w:tcPr>
          <w:p>
            <w:r>
              <w:t>sits between the pre-breach and post-breach medians</w:t>
            </w:r>
          </w:p>
        </w:tc>
        <w:tc>
          <w:tcPr>
            <w:tcW w:type="dxa" w:w="1440"/>
          </w:tcPr>
          <w:p>
            <w:r>
              <w:t>5</w:t>
            </w:r>
          </w:p>
        </w:tc>
        <w:tc>
          <w:tcPr>
            <w:tcW w:type="dxa" w:w="1440"/>
          </w:tcPr>
          <w:p>
            <w:r>
              <w:t>SUPPORTED_WITH_LIMITATION</w:t>
            </w:r>
          </w:p>
        </w:tc>
      </w:tr>
      <w:tr>
        <w:tc>
          <w:tcPr>
            <w:tcW w:type="dxa" w:w="1440"/>
          </w:tcPr>
          <w:p>
            <w:r>
              <w:t>M1.4</w:t>
            </w:r>
          </w:p>
        </w:tc>
        <w:tc>
          <w:tcPr>
            <w:tcW w:type="dxa" w:w="1440"/>
          </w:tcPr>
          <w:p>
            <w:r>
              <w:t>Restricting both periods to the main channel weakens the contrast and its confidence interval includes zero: the channel-only test is underpowered, not a refutation.</w:t>
            </w:r>
          </w:p>
        </w:tc>
        <w:tc>
          <w:tcPr>
            <w:tcW w:type="dxa" w:w="1440"/>
          </w:tcPr>
          <w:p>
            <w:r>
              <w:t>Theil-Sen difference +1.109 cm/km, 95% CI [-0.086, +2.186]</w:t>
            </w:r>
          </w:p>
        </w:tc>
        <w:tc>
          <w:tcPr>
            <w:tcW w:type="dxa" w:w="1440"/>
          </w:tcPr>
          <w:p>
            <w:r>
              <w:t>permutation p = 0.0009; post positive 4/6; Cliff's delta -0.467</w:t>
            </w:r>
          </w:p>
        </w:tc>
        <w:tc>
          <w:tcPr>
            <w:tcW w:type="dxa" w:w="1440"/>
          </w:tcPr>
          <w:p>
            <w:r>
              <w:t>20 pre / 6 post</w:t>
            </w:r>
          </w:p>
        </w:tc>
        <w:tc>
          <w:tcPr>
            <w:tcW w:type="dxa" w:w="1440"/>
          </w:tcPr>
          <w:p>
            <w:r>
              <w:t>REVISE_UNCERTAINTY</w:t>
            </w:r>
          </w:p>
        </w:tc>
      </w:tr>
      <w:tr>
        <w:tc>
          <w:tcPr>
            <w:tcW w:type="dxa" w:w="1440"/>
          </w:tcPr>
          <w:p>
            <w:r>
              <w:t>M2.1</w:t>
            </w:r>
          </w:p>
        </w:tc>
        <w:tc>
          <w:tcPr>
            <w:tcW w:type="dxa" w:w="1440"/>
          </w:tcPr>
          <w:p>
            <w:r>
              <w:t>Water-surface heterogeneity within the former reservoir footprint increased after the breach.</w:t>
            </w:r>
          </w:p>
        </w:tc>
        <w:tc>
          <w:tcPr>
            <w:tcW w:type="dxa" w:w="1440"/>
          </w:tcPr>
          <w:p>
            <w:r>
              <w:t>0.117 m -&gt; 0.397 m, difference +0.280 m</w:t>
            </w:r>
          </w:p>
        </w:tc>
        <w:tc>
          <w:tcPr>
            <w:tcW w:type="dxa" w:w="1440"/>
          </w:tcPr>
          <w:p>
            <w:r>
              <w:t>95% CI [+0.138, +0.367] m; permutation p = 5.00e-05; Mann-Whitney p = 1.57e-11</w:t>
            </w:r>
          </w:p>
        </w:tc>
        <w:tc>
          <w:tcPr>
            <w:tcW w:type="dxa" w:w="1440"/>
          </w:tcPr>
          <w:p>
            <w:r>
              <w:t>192 pre / 23 post</w:t>
            </w:r>
          </w:p>
        </w:tc>
        <w:tc>
          <w:tcPr>
            <w:tcW w:type="dxa" w:w="1440"/>
          </w:tcPr>
          <w:p>
            <w:r>
              <w:t>SUPPORTED</w:t>
            </w:r>
          </w:p>
        </w:tc>
      </w:tr>
      <w:tr>
        <w:tc>
          <w:tcPr>
            <w:tcW w:type="dxa" w:w="1440"/>
          </w:tcPr>
          <w:p>
            <w:r>
              <w:t>M3.1</w:t>
            </w:r>
          </w:p>
        </w:tc>
        <w:tc>
          <w:tcPr>
            <w:tcW w:type="dxa" w:w="1440"/>
          </w:tcPr>
          <w:p>
            <w:r>
              <w:t>Sentinel-2 shows the planform transition from a single continuous impounded surface to a fragmented, channel-dominated system with residual water bodies.</w:t>
            </w:r>
          </w:p>
        </w:tc>
        <w:tc>
          <w:tcPr>
            <w:tcW w:type="dxa" w:w="1440"/>
          </w:tcPr>
          <w:p>
            <w:r>
              <w:t>pre-breach 2023-06-05: 2 water bodies, 2,129 km2, largest component 99.995% of water area / post-breach median 503 bodies, 289 km2, largest component 58.2%</w:t>
            </w:r>
          </w:p>
        </w:tc>
        <w:tc>
          <w:tcPr>
            <w:tcW w:type="dxa" w:w="1440"/>
          </w:tcPr>
          <w:p>
            <w:r>
              <w:t>post-breach range 161-634 bodies; largest-component fraction 31.5-80.6%</w:t>
            </w:r>
          </w:p>
        </w:tc>
        <w:tc>
          <w:tcPr>
            <w:tcW w:type="dxa" w:w="1440"/>
          </w:tcPr>
          <w:p>
            <w:r>
              <w:t>1 pre / 4 post</w:t>
            </w:r>
          </w:p>
        </w:tc>
        <w:tc>
          <w:tcPr>
            <w:tcW w:type="dxa" w:w="1440"/>
          </w:tcPr>
          <w:p>
            <w:r>
              <w:t>SUPPORTED_WITH_LIMITATION</w:t>
            </w:r>
          </w:p>
        </w:tc>
      </w:tr>
      <w:tr>
        <w:tc>
          <w:tcPr>
            <w:tcW w:type="dxa" w:w="1440"/>
          </w:tcPr>
          <w:p>
            <w:r>
              <w:t>M3.2</w:t>
            </w:r>
          </w:p>
        </w:tc>
        <w:tc>
          <w:tcPr>
            <w:tcW w:type="dxa" w:w="1440"/>
          </w:tcPr>
          <w:p>
            <w:r>
              <w:t>Residual water bodies sit systematically below the adjacent channel stem, consistent with disconnected remnant ponds rather than a continuous water surface.</w:t>
            </w:r>
          </w:p>
        </w:tc>
        <w:tc>
          <w:tcPr>
            <w:tcW w:type="dxa" w:w="1440"/>
          </w:tcPr>
          <w:p>
            <w:r>
              <w:t>median offset -0.595 m</w:t>
            </w:r>
          </w:p>
        </w:tc>
        <w:tc>
          <w:tcPr>
            <w:tcW w:type="dxa" w:w="1440"/>
          </w:tcPr>
          <w:p>
            <w:r>
              <w:t>NMAD 0.459 m; p05 -1.19, p95 +0.51 m; 15.3% lie above the stem</w:t>
            </w:r>
          </w:p>
        </w:tc>
        <w:tc>
          <w:tcPr>
            <w:tcW w:type="dxa" w:w="1440"/>
          </w:tcPr>
          <w:p>
            <w:r>
              <w:t>678</w:t>
            </w:r>
          </w:p>
        </w:tc>
        <w:tc>
          <w:tcPr>
            <w:tcW w:type="dxa" w:w="1440"/>
          </w:tcPr>
          <w:p>
            <w:r>
              <w:t>SUPPORTED_WITH_LIMITATION</w:t>
            </w:r>
          </w:p>
        </w:tc>
      </w:tr>
      <w:tr>
        <w:tc>
          <w:tcPr>
            <w:tcW w:type="dxa" w:w="1440"/>
          </w:tcPr>
          <w:p>
            <w:r>
              <w:t>V10.1</w:t>
            </w:r>
          </w:p>
        </w:tc>
        <w:tc>
          <w:tcPr>
            <w:tcW w:type="dxa" w:w="1440"/>
          </w:tcPr>
          <w:p>
            <w:r>
              <w:t>An independently reconstructed bathymetric surface reproduces the historical reservoir-wide drawdown exposure fraction and its upstream increase, under all four cross-validated interpolators.</w:t>
            </w:r>
          </w:p>
        </w:tc>
        <w:tc>
          <w:tcPr>
            <w:tcW w:type="dxa" w:w="1440"/>
          </w:tcPr>
          <w:p>
            <w:r>
              <w:t>whole mapped reservoir: historical 12.9% vs reconstructed 12.77% (diff -0.18 pp)</w:t>
            </w:r>
          </w:p>
        </w:tc>
        <w:tc>
          <w:tcPr>
            <w:tcW w:type="dxa" w:w="1440"/>
          </w:tcPr>
          <w:p>
            <w:r>
              <w:t>across interpolators 12.61-13.29% (spread 0.68 pp); by reach historical 3.9 / 9.4 / 26.0 % vs reconstructed 7.5 / 9.3 / 21.7 %</w:t>
            </w:r>
          </w:p>
        </w:tc>
        <w:tc>
          <w:tcPr>
            <w:tcW w:type="dxa" w:w="1440"/>
          </w:tcPr>
          <w:p>
            <w:r>
              <w:t>3</w:t>
            </w:r>
          </w:p>
        </w:tc>
        <w:tc>
          <w:tcPr>
            <w:tcW w:type="dxa" w:w="1440"/>
          </w:tcPr>
          <w:p>
            <w:r>
              <w:t>SUPPORTED</w:t>
            </w:r>
          </w:p>
        </w:tc>
      </w:tr>
      <w:tr>
        <w:tc>
          <w:tcPr>
            <w:tcW w:type="dxa" w:w="1440"/>
          </w:tcPr>
          <w:p>
            <w:r>
              <w:t>K1.1</w:t>
            </w:r>
          </w:p>
        </w:tc>
        <w:tc>
          <w:tcPr>
            <w:tcW w:type="dxa" w:w="1440"/>
          </w:tcPr>
          <w:p>
            <w:r>
              <w:t>Wetted width on 157 SWORD-node transects below the dam is larger after the breach on comparable late-summer dates at matched Kherson stage.</w:t>
            </w:r>
          </w:p>
        </w:tc>
        <w:tc>
          <w:tcPr>
            <w:tcW w:type="dxa" w:w="1440"/>
          </w:tcPr>
          <w:p>
            <w:r>
              <w:t>2025 median 690 m (p25 465, p75 895); main arm 560 m</w:t>
            </w:r>
          </w:p>
        </w:tc>
        <w:tc>
          <w:tcPr>
            <w:tcW w:type="dxa" w:w="1440"/>
          </w:tcPr>
          <w:p/>
        </w:tc>
        <w:tc>
          <w:tcPr>
            <w:tcW w:type="dxa" w:w="1440"/>
          </w:tcPr>
          <w:p>
            <w:r>
              <w:t>406 valid transect-dates on 4 dates; Kherson stage median -0.2 m</w:t>
            </w:r>
          </w:p>
        </w:tc>
        <w:tc>
          <w:tcPr>
            <w:tcW w:type="dxa" w:w="1440"/>
          </w:tcPr>
          <w:p>
            <w:r>
              <w:t>SUPPORTED_WITH_LIMITATION</w:t>
            </w:r>
          </w:p>
        </w:tc>
      </w:tr>
      <w:tr>
        <w:tc>
          <w:tcPr>
            <w:tcW w:type="dxa" w:w="1440"/>
          </w:tcPr>
          <w:p>
            <w:r>
              <w:t>N1.1</w:t>
            </w:r>
          </w:p>
        </w:tc>
        <w:tc>
          <w:tcPr>
            <w:tcW w:type="dxa" w:w="1440"/>
          </w:tcPr>
          <w:p>
            <w:r>
              <w:t>The area-weighted Manning n of the former pool roughly doubles between the breach state and 2025 as class areas move from open water to reed and young woody cover.</w:t>
            </w:r>
          </w:p>
        </w:tc>
        <w:tc>
          <w:tcPr>
            <w:tcW w:type="dxa" w:w="1440"/>
          </w:tcPr>
          <w:p>
            <w:r>
              <w:t>n 0.032 → 0.063; median Δn +0.035</w:t>
            </w:r>
          </w:p>
        </w:tc>
        <w:tc>
          <w:tcPr>
            <w:tcW w:type="dxa" w:w="1440"/>
          </w:tcPr>
          <w:p>
            <w:r>
              <w:t>share of area with Δn &gt; 0.02: 0.63; Δn &lt; −0.02: 0.004</w:t>
            </w:r>
          </w:p>
        </w:tc>
        <w:tc>
          <w:tcPr>
            <w:tcW w:type="dxa" w:w="1440"/>
          </w:tcPr>
          <w:p>
            <w:r>
              <w:t>2154 km²</w:t>
            </w:r>
          </w:p>
        </w:tc>
        <w:tc>
          <w:tcPr>
            <w:tcW w:type="dxa" w:w="1440"/>
          </w:tcPr>
          <w:p>
            <w:r>
              <w:t>SUPPORTED_WITH_LIMITATION</w:t>
            </w:r>
          </w:p>
        </w:tc>
      </w:tr>
    </w:tbl>
    <w:p/>
    <w:p>
      <w:pPr>
        <w:pStyle w:val="Heading1"/>
      </w:pPr>
      <w:r>
        <w:t>6.4 The channel-restricted control</w:t>
      </w:r>
    </w:p>
    <w:p>
      <w:pPr>
        <w:spacing w:line="360" w:lineRule="auto"/>
        <w:jc w:val="both"/>
      </w:pPr>
      <w:r>
        <w:t>Обмеження обох періодів класифікованим головним руслом послаблює контраст, а його інтервал включає нуль: оцінювач Тейла–Сена різниці +1.109 cm/km, 95% CI [-0.086, +2.186] на 20 pre / 6 post. Це зазначено як обмеження основного результату, який тому слід трактувати як твердження про водну поверхню в межах колишньої площі водосховища, а не суворо про русло.</w:t>
      </w:r>
    </w:p>
    <w:p>
      <w:pPr>
        <w:pStyle w:val="Heading1"/>
      </w:pPr>
      <w:r>
        <w:t>6.5 Water-surface heterogeneity</w:t>
      </w:r>
    </w:p>
    <w:p>
      <w:pPr>
        <w:spacing w:line="360" w:lineRule="auto"/>
        <w:jc w:val="both"/>
      </w:pPr>
      <w:r>
        <w:t>На всіх ATL13 dates у межах променя, діапазон висоти водної поверхні p95–p05  у межах прольоту зріс з 0.117 m до 0.397 m, різниця +0.280 m (95% CI [+0.138, +0.367] м; перестановочний тест p = 5.00e-05; Mann-Whitney p = 1.57e-11; 192 до / 23 після). Ця метрика обчислюється для повної вибірки ATL13  і відрізняється від діапазону вибірки ухилу водної поверхні в межах профілю.</w:t>
      </w:r>
    </w:p>
    <w:p>
      <w:pPr>
        <w:pStyle w:val="Heading1"/>
      </w:pPr>
      <w:r>
        <w:t>6.6 Planform transformation</w:t>
      </w:r>
    </w:p>
    <w:p>
      <w:pPr>
        <w:spacing w:line="360" w:lineRule="auto"/>
        <w:jc w:val="both"/>
      </w:pPr>
      <w:r>
        <w:t>Маски води Sentinel-2  із порогом покриття демонструють перехід від однієї суцільної підпертої поверхні до русла з розрізненими залишками: до прориву греблі 2023-06-05: 2  водних об'єктів, 2,129 km2, найбільший компонент 99.995% водної площі | після прориву греблі медіана 503  об'єктів, 289 km2, найбільший компонент 58.2%. Лише одна дата до прориву греблі має майже повне покриття, тому цей контраст є описовим і не містить результатів перевірки значущості; кількість водних об'єктів не наводиться, оскільки вона масштабується відповідно до спостережуваної частки площі охоплення.</w:t>
      </w:r>
    </w:p>
    <w:p>
      <w:pPr>
        <w:pStyle w:val="Heading1"/>
      </w:pPr>
      <w:r>
        <w:t>6.7 Residual water bodies</w:t>
      </w:r>
    </w:p>
    <w:p>
      <w:pPr>
        <w:spacing w:line="360" w:lineRule="auto"/>
        <w:jc w:val="both"/>
      </w:pPr>
      <w:r>
        <w:t>Класифіковані залишкові водні об'єкти розташовані нижче прилеглого русла: медіанне зміщення -0.595 m (NMAD 0.459 m; p05 -1.19, p95 +0.51 m; 15.3% розташовані вище русла; n = 678), що узгоджується з відокремленими залишками, які залягають у зниженнях, а не з безперервною поверхнею.</w:t>
      </w:r>
    </w:p>
    <w:p>
      <w:pPr>
        <w:pStyle w:val="Heading1"/>
      </w:pPr>
      <w:r>
        <w:t>6.8 Persistence</w:t>
      </w:r>
    </w:p>
    <w:p>
      <w:pPr>
        <w:spacing w:line="360" w:lineRule="auto"/>
        <w:jc w:val="both"/>
      </w:pPr>
      <w:r>
        <w:t>Кожен проліт після прориву греблі з січня 2024  до листопада 2025  має додатний ухил водної поверхні; узгодженість знаків 14/14  та величина ефекту, а не p-значення, є доказом того, що новий стан зберігається після завершення перехідного процесу дренажу.</w:t>
      </w:r>
    </w:p>
    <w:p>
      <w:pPr>
        <w:pStyle w:val="Heading1"/>
      </w:pPr>
      <w:r>
        <w:t>6.9 Surface transformation and its hydraulic consequence</w:t>
      </w:r>
    </w:p>
    <w:p>
      <w:pPr>
        <w:spacing w:line="360" w:lineRule="auto"/>
        <w:jc w:val="both"/>
      </w:pPr>
      <w:r>
        <w:t>Колишня водна поверхня — полігон акваторії, що перетинається з водою у режимі до прориву греблі, басейн 2174.7 km²; колишня водна поверхня 2107.0 km²; залишкова суша 55.0 km² — була класифікована на кожній даті Sentinel-2 date на десять класів поверхні. Медіанні частки класів змінювалися від veg 26.9%, bare 25.6%, water 36.7% (2023) через veg 72.0%, bare 7.6%, water 16.6% (2024) до veg 83.8%, bare 4.0%, water 10.8% (2025) (діапазон за датою veg 0.00–0.88; спостережувана частка 0.48); у зонах модальних класів у першому сезоні переважали відкрита вода та сухий оголений осад (2023: open water 673, dry bare 612, sparse herb 166, reed 417 km²), до 2024  очерет / затоплена рослинність займали найбільшу площу (2024: open water 212, dry bare 137, dense herb 159, reed 1031 km²), а до 2025 d щільний трав'янистий покрив розширився, тоді як відкрита вода та оголений осад скоротилися (2025: open water 90, dry bare 38, dense herb 286, reed 686 km²). Матриці переходів показують, звідки з'явилася рослинність — 2023→2025 (1258 km²): water→veg 407, sediment→veg 406, veg→veg 261, water→water 116 km² — а аналіз першої події з інтервальним цензуруванням показує швидкість: оголено до кінця серії 2031 km² (цензуровано 76); вкрито рослинністю 1925 km² (цензуровано 182); верхні квантилі оголення (д) [29.0, 29.0, 29.0, 82.0, 94.0]; верхні квантилі рослинності (д) [29.0, 72.0, 94.0, 109.0, 424.0]. Оскільки спектральні індекси не можуть відокремити чагарниковий або деревно-чагарниковий покрив від трав'янистого покриву, за залісненням стежили за допомогою ймовірностей Dynamic World на тій самій поверхні: частка woody prob ≥0.3: 0.03% (2022) → 0.31% (2023) → 25.2% (2024); мітка 'trees' 2024 21.8%. Це виміряні частки класів та площі без оцінки точності: 320-точкова стратифікована еталонна вибірка, розроблена для цієї мети, ще не розмічена, і жодна площа з поправкою на помилку або точність для кожного класу не заявлена.</w:t>
      </w:r>
    </w:p>
    <w:p>
      <w:pPr>
        <w:spacing w:line="360" w:lineRule="auto"/>
        <w:jc w:val="both"/>
      </w:pPr>
      <w:r>
        <w:rPr>
          <w:b/>
        </w:rPr>
        <w:t>Таблиця 6.  Площі класів поверхні колишньої водної поверхні за роками / станом (км²).</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claim_id</w:t>
            </w:r>
          </w:p>
        </w:tc>
        <w:tc>
          <w:tcPr>
            <w:tcW w:type="dxa" w:w="1728"/>
          </w:tcPr>
          <w:p>
            <w:r>
              <w:rPr>
                <w:b/>
              </w:rPr>
              <w:t>claim_text</w:t>
            </w:r>
          </w:p>
        </w:tc>
        <w:tc>
          <w:tcPr>
            <w:tcW w:type="dxa" w:w="1728"/>
          </w:tcPr>
          <w:p>
            <w:r>
              <w:rPr>
                <w:b/>
              </w:rPr>
              <w:t>value_resolved</w:t>
            </w:r>
          </w:p>
        </w:tc>
        <w:tc>
          <w:tcPr>
            <w:tcW w:type="dxa" w:w="1728"/>
          </w:tcPr>
          <w:p>
            <w:r>
              <w:rPr>
                <w:b/>
              </w:rPr>
              <w:t>n_resolved</w:t>
            </w:r>
          </w:p>
        </w:tc>
        <w:tc>
          <w:tcPr>
            <w:tcW w:type="dxa" w:w="1728"/>
          </w:tcPr>
          <w:p>
            <w:r>
              <w:rPr>
                <w:b/>
              </w:rPr>
              <w:t>audit_status</w:t>
            </w:r>
          </w:p>
        </w:tc>
      </w:tr>
      <w:tr>
        <w:tc>
          <w:tcPr>
            <w:tcW w:type="dxa" w:w="1728"/>
          </w:tcPr>
          <w:p>
            <w:r>
              <w:t>S1.5</w:t>
            </w:r>
          </w:p>
        </w:tc>
        <w:tc>
          <w:tcPr>
            <w:tcW w:type="dxa" w:w="1728"/>
          </w:tcPr>
          <w:p>
            <w:r>
              <w:t>The analysis domain is the former water surface: pool polygon ∧ pre-breach mode water.</w:t>
            </w:r>
          </w:p>
        </w:tc>
        <w:tc>
          <w:tcPr>
            <w:tcW w:type="dxa" w:w="1728"/>
          </w:tcPr>
          <w:p>
            <w:r>
              <w:t>pool 2174.7 km²; former water surface 2107.0 km²; legacy land 55.0 km²</w:t>
            </w:r>
          </w:p>
        </w:tc>
        <w:tc>
          <w:tcPr>
            <w:tcW w:type="dxa" w:w="1728"/>
          </w:tcPr>
          <w:p>
            <w:r>
              <w:t>53 Sentinel-2 dates</w:t>
            </w:r>
          </w:p>
        </w:tc>
        <w:tc>
          <w:tcPr>
            <w:tcW w:type="dxa" w:w="1728"/>
          </w:tcPr>
          <w:p>
            <w:r>
              <w:t>SUPPORTED</w:t>
            </w:r>
          </w:p>
        </w:tc>
      </w:tr>
      <w:tr>
        <w:tc>
          <w:tcPr>
            <w:tcW w:type="dxa" w:w="1728"/>
          </w:tcPr>
          <w:p>
            <w:r>
              <w:t>S1.1a</w:t>
            </w:r>
          </w:p>
        </w:tc>
        <w:tc>
          <w:tcPr>
            <w:tcW w:type="dxa" w:w="1728"/>
          </w:tcPr>
          <w:p>
            <w:r>
              <w:t>Vegetated share of the former water surface in the first leaf-on season (2023).</w:t>
            </w:r>
          </w:p>
        </w:tc>
        <w:tc>
          <w:tcPr>
            <w:tcW w:type="dxa" w:w="1728"/>
          </w:tcPr>
          <w:p>
            <w:r>
              <w:t>veg 26.9%, bare 25.6%, water 36.7% (2023)</w:t>
            </w:r>
          </w:p>
        </w:tc>
        <w:tc>
          <w:tcPr>
            <w:tcW w:type="dxa" w:w="1728"/>
          </w:tcPr>
          <w:p>
            <w:r>
              <w:t>10 leaf-on dates</w:t>
            </w:r>
          </w:p>
        </w:tc>
        <w:tc>
          <w:tcPr>
            <w:tcW w:type="dxa" w:w="1728"/>
          </w:tcPr>
          <w:p>
            <w:r>
              <w:t>SUPPORTED_WITH_LIMITATION</w:t>
            </w:r>
          </w:p>
        </w:tc>
      </w:tr>
      <w:tr>
        <w:tc>
          <w:tcPr>
            <w:tcW w:type="dxa" w:w="1728"/>
          </w:tcPr>
          <w:p>
            <w:r>
              <w:t>S1.1b</w:t>
            </w:r>
          </w:p>
        </w:tc>
        <w:tc>
          <w:tcPr>
            <w:tcW w:type="dxa" w:w="1728"/>
          </w:tcPr>
          <w:p>
            <w:r>
              <w:t>Vegetated share of the former water surface in 2024.</w:t>
            </w:r>
          </w:p>
        </w:tc>
        <w:tc>
          <w:tcPr>
            <w:tcW w:type="dxa" w:w="1728"/>
          </w:tcPr>
          <w:p>
            <w:r>
              <w:t>veg 72.0%, bare 7.6%, water 16.6% (2024)</w:t>
            </w:r>
          </w:p>
        </w:tc>
        <w:tc>
          <w:tcPr>
            <w:tcW w:type="dxa" w:w="1728"/>
          </w:tcPr>
          <w:p>
            <w:r>
              <w:t>5 leaf-on dates</w:t>
            </w:r>
          </w:p>
        </w:tc>
        <w:tc>
          <w:tcPr>
            <w:tcW w:type="dxa" w:w="1728"/>
          </w:tcPr>
          <w:p>
            <w:r>
              <w:t>SUPPORTED_WITH_LIMITATION</w:t>
            </w:r>
          </w:p>
        </w:tc>
      </w:tr>
      <w:tr>
        <w:tc>
          <w:tcPr>
            <w:tcW w:type="dxa" w:w="1728"/>
          </w:tcPr>
          <w:p>
            <w:r>
              <w:t>S1.1</w:t>
            </w:r>
          </w:p>
        </w:tc>
        <w:tc>
          <w:tcPr>
            <w:tcW w:type="dxa" w:w="1728"/>
          </w:tcPr>
          <w:p>
            <w:r>
              <w:t>The vegetated share (classes 5–7) of the 2 107 km² former water surface rose from 2023 to 2025 on leaf-on Sentinel-2 dates, while bare sediment and residual water shrank.</w:t>
            </w:r>
          </w:p>
        </w:tc>
        <w:tc>
          <w:tcPr>
            <w:tcW w:type="dxa" w:w="1728"/>
          </w:tcPr>
          <w:p>
            <w:r>
              <w:t>veg 83.8%, bare 4.0%, water 10.8% (2025)</w:t>
            </w:r>
          </w:p>
        </w:tc>
        <w:tc>
          <w:tcPr>
            <w:tcW w:type="dxa" w:w="1728"/>
          </w:tcPr>
          <w:p>
            <w:r>
              <w:t>12 leaf-on dates</w:t>
            </w:r>
          </w:p>
        </w:tc>
        <w:tc>
          <w:tcPr>
            <w:tcW w:type="dxa" w:w="1728"/>
          </w:tcPr>
          <w:p>
            <w:r>
              <w:t>SUPPORTED_WITH_LIMITATION</w:t>
            </w:r>
          </w:p>
        </w:tc>
      </w:tr>
      <w:tr>
        <w:tc>
          <w:tcPr>
            <w:tcW w:type="dxa" w:w="1728"/>
          </w:tcPr>
          <w:p>
            <w:r>
              <w:t>S1.2a</w:t>
            </w:r>
          </w:p>
        </w:tc>
        <w:tc>
          <w:tcPr>
            <w:tcW w:type="dxa" w:w="1728"/>
          </w:tcPr>
          <w:p>
            <w:r>
              <w:t>Mode-class areas of the former water surface in 2023 (first exposure).</w:t>
            </w:r>
          </w:p>
        </w:tc>
        <w:tc>
          <w:tcPr>
            <w:tcW w:type="dxa" w:w="1728"/>
          </w:tcPr>
          <w:p>
            <w:r>
              <w:t>2023: open water 673, dry bare 612, sparse herb 166, reed 417 km²</w:t>
            </w:r>
          </w:p>
        </w:tc>
        <w:tc>
          <w:tcPr>
            <w:tcW w:type="dxa" w:w="1728"/>
          </w:tcPr>
          <w:p>
            <w:r>
              <w:t>2107 km²</w:t>
            </w:r>
          </w:p>
        </w:tc>
        <w:tc>
          <w:tcPr>
            <w:tcW w:type="dxa" w:w="1728"/>
          </w:tcPr>
          <w:p>
            <w:r>
              <w:t>SUPPORTED_WITH_LIMITATION</w:t>
            </w:r>
          </w:p>
        </w:tc>
      </w:tr>
      <w:tr>
        <w:tc>
          <w:tcPr>
            <w:tcW w:type="dxa" w:w="1728"/>
          </w:tcPr>
          <w:p>
            <w:r>
              <w:t>S1.2b</w:t>
            </w:r>
          </w:p>
        </w:tc>
        <w:tc>
          <w:tcPr>
            <w:tcW w:type="dxa" w:w="1728"/>
          </w:tcPr>
          <w:p>
            <w:r>
              <w:t>Mode-class areas of the former water surface in 2024 (reed maximum).</w:t>
            </w:r>
          </w:p>
        </w:tc>
        <w:tc>
          <w:tcPr>
            <w:tcW w:type="dxa" w:w="1728"/>
          </w:tcPr>
          <w:p>
            <w:r>
              <w:t>2024: open water 212, dry bare 137, dense herb 159, reed 1031 km²</w:t>
            </w:r>
          </w:p>
        </w:tc>
        <w:tc>
          <w:tcPr>
            <w:tcW w:type="dxa" w:w="1728"/>
          </w:tcPr>
          <w:p>
            <w:r>
              <w:t>1920 km²</w:t>
            </w:r>
          </w:p>
        </w:tc>
        <w:tc>
          <w:tcPr>
            <w:tcW w:type="dxa" w:w="1728"/>
          </w:tcPr>
          <w:p>
            <w:r>
              <w:t>SUPPORTED_WITH_LIMITATION</w:t>
            </w:r>
          </w:p>
        </w:tc>
      </w:tr>
      <w:tr>
        <w:tc>
          <w:tcPr>
            <w:tcW w:type="dxa" w:w="1728"/>
          </w:tcPr>
          <w:p>
            <w:r>
              <w:t>S1.2</w:t>
            </w:r>
          </w:p>
        </w:tc>
        <w:tc>
          <w:tcPr>
            <w:tcW w:type="dxa" w:w="1728"/>
          </w:tcPr>
          <w:p>
            <w:r>
              <w:t>Mode-class areas of the former water surface by year: reed/flooded vegetation peaks in 2024 and dense herbaceous cover expands in 2025 while open water and dry bare sediment collapse.</w:t>
            </w:r>
          </w:p>
        </w:tc>
        <w:tc>
          <w:tcPr>
            <w:tcW w:type="dxa" w:w="1728"/>
          </w:tcPr>
          <w:p>
            <w:r>
              <w:t>2025: open water 90, dry bare 38, dense herb 286, reed 686 km²</w:t>
            </w:r>
          </w:p>
        </w:tc>
        <w:tc>
          <w:tcPr>
            <w:tcW w:type="dxa" w:w="1728"/>
          </w:tcPr>
          <w:p>
            <w:r>
              <w:t>1258 km² with ≥2 observations</w:t>
            </w:r>
          </w:p>
        </w:tc>
        <w:tc>
          <w:tcPr>
            <w:tcW w:type="dxa" w:w="1728"/>
          </w:tcPr>
          <w:p>
            <w:r>
              <w:t>SUPPORTED_WITH_LIMITATION</w:t>
            </w:r>
          </w:p>
        </w:tc>
      </w:tr>
      <w:tr>
        <w:tc>
          <w:tcPr>
            <w:tcW w:type="dxa" w:w="1728"/>
          </w:tcPr>
          <w:p>
            <w:r>
              <w:t>S1.3</w:t>
            </w:r>
          </w:p>
        </w:tc>
        <w:tc>
          <w:tcPr>
            <w:tcW w:type="dxa" w:w="1728"/>
          </w:tcPr>
          <w:p>
            <w:r>
              <w:t>Between 2023 and 2025 the former water surface moved to vegetation from both residual water and bare sediment; the vegetation→vegetation persistence dominates 2024→2025.</w:t>
            </w:r>
          </w:p>
        </w:tc>
        <w:tc>
          <w:tcPr>
            <w:tcW w:type="dxa" w:w="1728"/>
          </w:tcPr>
          <w:p>
            <w:r>
              <w:t>2023→2025 (1258 km²): water→veg 407, sediment→veg 406, veg→veg 261, water→water 116 km²</w:t>
            </w:r>
          </w:p>
        </w:tc>
        <w:tc>
          <w:tcPr>
            <w:tcW w:type="dxa" w:w="1728"/>
          </w:tcPr>
          <w:p/>
        </w:tc>
        <w:tc>
          <w:tcPr>
            <w:tcW w:type="dxa" w:w="1728"/>
          </w:tcPr>
          <w:p>
            <w:r>
              <w:t>SUPPORTED_WITH_LIMITATION</w:t>
            </w:r>
          </w:p>
        </w:tc>
      </w:tr>
      <w:tr>
        <w:tc>
          <w:tcPr>
            <w:tcW w:type="dxa" w:w="1728"/>
          </w:tcPr>
          <w:p>
            <w:r>
              <w:t>N1.2a</w:t>
            </w:r>
          </w:p>
        </w:tc>
        <w:tc>
          <w:tcPr>
            <w:tcW w:type="dxa" w:w="1728"/>
          </w:tcPr>
          <w:p>
            <w:r>
              <w:t>Roughness-class areas of the former pool at the breach state (almost entirely open water).</w:t>
            </w:r>
          </w:p>
        </w:tc>
        <w:tc>
          <w:tcPr>
            <w:tcW w:type="dxa" w:w="1728"/>
          </w:tcPr>
          <w:p>
            <w:r>
              <w:t>open water 2101 of valid 2162 km²; mature woody legacy 30 km²</w:t>
            </w:r>
          </w:p>
        </w:tc>
        <w:tc>
          <w:tcPr>
            <w:tcW w:type="dxa" w:w="1728"/>
          </w:tcPr>
          <w:p/>
        </w:tc>
        <w:tc>
          <w:tcPr>
            <w:tcW w:type="dxa" w:w="1728"/>
          </w:tcPr>
          <w:p>
            <w:r>
              <w:t>SUPPORTED</w:t>
            </w:r>
          </w:p>
        </w:tc>
      </w:tr>
      <w:tr>
        <w:tc>
          <w:tcPr>
            <w:tcW w:type="dxa" w:w="1728"/>
          </w:tcPr>
          <w:p>
            <w:r>
              <w:t>N1.2</w:t>
            </w:r>
          </w:p>
        </w:tc>
        <w:tc>
          <w:tcPr>
            <w:tcW w:type="dxa" w:w="1728"/>
          </w:tcPr>
          <w:p>
            <w:r>
              <w:t>Roughness-class areas of the former pool in the 2025 state (reed and young woody dominate).</w:t>
            </w:r>
          </w:p>
        </w:tc>
        <w:tc>
          <w:tcPr>
            <w:tcW w:type="dxa" w:w="1728"/>
          </w:tcPr>
          <w:p>
            <w:r>
              <w:t>reed 739, young woody dense 472, dense herb 343, open water 174 km²</w:t>
            </w:r>
          </w:p>
        </w:tc>
        <w:tc>
          <w:tcPr>
            <w:tcW w:type="dxa" w:w="1728"/>
          </w:tcPr>
          <w:p>
            <w:r>
              <w:t>valid 2154 km²</w:t>
            </w:r>
          </w:p>
        </w:tc>
        <w:tc>
          <w:tcPr>
            <w:tcW w:type="dxa" w:w="1728"/>
          </w:tcPr>
          <w:p>
            <w:r>
              <w:t>SUPPORTED_WITH_LIMITATION</w:t>
            </w:r>
          </w:p>
        </w:tc>
      </w:tr>
      <w:tr>
        <w:tc>
          <w:tcPr>
            <w:tcW w:type="dxa" w:w="1728"/>
          </w:tcPr>
          <w:p>
            <w:r>
              <w:t>W1.1</w:t>
            </w:r>
          </w:p>
        </w:tc>
        <w:tc>
          <w:tcPr>
            <w:tcW w:type="dxa" w:w="1728"/>
          </w:tcPr>
          <w:p>
            <w:r>
              <w:t>Dynamic World trees+shrub probability over the former water surface rises from near zero in 2022 to a quarter of the area at ≥0.3 in 2024; the 'trees' label alone covers about a fifth.</w:t>
            </w:r>
          </w:p>
        </w:tc>
        <w:tc>
          <w:tcPr>
            <w:tcW w:type="dxa" w:w="1728"/>
          </w:tcPr>
          <w:p>
            <w:r>
              <w:t>share woody prob ≥0.3: 0.03% (2022) → 0.31% (2023) → 25.2% (2024); 'trees' label 2024 21.8%</w:t>
            </w:r>
          </w:p>
        </w:tc>
        <w:tc>
          <w:tcPr>
            <w:tcW w:type="dxa" w:w="1728"/>
          </w:tcPr>
          <w:p/>
        </w:tc>
        <w:tc>
          <w:tcPr>
            <w:tcW w:type="dxa" w:w="1728"/>
          </w:tcPr>
          <w:p>
            <w:r>
              <w:t>SUPPORTED_WITH_LIMITATION</w:t>
            </w:r>
          </w:p>
        </w:tc>
      </w:tr>
    </w:tbl>
    <w:p/>
    <w:p>
      <w:pPr>
        <w:spacing w:line="360" w:lineRule="auto"/>
        <w:jc w:val="both"/>
      </w:pPr>
      <w:r>
        <w:t>Гідравлічний наслідок випливає з перенесення карт класів від стану до стану через опубліковані апріорні значення шорсткості (Таблиця 5). Для колишнього водосховища зважена за площею шорсткість змінилася з n 0.032 → 0.063; медіана Δn +0.035, з часткою площі, де Δn &gt; 0.02: 0.63; Δn &lt; −0.02: 0.004; крок при оголенні був невеликим (n 0.032 → 0.042), а значний крок відбувся з розширенням очерету 2024  (n 0.041 → 0.060; частка Δn &gt; 0.02 0.45). У стані 2025  найбільшими класами є очерет 739, , молодий густий деревно-чагарниковий покрив 472, d, густа трав'яниста рослинність 343, , відкрита вода 174 km², на противагу стану після прориву греблі, який становив відкриту воду 2101  від дійсних 2162 km²; зрілий деревно-чагарниковий покрив 30 km²; заплава нижче греблі також стає шорсткішою (n 0.069 → 0.067; частка Δn &gt; 0.02 0.05). Ці значення є гідравлічно інтерпретованим шаром шорсткості, отриманим із відображених класів поверхні — жодне гідравлічне спостереження не калібрувало їх, і вони наводяться як наслідок трансформації, а не як виміряні коефіцієнти Маннінга.</w:t>
      </w:r>
    </w:p>
    <w:p>
      <w:pPr>
        <w:spacing w:line="360" w:lineRule="auto"/>
        <w:jc w:val="both"/>
      </w:pPr>
      <w:r>
        <w:rPr>
          <w:b/>
        </w:rPr>
        <w:t>Таблиця 5.  Апріорні значення коефіцієнта шорсткості Маннінга (n) за класом поверхні (підтверджено літературними даними, не відкалібровано).</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claim_id</w:t>
            </w:r>
          </w:p>
        </w:tc>
        <w:tc>
          <w:tcPr>
            <w:tcW w:type="dxa" w:w="2160"/>
          </w:tcPr>
          <w:p>
            <w:r>
              <w:rPr>
                <w:b/>
              </w:rPr>
              <w:t>claim_text</w:t>
            </w:r>
          </w:p>
        </w:tc>
        <w:tc>
          <w:tcPr>
            <w:tcW w:type="dxa" w:w="2160"/>
          </w:tcPr>
          <w:p>
            <w:r>
              <w:rPr>
                <w:b/>
              </w:rPr>
              <w:t>value_resolved</w:t>
            </w:r>
          </w:p>
        </w:tc>
        <w:tc>
          <w:tcPr>
            <w:tcW w:type="dxa" w:w="2160"/>
          </w:tcPr>
          <w:p>
            <w:r>
              <w:rPr>
                <w:b/>
              </w:rPr>
              <w:t>audit_status</w:t>
            </w:r>
          </w:p>
        </w:tc>
      </w:tr>
      <w:tr>
        <w:tc>
          <w:tcPr>
            <w:tcW w:type="dxa" w:w="2160"/>
          </w:tcPr>
          <w:p>
            <w:r>
              <w:t>N1.4</w:t>
            </w:r>
          </w:p>
        </w:tc>
        <w:tc>
          <w:tcPr>
            <w:tcW w:type="dxa" w:w="2160"/>
          </w:tcPr>
          <w:p>
            <w:r>
              <w:t>Manning n prior for reed / tall herbaceous cover (WSP 2339, Chow, HEC-RAS, Järvelä).</w:t>
            </w:r>
          </w:p>
        </w:tc>
        <w:tc>
          <w:tcPr>
            <w:tcW w:type="dxa" w:w="2160"/>
          </w:tcPr>
          <w:p>
            <w:r>
              <w:t>n_low 0.045 / n_base 0.065 / n_high 0.09; confidence medium; LOCALLY_SUPPORTED_CLASS</w:t>
            </w:r>
          </w:p>
        </w:tc>
        <w:tc>
          <w:tcPr>
            <w:tcW w:type="dxa" w:w="2160"/>
          </w:tcPr>
          <w:p>
            <w:r>
              <w:t>SUPPORTED_WITH_LIMITATION</w:t>
            </w:r>
          </w:p>
        </w:tc>
      </w:tr>
      <w:tr>
        <w:tc>
          <w:tcPr>
            <w:tcW w:type="dxa" w:w="2160"/>
          </w:tcPr>
          <w:p>
            <w:r>
              <w:t>N1.4a</w:t>
            </w:r>
          </w:p>
        </w:tc>
        <w:tc>
          <w:tcPr>
            <w:tcW w:type="dxa" w:w="2160"/>
          </w:tcPr>
          <w:p>
            <w:r>
              <w:t>Manning n prior for dense young woody cover.</w:t>
            </w:r>
          </w:p>
        </w:tc>
        <w:tc>
          <w:tcPr>
            <w:tcW w:type="dxa" w:w="2160"/>
          </w:tcPr>
          <w:p>
            <w:r>
              <w:t>n_low 0.07 / n_base 0.1 / n_high 0.16; confidence low</w:t>
            </w:r>
          </w:p>
        </w:tc>
        <w:tc>
          <w:tcPr>
            <w:tcW w:type="dxa" w:w="2160"/>
          </w:tcPr>
          <w:p>
            <w:r>
              <w:t>SUPPORTED_WITH_LIMITATION</w:t>
            </w:r>
          </w:p>
        </w:tc>
      </w:tr>
    </w:tbl>
    <w:p/>
    <w:p>
      <w:pPr>
        <w:pStyle w:val="Heading1"/>
      </w:pPr>
      <w:r>
        <w:t>6.10 Channel widening below the dam</w:t>
      </w:r>
    </w:p>
    <w:p>
      <w:pPr>
        <w:spacing w:line="360" w:lineRule="auto"/>
        <w:jc w:val="both"/>
      </w:pPr>
      <w:r>
        <w:t>На вузлах 321 SWORD, 157 трансектах на 500 m, напівдовжиною 2500 m, ширина змоченого перерізу русла між греблею та Херсоном вимірювалася за кожною придатною датою Sentinel-1/-2 d від 2017  до 2026. . У порівнянні з аналогічними датами наприкінці літа при рівнях води в Херсоні в межах 0.5 m, ширина після прориву греблі є більшою: 2025 m медіана 690 m (p25 465,  p75 895); головний рукав 560 m проти медіани до прориву 2019 m 580 m; головний рукав 500 m; рівень води в Херсоні 0.2 m. Рік прориву демонструє перехідне розгалуження русла: 2023 m медіана 720 m; головний рукав 560 m; медіана кількості рукавів 2. . Водний контур не є геоморфологічним берегом, а зміщення берега відносно референсної дати вересня 2023  залишається на межі виявлення 40 m, тому розширення є твердженням щодо змоченої поверхні при співставному рівні води. Шар рослинності ATL08  над зонами (h_canopy p50 1.58 m, p95 11.87 m) наведено для повноти даних; зміну висоти рослинності неможливо ідентифікувати за допомогою ICESat-2  з поточною геометрією треків (Розділ 7.10).</w:t>
      </w:r>
    </w:p>
    <w:p>
      <w:pPr>
        <w:pStyle w:val="Title"/>
      </w:pPr>
      <w:r>
        <w:t>7. DISCUSSION</w:t>
      </w:r>
    </w:p>
    <w:p>
      <w:pPr>
        <w:pStyle w:val="Heading1"/>
      </w:pPr>
      <w:r>
        <w:t>7.1 From a reservoir-like to a river-dominated regime</w:t>
      </w:r>
    </w:p>
    <w:p>
      <w:pPr>
        <w:spacing w:line="360" w:lineRule="auto"/>
        <w:jc w:val="both"/>
      </w:pPr>
      <w:r>
        <w:t>До прориву греблі знак ухилу водної поверхні на кожний проліт був невідрізнюваним від підкидання монети, а поверхня змінювалася на сантиметри на десятки кілометрів; після нього кожен проліт показує підйом води вище за течією на кілька сантиметрів на кілометр із мінливістю в масштабі метрів, і ця зміна була присутня вже під час спрацювання. Порівняння з переходами від водосховища до річки, задокументованими в інших джерелах, належить до Розділу 7.8  і притримується до моменту підтвердження результатів пошуку літератури.</w:t>
      </w:r>
    </w:p>
    <w:p>
      <w:pPr>
        <w:pStyle w:val="Heading1"/>
      </w:pPr>
      <w:r>
        <w:t>7.2 Why area alone misses the transition</w:t>
      </w:r>
    </w:p>
    <w:p>
      <w:pPr>
        <w:spacing w:line="360" w:lineRule="auto"/>
        <w:jc w:val="both"/>
      </w:pPr>
      <w:r>
        <w:t>Запис планової конфігурації показує одну суцільну поверхню, що перетворюється на русло із залишками, проте лише одна дата до моменту прорив греблі має повне покриття, а кількість об'єктів масштабується відповідно до спостережуваної частки. Альтиметричні величини — ухил водної поверхні та діапазон у межах проліт — є незалежними від покриття тайлів і несуть у собі висновок.</w:t>
      </w:r>
    </w:p>
    <w:p>
      <w:pPr>
        <w:pStyle w:val="Heading1"/>
      </w:pPr>
      <w:r>
        <w:t>7.3 What the satellites can and cannot resolve</w:t>
      </w:r>
    </w:p>
    <w:p>
      <w:pPr>
        <w:spacing w:line="360" w:lineRule="auto"/>
        <w:jc w:val="both"/>
      </w:pPr>
      <w:r>
        <w:t>Кожен ухил водної поверхні для окремого прольоту є локальним і визначається через шість точок променя; узгодженість між даними SWOT та ICESat-2  є сантиметровою лише за умови тісної часової колокації; усереднений для озера продукт не може описати похиле тіло, що фрагментується. Зміна висоти рослинного покриву за даними ICESat-2  потребує пар повторних траєкторій, які поточна геометрія не забезпечує.</w:t>
      </w:r>
    </w:p>
    <w:p>
      <w:pPr>
        <w:pStyle w:val="Heading1"/>
      </w:pPr>
      <w:r>
        <w:t>7.4 The vertical frame</w:t>
      </w:r>
    </w:p>
    <w:p>
      <w:pPr>
        <w:spacing w:line="360" w:lineRule="auto"/>
        <w:jc w:val="both"/>
      </w:pPr>
      <w:r>
        <w:t>Одна офіційна сітка, один квазігеоїд та явний припливний член є мінімумом; емпіричні поправки станцій є локальними і не переносяться між ділянками (Каховське водосховище -0.130 m [-0.184, -0.081] (n=5 станцій) проти Херсона +0.0051 m [-0.0515, +0.0608]). Походження растра квазігеоїда є відкритою проблемою цитування (Розділ 7.10).</w:t>
      </w:r>
    </w:p>
    <w:p>
      <w:pPr>
        <w:pStyle w:val="Heading1"/>
      </w:pPr>
      <w:r>
        <w:t>7.5 What the legacy hydrography contributes</w:t>
      </w:r>
    </w:p>
    <w:p>
      <w:pPr>
        <w:spacing w:line="360" w:lineRule="auto"/>
        <w:jc w:val="both"/>
      </w:pPr>
      <w:r>
        <w:t>Проєктна документація фіксує поверхню до моменту прориву греблі двічі — робочі рівні та криву 1970 , а проміри глибин на карті, після встановлення їхнього рівня зведення, дають дно, чиє оголене дно внаслідок спрацювання узгоджується з історичною статистикою в межах діапазону відліку. Розкид 0.40 m між трьома шляхами до цього рівня, а не довірчий інтервал, є об'єктивною невизначеністю.</w:t>
      </w:r>
    </w:p>
    <w:p>
      <w:pPr>
        <w:pStyle w:val="Heading1"/>
      </w:pPr>
      <w:r>
        <w:t>7.6 Surface transformation as a hydraulic consequence</w:t>
      </w:r>
    </w:p>
    <w:p>
      <w:pPr>
        <w:spacing w:line="360" w:lineRule="auto"/>
        <w:jc w:val="both"/>
      </w:pPr>
      <w:r>
        <w:t>Два сезони перетворили більшу частину колишньої водної поверхні на очерет, трав'янистий покрив та молоду вербу; трансформована через опубліковані апріорні значення, відображена поверхня передбачає приблизно подвійний опір потоку, зважений за площею, порівняно з відкритим плесом (n 0.032 → 0.063; медіана Δn +0.035). Це похідний шар шорсткості, а не відкалібрований коефіцієнт, і він представлений як наслідок трансформації поверхні, а не як гідравлічне вимірювання. Заплавний ліс, задокументований у польових умовах ((Didukh et al., 2024)), є класом, чий апріорний діапазон n є найширшим (n_low 0.07 / n_base 0.1 / n_high 0.16; впевненість низька). Будь-яка гідравлічна реконструкція прориву греблі або майбутніх повеней, що припускає шорсткість відкритої води або оголеного дна на цій поверхні, занижуватиме рівень води; наскільки саме — це питання для відкаліброваної моделі, яку це дослідження не надає. Новизна тут полягає не в класифікації — існують польові карти середовищ існування того самого дна ((Kuzemko et al., 2025); (Didukh et al., 2024)) — а в багаторічному охопленні всієї площі поверхні та серії переходів на одній сітці, а також у їхній інтерпретації як гідравлічно значущого шару.</w:t>
      </w:r>
    </w:p>
    <w:p>
      <w:pPr>
        <w:pStyle w:val="Heading1"/>
      </w:pPr>
      <w:r>
        <w:t>7.7 The channel below the dam</w:t>
      </w:r>
    </w:p>
    <w:p>
      <w:pPr>
        <w:spacing w:line="360" w:lineRule="auto"/>
        <w:jc w:val="both"/>
      </w:pPr>
      <w:r>
        <w:t>Ширша ширина змоченого перерізу при однаковому рівні води, перехідне розгалуження русла протягом тижнів після прориву греблі та зміщення берегів нижче межі виявлення характеризують ділянку, що адаптується, геоморфологічний берег якої ще не був виміряний; прецедент щодо ділянок після видалення гребель в інших місцях не наводиться до моменту написання Розділу 7.8 .</w:t>
      </w:r>
    </w:p>
    <w:p>
      <w:pPr>
        <w:pStyle w:val="Heading1"/>
      </w:pPr>
      <w:r>
        <w:t>7.8 Comparison with literature</w:t>
      </w:r>
    </w:p>
    <w:p>
      <w:pPr>
        <w:pStyle w:val="Heading1"/>
      </w:pPr>
      <w:r>
        <w:t>7.8 Comparison with literature</w:t>
      </w:r>
    </w:p>
    <w:p>
      <w:pPr>
        <w:spacing w:line="360" w:lineRule="auto"/>
        <w:jc w:val="both"/>
      </w:pPr>
      <w:r>
        <w:t xml:space="preserve">&gt; </w:t>
      </w:r>
      <w:r>
        <w:rPr>
          <w:b/>
        </w:rPr>
        <w:t>[PENDING OPEN94]</w:t>
      </w:r>
      <w:r>
        <w:t xml:space="preserve"> translation rejected: locked tokens did not round-trip; English kept</w:t>
      </w:r>
    </w:p>
    <w:p>
      <w:pPr>
        <w:spacing w:line="360" w:lineRule="auto"/>
        <w:jc w:val="both"/>
      </w:pPr>
      <w:r>
        <w:t>&gt; `section: paragraph 138` · `status: blocked`</w:t>
      </w:r>
    </w:p>
    <w:p>
      <w:pPr>
        <w:spacing w:line="360" w:lineRule="auto"/>
        <w:jc w:val="both"/>
      </w:pPr>
      <w:r>
        <w:t>&gt; `blocks_submission: yes`</w:t>
      </w:r>
    </w:p>
    <w:p>
      <w:pPr>
        <w:spacing w:line="360" w:lineRule="auto"/>
        <w:jc w:val="both"/>
      </w:pPr>
      <w:r>
        <w:t>Positioning statements below are constructed from the L-series literature evidence matrix; each is traceable to its theses, to paper-level relations and to DOIs with verified passages. No priority is asserted here: where a claim is not yet supportable, the marker says why.</w:t>
      </w:r>
    </w:p>
    <w:p>
      <w:pPr>
        <w:spacing w:line="360" w:lineRule="auto"/>
        <w:jc w:val="both"/>
      </w:pPr>
      <w:r>
        <w:t>Розділ організовано у три паралельні шари, оскільки дослідження доводить три різні речі, і кожна з них спирається на окремий масив літератури. Відсутність у шарі Каховське водосховище — це те, що вносить це дослідження; відсутність у перехідному шарі або шарі даних є слабкістю його аргументації, а не результатом.</w:t>
      </w:r>
    </w:p>
    <w:p>
      <w:pPr>
        <w:pStyle w:val="Heading2"/>
      </w:pPr>
      <w:r>
        <w:t>K. What has already been observed at Kakhovka</w:t>
      </w:r>
    </w:p>
    <w:p>
      <w:pPr>
        <w:spacing w:line="360" w:lineRule="auto"/>
        <w:jc w:val="both"/>
      </w:pPr>
      <w:r>
        <w:t xml:space="preserve">&gt; </w:t>
      </w:r>
      <w:r>
        <w:rPr>
          <w:b/>
        </w:rPr>
        <w:t>[PENDING OPEN95]</w:t>
      </w:r>
      <w:r>
        <w:t xml:space="preserve"> translation rejected: locked tokens did not round-trip; English kept</w:t>
      </w:r>
    </w:p>
    <w:p>
      <w:pPr>
        <w:spacing w:line="360" w:lineRule="auto"/>
        <w:jc w:val="both"/>
      </w:pPr>
      <w:r>
        <w:t>&gt; `section: paragraph 141` · `status: blocked`</w:t>
      </w:r>
    </w:p>
    <w:p>
      <w:pPr>
        <w:spacing w:line="360" w:lineRule="auto"/>
        <w:jc w:val="both"/>
      </w:pPr>
      <w:r>
        <w:t>&gt; `blocks_submission: yes`</w:t>
      </w:r>
    </w:p>
    <w:p>
      <w:pPr>
        <w:spacing w:line="360" w:lineRule="auto"/>
        <w:jc w:val="both"/>
      </w:pPr>
      <w:r>
        <w:rPr>
          <w:i/>
        </w:rPr>
        <w:t>What has already been studied at this site after the breach?</w:t>
      </w:r>
      <w:r>
        <w:t xml:space="preserve"> — a gap here is the novelty case.</w:t>
      </w:r>
    </w:p>
    <w:p>
      <w:pPr>
        <w:spacing w:line="360" w:lineRule="auto"/>
        <w:jc w:val="both"/>
      </w:pPr>
      <w:r>
        <w:t>Булевий зріз S1_kakhovka_status_quo ще не пройшов перевірку в межах валідованого пошуку; твердження «Серед досліджень Каховського водосховища після прориву греблі, відібраних та перевірених зрізом S1, жодне не кількісно оцінює поздовжній градієнт водної поверхні» є затриманим. [LK1.1]</w:t>
      </w:r>
    </w:p>
    <w:p>
      <w:pPr>
        <w:spacing w:line="360" w:lineRule="auto"/>
        <w:jc w:val="both"/>
      </w:pPr>
      <w:r>
        <w:t xml:space="preserve">&gt; </w:t>
      </w:r>
      <w:r>
        <w:rPr>
          <w:b/>
        </w:rPr>
        <w:t>[PENDING OPEN41]</w:t>
      </w:r>
      <w:r>
        <w:t xml:space="preserve"> §7.8 literature claim LK1.1 is not yet supportable (RETRIEVAL_UNVALIDATED)</w:t>
      </w:r>
    </w:p>
    <w:p>
      <w:pPr>
        <w:spacing w:line="360" w:lineRule="auto"/>
        <w:jc w:val="both"/>
      </w:pPr>
      <w:r>
        <w:t>&gt; `backs: M1.1, M3.1` · `section: 7.8 Comparison with literature`</w:t>
      </w:r>
    </w:p>
    <w:p>
      <w:pPr>
        <w:spacing w:line="360" w:lineRule="auto"/>
        <w:jc w:val="both"/>
      </w:pPr>
      <w:r>
        <w:t>&gt; `next_step: verify a hold-out positive control for T03, T19` · `status: blocked`</w:t>
      </w:r>
    </w:p>
    <w:p>
      <w:pPr>
        <w:spacing w:line="360" w:lineRule="auto"/>
        <w:jc w:val="both"/>
      </w:pPr>
      <w:r>
        <w:t>&gt; `blocks_submission: yes`</w:t>
      </w:r>
    </w:p>
    <w:p>
      <w:pPr>
        <w:spacing w:line="360" w:lineRule="auto"/>
        <w:jc w:val="both"/>
      </w:pPr>
      <w:r>
        <w:t>Булевий зріз S1_kakhovka_status_quo ще не пройшов перевірку в межах валідованого пошуку; твердження «Опрацьована література щодо Каховського водосховища характеризує подію переважно через планові показники — площу водного дзеркала, площу оголеного дна та їхні зміни — і вимірювана частка подається саме в такому вигляді» залишається непідтвердженим. [LK1.2]</w:t>
      </w:r>
    </w:p>
    <w:p>
      <w:pPr>
        <w:spacing w:line="360" w:lineRule="auto"/>
        <w:jc w:val="both"/>
      </w:pPr>
      <w:r>
        <w:t xml:space="preserve">&gt; </w:t>
      </w:r>
      <w:r>
        <w:rPr>
          <w:b/>
        </w:rPr>
        <w:t>[PENDING OPEN42]</w:t>
      </w:r>
      <w:r>
        <w:t xml:space="preserve"> §7.8 literature claim LK1.2 is not yet supportable (RETRIEVAL_UNVALIDATED)</w:t>
      </w:r>
    </w:p>
    <w:p>
      <w:pPr>
        <w:spacing w:line="360" w:lineRule="auto"/>
        <w:jc w:val="both"/>
      </w:pPr>
      <w:r>
        <w:t>&gt; `backs: M3.1` · `section: 7.8 Comparison with literature`</w:t>
      </w:r>
    </w:p>
    <w:p>
      <w:pPr>
        <w:spacing w:line="360" w:lineRule="auto"/>
        <w:jc w:val="both"/>
      </w:pPr>
      <w:r>
        <w:t>&gt; `next_step: verify a hold-out positive control for T19, T03` · `status: blocked`</w:t>
      </w:r>
    </w:p>
    <w:p>
      <w:pPr>
        <w:spacing w:line="360" w:lineRule="auto"/>
        <w:jc w:val="both"/>
      </w:pPr>
      <w:r>
        <w:t>&gt; `blocks_submission: yes`</w:t>
      </w:r>
    </w:p>
    <w:p>
      <w:pPr>
        <w:spacing w:line="360" w:lineRule="auto"/>
        <w:jc w:val="both"/>
      </w:pPr>
      <w:r>
        <w:t>Опубліковані гідродинамічні реконструкції прориву греблі Каховського водосховища пояснюють похибку рівня води особливостями вхідних даних про рельєф, при цьому вертикальна прив’язка цих даних розглядається як другорядне питання, а не як гармонізована система. Найближчий прецедент у корпусі: [doi:10.1111/j.1752-1688.2008.00263.x]. [LK1.3]</w:t>
      </w:r>
    </w:p>
    <w:p>
      <w:pPr>
        <w:spacing w:line="360" w:lineRule="auto"/>
        <w:jc w:val="both"/>
      </w:pPr>
      <w:r>
        <w:t xml:space="preserve">&gt; </w:t>
      </w:r>
      <w:r>
        <w:rPr>
          <w:b/>
        </w:rPr>
        <w:t>[PENDING OPEN43]</w:t>
      </w:r>
      <w:r>
        <w:t xml:space="preserve"> §7.8 literature claim LK1.3 is not yet supportable (RETRIEVAL_UNVALIDATED)</w:t>
      </w:r>
    </w:p>
    <w:p>
      <w:pPr>
        <w:spacing w:line="360" w:lineRule="auto"/>
        <w:jc w:val="both"/>
      </w:pPr>
      <w:r>
        <w:t>&gt; `backs: V6.1, V10.3` · `section: 7.8 Comparison with literature`</w:t>
      </w:r>
    </w:p>
    <w:p>
      <w:pPr>
        <w:spacing w:line="360" w:lineRule="auto"/>
        <w:jc w:val="both"/>
      </w:pPr>
      <w:r>
        <w:t>&gt; `next_step: verify a hold-out positive control for T02, T08` · `status: blocked`</w:t>
      </w:r>
    </w:p>
    <w:p>
      <w:pPr>
        <w:spacing w:line="360" w:lineRule="auto"/>
        <w:jc w:val="both"/>
      </w:pPr>
      <w:r>
        <w:t>&gt; `blocks_submission: yes`</w:t>
      </w:r>
    </w:p>
    <w:p>
      <w:pPr>
        <w:pStyle w:val="Heading2"/>
      </w:pPr>
      <w:r>
        <w:t>T. What is known about reservoir-to-river hydraulic transitions</w:t>
      </w:r>
    </w:p>
    <w:p>
      <w:pPr>
        <w:spacing w:line="360" w:lineRule="auto"/>
        <w:jc w:val="both"/>
      </w:pPr>
      <w:r>
        <w:rPr>
          <w:i/>
        </w:rPr>
        <w:t>Чи встановлено фізичний перехід і як він діагностується?</w:t>
      </w:r>
      <w:r>
        <w:t xml:space="preserve"> — прогалина тут є слабкістю, а не внеском: цей шар має бути добре заповненим.</w:t>
      </w:r>
    </w:p>
    <w:p>
      <w:pPr>
        <w:spacing w:line="360" w:lineRule="auto"/>
        <w:jc w:val="both"/>
      </w:pPr>
      <w:r>
        <w:t>Прорив греблі, руйнування греблі та швидке спрацювання визнані чинниками, що зумовлюють перехід від умов водосховища до руслової річкової гідравліки, що виражається через ухил водної поверхні, швидкість, напруження зсуву та зв'язність. Найближчий прецедент у корпусі: [doi:10.1111/j.1752-1688.2008.00263.x]. [LT1.1]</w:t>
      </w:r>
    </w:p>
    <w:p>
      <w:pPr>
        <w:spacing w:line="360" w:lineRule="auto"/>
        <w:jc w:val="both"/>
      </w:pPr>
      <w:r>
        <w:t xml:space="preserve">&gt; </w:t>
      </w:r>
      <w:r>
        <w:rPr>
          <w:b/>
        </w:rPr>
        <w:t>[PENDING OPEN44]</w:t>
      </w:r>
      <w:r>
        <w:t xml:space="preserve"> §7.8 literature claim LT1.1 is not yet supportable (RETRIEVAL_UNVALIDATED)</w:t>
      </w:r>
    </w:p>
    <w:p>
      <w:pPr>
        <w:spacing w:line="360" w:lineRule="auto"/>
        <w:jc w:val="both"/>
      </w:pPr>
      <w:r>
        <w:t>&gt; `backs: M1.1` · `section: 7.8 Comparison with literature`</w:t>
      </w:r>
    </w:p>
    <w:p>
      <w:pPr>
        <w:spacing w:line="360" w:lineRule="auto"/>
        <w:jc w:val="both"/>
      </w:pPr>
      <w:r>
        <w:t>&gt; `next_step: verify a hold-out positive control for T01, T02` · `status: blocked`</w:t>
      </w:r>
    </w:p>
    <w:p>
      <w:pPr>
        <w:spacing w:line="360" w:lineRule="auto"/>
        <w:jc w:val="both"/>
      </w:pPr>
      <w:r>
        <w:t>&gt; `blocks_submission: yes`</w:t>
      </w:r>
    </w:p>
    <w:p>
      <w:pPr>
        <w:spacing w:line="360" w:lineRule="auto"/>
        <w:jc w:val="both"/>
      </w:pPr>
      <w:r>
        <w:t>Ухил водної поверхні в поздовжньому напрямку розглядається в літературі як діагностична змінна стану гідравлічного режиму, яку можна відокремити від площі водної поверхні, а стійку зміну цього показника трактують як зміну режиму, а не як перехідний процес релаксації. Найближчий прецедент у корпусі: [doi:10.1029/2018gl077933]. [LT1.2]</w:t>
      </w:r>
    </w:p>
    <w:p>
      <w:pPr>
        <w:spacing w:line="360" w:lineRule="auto"/>
        <w:jc w:val="both"/>
      </w:pPr>
      <w:r>
        <w:t xml:space="preserve">&gt; </w:t>
      </w:r>
      <w:r>
        <w:rPr>
          <w:b/>
        </w:rPr>
        <w:t>[PENDING OPEN45]</w:t>
      </w:r>
      <w:r>
        <w:t xml:space="preserve"> §7.8 literature claim LT1.2 is not yet supportable (RETRIEVAL_UNVALIDATED)</w:t>
      </w:r>
    </w:p>
    <w:p>
      <w:pPr>
        <w:spacing w:line="360" w:lineRule="auto"/>
        <w:jc w:val="both"/>
      </w:pPr>
      <w:r>
        <w:t>&gt; `backs: M1.1, M2.1` · `section: 7.8 Comparison with literature`</w:t>
      </w:r>
    </w:p>
    <w:p>
      <w:pPr>
        <w:spacing w:line="360" w:lineRule="auto"/>
        <w:jc w:val="both"/>
      </w:pPr>
      <w:r>
        <w:t>&gt; `next_step: verify a hold-out positive control for T03, T23` · `status: blocked`</w:t>
      </w:r>
    </w:p>
    <w:p>
      <w:pPr>
        <w:spacing w:line="360" w:lineRule="auto"/>
        <w:jc w:val="both"/>
      </w:pPr>
      <w:r>
        <w:t>&gt; `blocks_submission: yes`</w:t>
      </w:r>
    </w:p>
    <w:p>
      <w:pPr>
        <w:pStyle w:val="Heading2"/>
      </w:pPr>
      <w:r>
        <w:t>D. What the data and methods can measure</w:t>
      </w:r>
    </w:p>
    <w:p>
      <w:pPr>
        <w:spacing w:line="360" w:lineRule="auto"/>
        <w:jc w:val="both"/>
      </w:pPr>
      <w:r>
        <w:rPr>
          <w:i/>
        </w:rPr>
        <w:t>Що можуть виміряти SWOT, ICESat-2, gauges та застарілі зйомки, і як їх необхідно гармонізувати?</w:t>
      </w:r>
      <w:r>
        <w:t xml:space="preserve"> — прогалина тут є слабкістю, а не внеском: цей шар має бути добре заповненим.</w:t>
      </w:r>
    </w:p>
    <w:p>
      <w:pPr>
        <w:spacing w:line="360" w:lineRule="auto"/>
        <w:jc w:val="both"/>
      </w:pPr>
      <w:r>
        <w:t>SWOT та ICESat-2  можуть кожен окремо визначати геометрію водної поверхні внутрішніх водойм із точністю, необхідною для поздовжнього градієнта, при цьому звітуючи про висоти на різних референцних поверхнях та у різних конвенціях щодо постійного припливу. Найближчий прецедент у корпусі: [doi:10.1016/j.rse.2021.112876]. [LD1.1]</w:t>
      </w:r>
    </w:p>
    <w:p>
      <w:pPr>
        <w:spacing w:line="360" w:lineRule="auto"/>
        <w:jc w:val="both"/>
      </w:pPr>
      <w:r>
        <w:t xml:space="preserve">&gt; </w:t>
      </w:r>
      <w:r>
        <w:rPr>
          <w:b/>
        </w:rPr>
        <w:t>[PENDING OPEN46]</w:t>
      </w:r>
      <w:r>
        <w:t xml:space="preserve"> §7.8 literature claim LD1.1 is not yet supportable (RETRIEVAL_UNVALIDATED)</w:t>
      </w:r>
    </w:p>
    <w:p>
      <w:pPr>
        <w:spacing w:line="360" w:lineRule="auto"/>
        <w:jc w:val="both"/>
      </w:pPr>
      <w:r>
        <w:t>&gt; `backs: V2.1, V3.1` · `section: 7.8 Comparison with literature`</w:t>
      </w:r>
    </w:p>
    <w:p>
      <w:pPr>
        <w:spacing w:line="360" w:lineRule="auto"/>
        <w:jc w:val="both"/>
      </w:pPr>
      <w:r>
        <w:t>&gt; `next_step: verify a hold-out positive control for T05, T06, T07` · `status: blocked`</w:t>
      </w:r>
    </w:p>
    <w:p>
      <w:pPr>
        <w:spacing w:line="360" w:lineRule="auto"/>
        <w:jc w:val="both"/>
      </w:pPr>
      <w:r>
        <w:t>&gt; `blocks_submission: yes`</w:t>
      </w:r>
    </w:p>
    <w:p>
      <w:pPr>
        <w:spacing w:line="360" w:lineRule="auto"/>
        <w:jc w:val="both"/>
      </w:pPr>
      <w:r>
        <w:t>Вибір вертикальної системи відліку та конвенція щодо постійного припливу зумовлюють зміщення величиною від сантиметрів до дециметрів, що є співмірним із гідравлічним сигналом, який вимірюється, причому ці зміщення просторово варіюються в межах області такого розміру. Найближчий прецедент у корпусі: [doi:10.1007/s00190-010-0422-2]. [LD1.2]</w:t>
      </w:r>
    </w:p>
    <w:p>
      <w:pPr>
        <w:spacing w:line="360" w:lineRule="auto"/>
        <w:jc w:val="both"/>
      </w:pPr>
      <w:r>
        <w:t xml:space="preserve">&gt; </w:t>
      </w:r>
      <w:r>
        <w:rPr>
          <w:b/>
        </w:rPr>
        <w:t>[PENDING OPEN47]</w:t>
      </w:r>
      <w:r>
        <w:t xml:space="preserve"> §7.8 literature claim LD1.2 is not yet supportable (RETRIEVAL_UNVALIDATED)</w:t>
      </w:r>
    </w:p>
    <w:p>
      <w:pPr>
        <w:spacing w:line="360" w:lineRule="auto"/>
        <w:jc w:val="both"/>
      </w:pPr>
      <w:r>
        <w:t>&gt; `backs: V1.2, V3.1` · `section: 7.8 Comparison with literature`</w:t>
      </w:r>
    </w:p>
    <w:p>
      <w:pPr>
        <w:spacing w:line="360" w:lineRule="auto"/>
        <w:jc w:val="both"/>
      </w:pPr>
      <w:r>
        <w:t>&gt; `next_step: verify a hold-out positive control for T08, T09, T10, T11` · `status: blocked`</w:t>
      </w:r>
    </w:p>
    <w:p>
      <w:pPr>
        <w:spacing w:line="360" w:lineRule="auto"/>
        <w:jc w:val="both"/>
      </w:pPr>
      <w:r>
        <w:t>&gt; `blocks_submission: yes`</w:t>
      </w:r>
    </w:p>
    <w:p>
      <w:pPr>
        <w:spacing w:line="360" w:lineRule="auto"/>
        <w:jc w:val="both"/>
      </w:pPr>
      <w:r>
        <w:t>Булевий зріз S2_altimetry_vertical_datum ще не пройшов перевірку в межах валідованого пошуку; твердження «Серед досліджень альтиметрії внутрішніх вод, відібраних за зрізом S2, що використовують вертикальну систему відліку, частка тих, де вказано конвенцію постійного припливу, наводиться як виміряна.» є затриманим. [LD1.3]</w:t>
      </w:r>
    </w:p>
    <w:p>
      <w:pPr>
        <w:spacing w:line="360" w:lineRule="auto"/>
        <w:jc w:val="both"/>
      </w:pPr>
      <w:r>
        <w:t xml:space="preserve">&gt; </w:t>
      </w:r>
      <w:r>
        <w:rPr>
          <w:b/>
        </w:rPr>
        <w:t>[PENDING OPEN48]</w:t>
      </w:r>
      <w:r>
        <w:t xml:space="preserve"> §7.8 literature claim LD1.3 is not yet supportable (RETRIEVAL_UNVALIDATED)</w:t>
      </w:r>
    </w:p>
    <w:p>
      <w:pPr>
        <w:spacing w:line="360" w:lineRule="auto"/>
        <w:jc w:val="both"/>
      </w:pPr>
      <w:r>
        <w:t>&gt; `backs: V1.2` · `section: 7.8 Comparison with literature`</w:t>
      </w:r>
    </w:p>
    <w:p>
      <w:pPr>
        <w:spacing w:line="360" w:lineRule="auto"/>
        <w:jc w:val="both"/>
      </w:pPr>
      <w:r>
        <w:t>&gt; `next_step: verify a hold-out positive control for T08, T09, T10, T11` · `status: blocked`</w:t>
      </w:r>
    </w:p>
    <w:p>
      <w:pPr>
        <w:spacing w:line="360" w:lineRule="auto"/>
        <w:jc w:val="both"/>
      </w:pPr>
      <w:r>
        <w:t>&gt; `blocks_submission: yes`</w:t>
      </w:r>
    </w:p>
    <w:p>
      <w:pPr>
        <w:spacing w:line="360" w:lineRule="auto"/>
        <w:jc w:val="both"/>
      </w:pPr>
      <w:r>
        <w:t>Історичні батиметричні зйомки та проектна документація водосховища можуть слугувати незалежними кількісними цілями для валідації сучасних супутникових вимірювань після встановлення їхньої редукційної системи відліку. Найближчий прецедент у корпусі: [doi:10.3390/ijgi9040258]. [LD1.4]</w:t>
      </w:r>
    </w:p>
    <w:p>
      <w:pPr>
        <w:spacing w:line="360" w:lineRule="auto"/>
        <w:jc w:val="both"/>
      </w:pPr>
      <w:r>
        <w:t xml:space="preserve">&gt; </w:t>
      </w:r>
      <w:r>
        <w:rPr>
          <w:b/>
        </w:rPr>
        <w:t>[PENDING OPEN49]</w:t>
      </w:r>
      <w:r>
        <w:t xml:space="preserve"> §7.8 literature claim LD1.4 is not yet supportable (RETRIEVAL_UNVALIDATED)</w:t>
      </w:r>
    </w:p>
    <w:p>
      <w:pPr>
        <w:spacing w:line="360" w:lineRule="auto"/>
        <w:jc w:val="both"/>
      </w:pPr>
      <w:r>
        <w:t>&gt; `backs: V6.1, V7.1, V10.1` · `section: 7.8 Comparison with literature`</w:t>
      </w:r>
    </w:p>
    <w:p>
      <w:pPr>
        <w:spacing w:line="360" w:lineRule="auto"/>
        <w:jc w:val="both"/>
      </w:pPr>
      <w:r>
        <w:t>&gt; `next_step: verify a hold-out positive control for T15, T16, T17, T18` · `status: blocked`</w:t>
      </w:r>
    </w:p>
    <w:p>
      <w:pPr>
        <w:spacing w:line="360" w:lineRule="auto"/>
        <w:jc w:val="both"/>
      </w:pPr>
      <w:r>
        <w:t>&gt; `blocks_submission: yes`</w:t>
      </w:r>
    </w:p>
    <w:p>
      <w:pPr>
        <w:pStyle w:val="Heading1"/>
      </w:pPr>
      <w:r>
        <w:t>7.9 Implications for monitoring and reconstruction</w:t>
      </w:r>
    </w:p>
    <w:p>
      <w:pPr>
        <w:spacing w:line="360" w:lineRule="auto"/>
        <w:jc w:val="both"/>
      </w:pPr>
      <w:r>
        <w:t>Величини, що змінюються першими та зберігаються — ухил водної поверхні, неоднорідність, площі класів, коефіцієнт шорсткості Маннінга (n) — усі вони можуть бути отримані з відкритих супутникових архівів після фіксації вертикальної системи відліку та застосування порогу покриття; величини, які поки що неможливо отримати — витрата води після прориву греблі, ріст рослинного покриву, точність класифікації — вказують на спостереження, які все ще необхідні.</w:t>
      </w:r>
    </w:p>
    <w:p>
      <w:pPr>
        <w:pStyle w:val="Heading1"/>
      </w:pPr>
      <w:r>
        <w:t>7.10 Limitations</w:t>
      </w:r>
    </w:p>
    <w:p>
      <w:pPr>
        <w:spacing w:line="360" w:lineRule="auto"/>
        <w:jc w:val="both"/>
      </w:pPr>
      <w:r>
        <w:t xml:space="preserve">Контроль ухилу в обмеженому руслі є недостатньо потужним (різниця за оцінювачем Тейла–Сена +1.109 cm/km, 95% CI [-0.086, +2.186]). Зв’язок ухил–витрата води після прориву греблі є неперевірюваним: . Зміну висоти крони неможливо ідентифікувати (одна пара RGT 167→1211 (2023→2025), dh -3.15 m при розділенні 17.2 m). Класи поверхні не мають оцінки точності, доки не буде розмічена стратифікована вибірка, і жодне значення коефіцієнта шорсткості Маннінга (n) не є гідравлічно відкаліброваним. Епоха зйомки промірів глибин не зафіксована (епоха відсутня), реалізація Балтійської системи висот для історичних таблиць не вказана, існують три суміщені прольоти SWOT–ICESat-2 , жоден запис про вітер не охоплює аномалію 5  квітня 2023 , а композити Dynamic World за 2025–2026  відсутні. Растр квазігеоїда EGG2015  розміром 1′×1′ не має джерела, на яке можна послатися; це проблема цитування, а не чисельна, і вона блокує подання до її вирішення. &gt; </w:t>
      </w:r>
      <w:r>
        <w:rPr>
          <w:b/>
        </w:rPr>
        <w:t>[PENDING OPEN99]</w:t>
      </w:r>
      <w:r>
        <w:t xml:space="preserve"> Походження EGG2015  (G2) не вирішено</w:t>
      </w:r>
    </w:p>
    <w:p>
      <w:pPr>
        <w:spacing w:line="360" w:lineRule="auto"/>
        <w:jc w:val="both"/>
      </w:pPr>
      <w:r>
        <w:t>&gt; `backs: G2` · `section: 7.10 Limitations`</w:t>
      </w:r>
    </w:p>
    <w:p>
      <w:pPr>
        <w:spacing w:line="360" w:lineRule="auto"/>
        <w:jc w:val="both"/>
      </w:pPr>
      <w:r>
        <w:t>&gt; `unblock_by: obtain the 1′ EGG2015 grid with licence, or re-run on the public 10′×15′ grid and report the difference` · `status: blocked`</w:t>
      </w:r>
    </w:p>
    <w:p>
      <w:pPr>
        <w:spacing w:line="360" w:lineRule="auto"/>
        <w:jc w:val="both"/>
      </w:pPr>
      <w:r>
        <w:t>&gt; `blocks_submission: yes`</w:t>
      </w:r>
    </w:p>
    <w:p>
      <w:pPr>
        <w:pStyle w:val="Title"/>
      </w:pPr>
      <w:r>
        <w:t>8. CONCLUSIONS</w:t>
      </w:r>
    </w:p>
    <w:p>
      <w:pPr>
        <w:spacing w:line="360" w:lineRule="auto"/>
        <w:jc w:val="both"/>
      </w:pPr>
      <w:r>
        <w:t>У межах колишнього Каховського водосховища поздовжній ухил водної поверхні для кожного проліт змінився з медіани Тейла–Сена +0.090 cm/km до +3.314 cm/km; різниця +3.223 cm/km, причому після прорив греблі кожен проліт є додатним, а внутрішньопролітна неоднорідність зросла з 0.117 m до 0.397 m, різниця +0.280 m. Ці твердження ґрунтуються на гармонізованих висотах — одна офіційна трансформаційна сітка, один квазігеоїд EGG2015, чіткий термін постійний приплив — та на застарілому зніманні, рівень зведення якого було встановлено трьома незалежними маршрутами. Дно, побудоване лише на основі проміри глибин, відтворює історичне спрацювання (усе картографоване водосховище: історичне 12.9% проти реконструйованого 12.77% (різниця -0.18 pp)), а в нижніх зонах обмеження берегової лінії погіршують, а не покращують дно (SND_ONLY / LINEAR: СКП (RMSE) 2.20 m, зміщення -0.07 m, NMAD 1.24 m). На оголеній поверхні частка рослинності зросла до veg 83.8%, оголена 4.0%, вода 10.8% (2025), і картографовані класи транслюються у шар шорсткості, що змінюється від n 0.032  до 0.063; медіана Δn +0.035  — отримано з опублікованих апріорних даних, не відкалібровано; нижче греблі ширина змоченого перерізу при відповідному рівень води становить 2025 median 690 m (p25 465, p75 895); головний рукав 560 m. Те, що дані поки що не можуть сказати — закон ухил водної поверхні–витрата води після прориву, ріст крони, точність класу, відкалібрований коефіцієнт шорсткості Маннінга (n) — зазначено як підтверджено з обмеженням.</w:t>
      </w:r>
    </w:p>
    <w:p>
      <w:pPr>
        <w:pStyle w:val="Title"/>
      </w:pPr>
      <w:r>
        <w:t>SUPPLEMENTARY MATERIAL</w:t>
      </w:r>
    </w:p>
    <w:p>
      <w:pPr>
        <w:pStyle w:val="Heading1"/>
      </w:pPr>
      <w:r>
        <w:t>S1. Machine tables and open items</w:t>
      </w:r>
    </w:p>
    <w:p>
      <w:pPr>
        <w:spacing w:line="360" w:lineRule="auto"/>
        <w:jc w:val="both"/>
      </w:pPr>
      <w:r>
        <w:t>Таблиці 1–7  сформовані на основі `OWN_EVIDENCE.csv`; кожне число в основному тексті містить ідентифікатор твердження, що вказує на рядок зведеної таблиці (`SNAPSHOT_MANIFEST.json`). Нереалізовані пункти перелічені в `V2_OPEN_ITEMS.md`, проаналізовані з маркерів [PENDING] цього документа.</w:t>
      </w:r>
    </w:p>
    <w:p>
      <w:pPr>
        <w:pStyle w:val="Heading1"/>
      </w:pPr>
      <w:r>
        <w:t>S2. Sentinel-1 water masks: baseline and rejected variants</w:t>
      </w:r>
    </w:p>
    <w:p>
      <w:pPr>
        <w:spacing w:line="360" w:lineRule="auto"/>
        <w:jc w:val="both"/>
      </w:pPr>
      <w:r>
        <w:t>Це дослідження обмежене додатком, оскільки воно стосується результатів методу виявлення паводкових вод за допомогою SAR на свіжооголених відкладах, а не є частиною гідравлічного аргументу. Базовий класифікатор — це закріплений двокласовий дискримінант Фішера для VV та VH (γ⁰, з корекцією рельєфу) із відсіканням за середньою точкою та ситом 0.05 km². Варіанти додають фільтрацію спеклів, мажоритарну фільтрацію, мінімальні одиниці картографування, виявлення змін на одній орбіті, рельєфне вето на основі ухилу FABDEM та висоти над найближчою водою, а також — у пілотному проекті на руслі прориву греблі до Херсона — етап відхилення за допомогою логістичної регресії та випадкового лісу, оцінений методом виключення однієї орбіти (leave-one-orbit-out) порівняно з оптичними даними про воду.</w:t>
      </w:r>
    </w:p>
    <w:p>
      <w:pPr>
        <w:spacing w:line="360" w:lineRule="auto"/>
        <w:jc w:val="both"/>
      </w:pPr>
      <w:r>
        <w:t>проксі хибної води 0.200  спостережуваного кадру; Δповнота проти M3 -0.0007; захисний прохід True. Кожен варіант виявлення змін не проходить перевірку повноти нової води в усіх чотирьох зонах, оскільки доподієвий еталон над оголеним осадом сам по собі є темним. Точність VRF 0.050  проти M3 0.012  при повноті 0.735  (M3 0.733); AP 0.204.  медіана частоти хибної води 0.181  (q25 0.124, q75 0.321); 377 km² медіана. Хронічний об'єкт-двійник хибної води над Олешківськими пісками є помилкою, зумовленою типом земного покриву, яку не усуває жодне відсікання за віссю зворотного розсіювання; необхідна стадія відхилення, що враховує земний покрив або рельєф. Ці результати представлені як методична примітка для майбутньої статті з дистанційного зондування (тези T35–T36, теза статті AT11, обсяг `supplement_only`).</w:t>
      </w:r>
    </w:p>
    <w:p>
      <w:pPr>
        <w:pStyle w:val="Heading1"/>
      </w:pPr>
      <w:r>
        <w:t>S3. Multi-level contour bathymetry (negative result)</w:t>
      </w:r>
    </w:p>
    <w:p>
      <w:pPr>
        <w:spacing w:line="360" w:lineRule="auto"/>
        <w:jc w:val="both"/>
      </w:pPr>
      <w:r>
        <w:t>Експеримент hist21–hist31  перевіряв, чи можуть оптичні та SAR-лінії води на трьох рівнях до прориву греблі обмежити мілководне дно. Вердикт NO_CONSTANT: розкид між сценами 50.2 m проти NMAD у межах сцени 22.1 m (співвідношення 2.27); центральне зміщення -3.7 m H3 14.23 m: σ_sensor 21.2 m, σ_reference 87.2 m, σ_total 89.8 m; ABSOLUTE_COMMON_MODE_EXCLUDED; transfer licensed False. Результат зберігається як негативний результат: оптичні берегові лінії розташовані на межі поясу надводної рослинності, тому сигнал зміни рівня менший за зміщення положення.</w:t>
      </w:r>
    </w:p>
    <w:p>
      <w:pPr>
        <w:pStyle w:val="Title"/>
      </w:pPr>
      <w:r>
        <w:t>REFERENCES</w:t>
      </w:r>
    </w:p>
    <w:p>
      <w:pPr>
        <w:spacing w:line="360" w:lineRule="auto"/>
        <w:jc w:val="both"/>
      </w:pPr>
      <w:r>
        <w:t>- [arcement1989] Arcement G.J.; Schneider V.R. (USGS) (1989). Guide for selecting Manning's roughness coefficients for natural channels and flood plains. **. https://doi.org/10.3133/wsp2339</w:t>
      </w:r>
    </w:p>
    <w:p>
      <w:pPr>
        <w:spacing w:line="360" w:lineRule="auto"/>
        <w:jc w:val="both"/>
      </w:pPr>
      <w:r>
        <w:t xml:space="preserve">- [didukh2024] Дідух, Я.П.; Куземко, А.А.; Ходосовцев, О.Є.; Чусова, О.О.; Борсукевич, Л.М.; Скобель, Н.О.; Михайлюк, Т.І.; Мойсієнко, І.І. (2024). Перший рік відновлення заплавних лісів на дні колишнього Каховського водосховища. </w:t>
      </w:r>
      <w:r>
        <w:rPr>
          <w:i/>
        </w:rPr>
        <w:t>CHORNOMORSKI  BOTANICAL  JOURNAL</w:t>
      </w:r>
      <w:r>
        <w:t>. https://doi.org/10.32999/ksu1990-553x/2024-20-3-5</w:t>
      </w:r>
    </w:p>
    <w:p>
      <w:pPr>
        <w:spacing w:line="360" w:lineRule="auto"/>
        <w:jc w:val="both"/>
      </w:pPr>
      <w:r>
        <w:t xml:space="preserve">- [jarvela2004] Järvelä, Juha (2004). Determination of flow resistance caused by non‐submerged woody vegetation. </w:t>
      </w:r>
      <w:r>
        <w:rPr>
          <w:i/>
        </w:rPr>
        <w:t>International Journal of River Basin Management</w:t>
      </w:r>
      <w:r>
        <w:t>. https://doi.org/10.1080/15715124.2004.9635222</w:t>
      </w:r>
    </w:p>
    <w:p>
      <w:pPr>
        <w:spacing w:line="360" w:lineRule="auto"/>
        <w:jc w:val="both"/>
      </w:pPr>
      <w:r>
        <w:t xml:space="preserve">- [kuzemko2025] Kuzemko, A.A.; Prylutskyi, O.V.; Kolomytsev, G.O.; Didukh, Ya.P.; Moysiyenko, I.I.; Borsukevych, L.M.; Chusova, O.O.; Khodosovtsev, O.Ye. (2025). Initial stages of revegetation at the bottom of the drained Kakhovka Reservoir (Ukraine): synthesis of field surveys and remote sensing. </w:t>
      </w:r>
      <w:r>
        <w:rPr>
          <w:i/>
        </w:rPr>
        <w:t>Ukrainian Botanical Journal</w:t>
      </w:r>
      <w:r>
        <w:t>. https://doi.org/10.15407/ukrbotj82.05.488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