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frame is tested before it is used: against the gauges, between the two satellites, and against a 1970 field survey of the same water surface.</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Conclusions.</w:t>
      </w:r>
      <w:r>
        <w:t xml:space="preserve"> The reservoir did not merely shrink: its water surface acquired a persistent downstream gradient, measurable only once four differently-referenced surfaces were reduced to one frame. Each statement rests on a measured quantity with a stated uncertainty; where a quantity cannot be measured with the data at hand — a post-breach slope–discharge law, a rate of bed change — the manuscript says so rather than inferring it. The bed over which that surface now runs is reconstructed in a companion paper (Paper 2), and the consequences for roughness and conveyance in two further ones.</w:t>
      </w:r>
    </w:p>
    <w:p>
      <w:pPr>
        <w:spacing w:line="360" w:lineRule="auto"/>
        <w:jc w:val="both"/>
      </w:pPr>
      <w:r>
        <w:rPr>
          <w:b/>
        </w:rPr>
        <w:t>Keywords:</w:t>
      </w:r>
      <w:r>
        <w:t xml:space="preserve"> satellite altimetry; ICESat-2; SWOT; water-surface slope; vertical datum; EVRF2019; dam breach; reservoir drawdown; hydraulic regime;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&amp; Bezsonnyi,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Can gauges, two satellite altimeters and a legacy hydrographic survey be brought into one vertical frame closely enough that a centimetre-per-kilometre gradient survives the reduction? (ii) Once they are, did the water surface within the former reservoir footprint change hydraulic regime, and does the change persist beyond the drawdown transient? (iii) Does the historical record independently corroborate the impounded state the satellites report before the breach? Where the data cannot answer — a post-breach slope–discharge relation — the paper states the limitation instead of inferring an answer. The bed beneath this surface is reconstructed in a companion paper (Paper 2); what the geometry and the vegetating surface mean for roughness and conveyance is the subject of two further ones.</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4.6); 53 dates cover the former pool. The full surface classification, the Sentinel-1 masks and the supervised inundation work belong to Paper 3.</w:t>
      </w:r>
    </w:p>
    <w:p>
      <w:pPr>
        <w:pStyle w:val="Heading1"/>
      </w:pPr>
      <w:r>
        <w:t>3.5 Legacy hydrography</w:t>
      </w:r>
    </w:p>
    <w:p>
      <w:pPr>
        <w:spacing w:line="360" w:lineRule="auto"/>
        <w:jc w:val="both"/>
      </w:pPr>
      <w:r>
        <w:t>Eight photographed pages of the Dnipro reservoirs monograph (Tables 19–21, Figures 13–16) supply the design values and the 1970 longitudinal free-surface survey used here as an independent check. The 7 514 chart soundings are the subject of the bed-reconstruction paper (Paper 2); this paper uses them only to establish which reduction level they carry (Section 5.7).</w:t>
      </w:r>
    </w:p>
    <w:p>
      <w:pPr>
        <w:pStyle w:val="Heading1"/>
      </w:pPr>
      <w:r>
        <w:t>3.6 Geodetic reference data</w:t>
      </w:r>
    </w:p>
    <w:p>
      <w:pPr>
        <w:spacing w:line="360" w:lineRule="auto"/>
        <w:jc w:val="both"/>
      </w:pPr>
      <w:r>
        <w:t>One production transformation grid is used everywhere, `ua_2019z.asc`, distributed with the UA_KRON/NH to EVRF2019zero transformation (BKG, 2020); sampled at the estuary posts it gives an official correction at the posts 0.216 m. The EGG2015 quasigeoid used for the ICESat-2 and SWOT branches is a 7 200 × 3 600 raster at 1′ × 1′ spanning 50° W–70° E and 25° N–85° N, which is the declared geometry of the full-resolution EGG2015 product; the acquisition record and licence of this particular copy could not be reconstructed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The harmonisation of Section 4.1 is the method of this paper, not preparation for it: the corrections between the four surfaces are of the same order as the hydraulic signal sought, so the result exists only if the frame does. Section 5 therefore tests the frame before Section 6 uses it.</w:t>
      </w:r>
    </w:p>
    <w:p>
      <w:pPr>
        <w:pStyle w:val="Heading1"/>
      </w:pPr>
      <w:r>
        <w:t>4.1 Vertical harmonisation: the four surfaces</w:t>
      </w:r>
    </w:p>
    <w:p>
      <w:pPr>
        <w:spacing w:line="360" w:lineRule="auto"/>
        <w:jc w:val="both"/>
      </w:pPr>
      <w:r>
        <w:t>Gauge stages are carried into EVRF2019 normal heights by the published UA_KRON/NH to EVRF2019zero transformation (BKG, 2020), whose grid is sampled at each station's own coordinates (10,194 daily values transformed); the offset is spatially varying, 0.1715 to 0.2157 m, so no single national constant is admissible. ICESat-2 ATL13 heights (NSIDC ATL13 ATBD) are reduced with the EGG2015 quasigeoid (Denker, 2015) after adding the ATL03 tide-free-to-mean-tide term (NSIDC ATL03 ATBD), so that a mean-tide crustal height is not differenced against a zero-tide quasigeoid without the conversion being made explicit. SWOT PIXC heights are reduced by subtracting the solid-earth, load and pole tides that the product supplies but does not apply, never the geoid field, and then by the same quasigeoid. That this is the correct chain is not taken on trust from the product documentation but shown: -0.0010 m for the documented chain. EVRF2019 is itself a zero-tide frame (EVRS/BKG, EPSG:9389), so the residual permanent-tide term between a mean-tide crust and a zero-tide quasigeoid — 1–4 cm at this latitude, under the convention of (IAG Resolution 16, 1983) — is carried as its own line in the uncertainty budget rather than absorbed.</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(Theil, 1992; Sen, 1968) is primary and ordinary least squares the sensitivity check. One overpass is the independent unit (Hurlbert, 1984): segments and beams within a pass share the atmosphere and the water state and are never treated as replicates. The pre/post contrast uses a bootstrap on the difference of medians (Efron, 1979), a two-sided permutation test (Ernst, 2004)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Sentinel-2 water masks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4.7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All seven gauge records are carried into EVRF2019 by the official operation applied at each station's own coordinates, not by a national mean: 10,194 daily values transformed (grid sampler agrees with an independent implementation to 0.000 mm). The offset is not constant along the reach — 0.1715 to 0.2157 m (spread 44 mm; grid accuracy 0.068 m (EPSG registry)) — which is why a single number would have been wrong at both ends of the pool.</w:t>
      </w:r>
    </w:p>
    <w:p>
      <w:pPr>
        <w:spacing w:line="360" w:lineRule="auto"/>
        <w:jc w:val="both"/>
      </w:pPr>
      <w:r>
        <w:rPr>
          <w:b/>
        </w:rPr>
        <w:t>Table 2. The vertical chain: each step of the harmonisation and the residual it leaves.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Residuals are medians unless a confidence interval is given. The quasigeoid raster in production (G2) has no citable upstream source; see Section 7.9.</w:t>
      </w:r>
    </w:p>
    <w:p>
      <w:pPr>
        <w:spacing w:line="360" w:lineRule="auto"/>
        <w:jc w:val="both"/>
      </w:pPr>
      <w:r>
        <w:t>The tie to the gauges is not the same thing as a confirmation of the grid, and the two must be reported apart. Each station's alignment constant is well determined — per-station NMAD 0.034–0.06 m (n = 53 matchups at 6 stations) — but across the six stations the empirical offset does not follow the official transformation: Pearson r -0.399 (p 0.433, n = 6 stations); residual +0.173 m, SD 0.037 m, same sign at all stations (regression slope -0.657 ± 0.754; residual range 0.128–0.217 m). All six matchup sets precede the breach by construction, since the reservoir gauge records end on 31 December 2021. Six stations cannot refute a spatial pattern any more than they can confirm one: with n = 6 the correlation test is badly underpowered, so this is an absence of confirmation rather than a contradiction of the official grid. What it does establish is that the satellite branch is tied to the gauges by a constant of about 0.17 m which the transformation does not explain, and that constant must not be read as a validation of the grid's spatial structure.</w:t>
      </w:r>
    </w:p>
    <w:p>
      <w:pPr>
        <w:jc w:val="center"/>
      </w:pPr>
      <w:r>
        <w:drawing>
          <wp:inline xmlns:a="http://schemas.openxmlformats.org/drawingml/2006/main" xmlns:pic="http://schemas.openxmlformats.org/drawingml/2006/picture">
            <wp:extent cx="5760720" cy="3045168"/>
            <wp:docPr id="1" name="Picture 1"/>
            <wp:cNvGraphicFramePr>
              <a:graphicFrameLocks noChangeAspect="1"/>
            </wp:cNvGraphicFramePr>
            <a:graphic>
              <a:graphicData uri="http://schemas.openxmlformats.org/drawingml/2006/picture">
                <pic:pic>
                  <pic:nvPicPr>
                    <pic:cNvPr id="0" name="F01_gauge_icesat_tie.png"/>
                    <pic:cNvPicPr/>
                  </pic:nvPicPr>
                  <pic:blipFill>
                    <a:blip r:embed="rId9"/>
                    <a:stretch>
                      <a:fillRect/>
                    </a:stretch>
                  </pic:blipFill>
                  <pic:spPr>
                    <a:xfrm>
                      <a:off x="0" y="0"/>
                      <a:ext cx="5760720" cy="3045168"/>
                    </a:xfrm>
                    <a:prstGeom prst="rect"/>
                  </pic:spPr>
                </pic:pic>
              </a:graphicData>
            </a:graphic>
          </wp:inline>
        </w:drawing>
      </w:r>
    </w:p>
    <w:p>
      <w:pPr>
        <w:spacing w:line="360" w:lineRule="auto"/>
        <w:jc w:val="both"/>
      </w:pPr>
      <w:r>
        <w:rPr>
          <w:b/>
        </w:rPr>
        <w:t>Figure 1.</w:t>
      </w:r>
      <w:r>
        <w:t xml:space="preserve"> The satellite branch against the gauges, pre-breach. (a) The official BS-77 to EVRF2019 correction against the offset implied by ICESat-2 at the same station; the dashed line is 1:1. (b) Station alignment constants with 95 % bootstrap intervals, ordered by the official correction. The constant is of one sign at every station and averages −17.3 cm.</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Where the two sensors pass within hours of each other they agree at the centimetre level with nothing applied between them: 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Against the one continuous in-situ record in the downstream reach, the satellite branch sits within a few centimetres of the gauge: +0.0264 m (satellite - gauge) (NMAD 0.0413 m; 95% CI [-0.0420, +0.0394]; median moves 8.4 cm across aggregation radii 0.5-5 km; n = 9). The agreement is local to Kherson and is not evidence for the pool.</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An alignment constant estimated in the reservoir does not survive the journey downstream: reservoir -0.130 m [-0.184, -0.081] (n=5 stations) vs Kherson +0.0051 m [-0.0515, +0.0608] (station-to-station NMAD 0.033 m; radius swing 1.8 cm (Rozumivka) and 5.0 cm (Kherson) over 1-10 km). The two estimates have disjoint intervals, so the correction is treated as local rather than as a property of the sensor.</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What the frame is worth</w:t>
      </w:r>
    </w:p>
    <w:p>
      <w:pPr>
        <w:spacing w:line="360" w:lineRule="auto"/>
        <w:jc w:val="both"/>
      </w:pPr>
      <w:r>
        <w:t>Six validation and consistency checks were made before any hydraulic result was interpreted, and one — the 5 April 2023 anomaly — failed and is reported as failed. Not all six are independent of one another: RiverSP and PIXC come from the same SWOT observation, so their agreement establishes the correction chain rather than accuracy. The genuinely independent constraints are the gauge records and the 1970 field survey.</w:t>
      </w:r>
    </w:p>
    <w:p>
      <w:pPr>
        <w:pStyle w:val="Title"/>
      </w:pPr>
      <w:r>
        <w:t>6. THE MEASUREMENT</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Early establishment of the post-breach gradient</w:t>
      </w:r>
    </w:p>
    <w:p>
      <w:pPr>
        <w:spacing w:line="360" w:lineRule="auto"/>
        <w:jc w:val="both"/>
      </w:pPr>
      <w:r>
        <w:t>The pool had drained by the end of June 2023, so the first ICESat-2 overpasses available over the residual system — five between 7 July and 7 September — observe an already-emptied reach rather than the drainage transient. They carry the post-breach gradient from the start: Theil-Sen median +3.245 cm/km (2023-07-07..2023-09-07) (n = 5). The new geometry was therefore established within weeks of depletion and is not a feature only of the settled 2024–25 sample. These passes are not used to reconstruct the drainage itself; that is the subject of the next section.</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recorded by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Node counts per date are small; the series is a sequence of observed surfaces, not a gauged hydrograph.</w:t>
      </w:r>
    </w:p>
    <w:p>
      <w:pPr>
        <w:spacing w:line="360" w:lineRule="auto"/>
        <w:jc w:val="both"/>
      </w:pPr>
      <w:r>
        <w:t>Figure 15 shows the outlet series against the upstream gauge and the downstream rise profile.</w:t>
      </w:r>
    </w:p>
    <w:p>
      <w:pPr>
        <w:jc w:val="center"/>
      </w:pPr>
      <w:r>
        <w:drawing>
          <wp:inline xmlns:a="http://schemas.openxmlformats.org/drawingml/2006/main" xmlns:pic="http://schemas.openxmlformats.org/drawingml/2006/picture">
            <wp:extent cx="5760720" cy="2853158"/>
            <wp:docPr id="2" name="Picture 2"/>
            <wp:cNvGraphicFramePr>
              <a:graphicFrameLocks noChangeAspect="1"/>
            </wp:cNvGraphicFramePr>
            <a:graphic>
              <a:graphicData uri="http://schemas.openxmlformats.org/drawingml/2006/picture">
                <pic:pic>
                  <pic:nvPicPr>
                    <pic:cNvPr id="0" name="F15_swot_drawdown_and_wave.png"/>
                    <pic:cNvPicPr/>
                  </pic:nvPicPr>
                  <pic:blipFill>
                    <a:blip r:embed="rId10"/>
                    <a:stretch>
                      <a:fillRect/>
                    </a:stretch>
                  </pic:blipFill>
                  <pic:spPr>
                    <a:xfrm>
                      <a:off x="0" y="0"/>
                      <a:ext cx="5760720" cy="2853158"/>
                    </a:xfrm>
                    <a:prstGeom prst="rect"/>
                  </pic:spPr>
                </pic:pic>
              </a:graphicData>
            </a:graphic>
          </wp:inline>
        </w:drawing>
      </w:r>
    </w:p>
    <w:p>
      <w:pPr>
        <w:spacing w:line="360" w:lineRule="auto"/>
        <w:jc w:val="both"/>
      </w:pPr>
      <w:r>
        <w:rPr>
          <w:b/>
        </w:rPr>
        <w:t>Figure 3.</w:t>
      </w:r>
      <w:r>
        <w:t xml:space="preserve"> The breach fortnight from orbit. (a) Outlet water surface against the upstream gauge, 28 May – 30 June 2023, in the common vertical frame. (b) Rise above the pre-breach surface with distance below the dam.</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Water-surface geometry before and after the breach.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median per-pass interval half-width 21.545 cm/km; 3 of 14 passes exclude zero individually</w:t>
            </w:r>
          </w:p>
        </w:tc>
        <w:tc>
          <w:tcPr>
            <w:tcW w:type="dxa" w:w="2160"/>
          </w:tcPr>
          <w:p>
            <w:r>
              <w:t>half-width p25-p75 7.198-47.522 cm/km</w:t>
            </w:r>
          </w:p>
        </w:tc>
        <w:tc>
          <w:tcPr>
            <w:tcW w:type="dxa" w:w="2160"/>
          </w:tcPr>
          <w:p>
            <w:r>
              <w:t>14 passes, 6 beam medians each</w:t>
            </w:r>
          </w:p>
        </w:tc>
      </w:tr>
      <w:tr>
        <w:tc>
          <w:tcPr>
            <w:tcW w:type="dxa" w:w="2160"/>
          </w:tcPr>
          <w:p>
            <w:r>
              <w:t>Per-overpass measurement uncertainty, pre-breach</w:t>
            </w:r>
          </w:p>
        </w:tc>
        <w:tc>
          <w:tcPr>
            <w:tcW w:type="dxa" w:w="2160"/>
          </w:tcPr>
          <w:p>
            <w:r>
              <w:t>median per-pass interval half-width 2.129 cm/km; 0 of 14 passes exclude zero</w:t>
            </w:r>
          </w:p>
        </w:tc>
        <w:tc>
          <w:tcPr>
            <w:tcW w:type="dxa" w:w="2160"/>
          </w:tcPr>
          <w:p>
            <w:r>
              <w:t>—</w:t>
            </w:r>
          </w:p>
        </w:tc>
        <w:tc>
          <w:tcPr>
            <w:tcW w:type="dxa" w:w="2160"/>
          </w:tcPr>
          <w:p>
            <w:r>
              <w:t>14 passes</w:t>
            </w:r>
          </w:p>
        </w:tc>
      </w:tr>
      <w:tr>
        <w:tc>
          <w:tcPr>
            <w:tcW w:type="dxa" w:w="2160"/>
          </w:tcPr>
          <w:p>
            <w:r>
              <w:t>Minimum fitted span, 30 km</w:t>
            </w:r>
          </w:p>
        </w:tc>
        <w:tc>
          <w:tcPr>
            <w:tcW w:type="dxa" w:w="2160"/>
          </w:tcPr>
          <w:p>
            <w:r>
              <w:t>at a 30 km minimum span, 0.112 -&gt; 3.314 cm/km, difference 3.202</w:t>
            </w:r>
          </w:p>
        </w:tc>
        <w:tc>
          <w:tcPr>
            <w:tcW w:type="dxa" w:w="2160"/>
          </w:tcPr>
          <w:p>
            <w:r>
              <w:t>—</w:t>
            </w:r>
          </w:p>
        </w:tc>
        <w:tc>
          <w:tcPr>
            <w:tcW w:type="dxa" w:w="2160"/>
          </w:tcPr>
          <w:p>
            <w:r>
              <w:t>4 pre / 6 post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jc w:val="center"/>
      </w:pPr>
      <w:r>
        <w:drawing>
          <wp:inline xmlns:a="http://schemas.openxmlformats.org/drawingml/2006/main" xmlns:pic="http://schemas.openxmlformats.org/drawingml/2006/picture">
            <wp:extent cx="5760720" cy="2675445"/>
            <wp:docPr id="3" name="Picture 3"/>
            <wp:cNvGraphicFramePr>
              <a:graphicFrameLocks noChangeAspect="1"/>
            </wp:cNvGraphicFramePr>
            <a:graphic>
              <a:graphicData uri="http://schemas.openxmlformats.org/drawingml/2006/picture">
                <pic:pic>
                  <pic:nvPicPr>
                    <pic:cNvPr id="0" name="F02_slope_per_overpass.png"/>
                    <pic:cNvPicPr/>
                  </pic:nvPicPr>
                  <pic:blipFill>
                    <a:blip r:embed="rId11"/>
                    <a:stretch>
                      <a:fillRect/>
                    </a:stretch>
                  </pic:blipFill>
                  <pic:spPr>
                    <a:xfrm>
                      <a:off x="0" y="0"/>
                      <a:ext cx="5760720" cy="2675445"/>
                    </a:xfrm>
                    <a:prstGeom prst="rect"/>
                  </pic:spPr>
                </pic:pic>
              </a:graphicData>
            </a:graphic>
          </wp:inline>
        </w:drawing>
      </w:r>
    </w:p>
    <w:p>
      <w:pPr>
        <w:spacing w:line="360" w:lineRule="auto"/>
        <w:jc w:val="both"/>
      </w:pPr>
      <w:r>
        <w:rPr>
          <w:b/>
        </w:rPr>
        <w:t>Figure 2.</w:t>
      </w:r>
      <w:r>
        <w:t xml:space="preserve"> Per-overpass longitudinal slope. (a) Every overpass with the interval its own fit carries; the axis is bounded, and the count of intervals reaching beyond it is printed on the panel. (b) The two distributions. The contrast is in the ensemble, not in any single pass.</w:t>
      </w:r>
    </w:p>
    <w:p>
      <w:pPr>
        <w:pStyle w:val="Heading1"/>
      </w:pPr>
      <w:r>
        <w:t>6.3.1 What one overpass can and cannot show</w:t>
      </w:r>
    </w:p>
    <w:p>
      <w:pPr>
        <w:spacing w:line="360" w:lineRule="auto"/>
        <w:jc w:val="both"/>
      </w:pPr>
      <w:r>
        <w:t xml:space="preserve">The interval quoted above is on the difference of medians </w:t>
      </w:r>
      <w:r>
        <w:rPr>
          <w:i/>
        </w:rPr>
        <w:t>across</w:t>
      </w:r>
      <w:r>
        <w:t xml:space="preserve"> overpasses. It is not a statement about any single pass, and the two must not be read as one. Fitted through six beam-median points over some 25 km, an individual post-breach slope is poorly resolved: median per-pass interval half-width 21.545 cm/km; 3 of 14 passes exclude zero individually (half-width p25-p75 7.198-47.522 cm/km; n = 14 passes, 6 beam medians each). Before the breach the same fit is far tighter — median per-pass interval half-width 2.129 cm/km; 0 of 14 passes exclude zero — because a level surface offers no leverage for disagreement between beams, whereas a sloping, spatially heterogeneous one does.</w:t>
      </w:r>
    </w:p>
    <w:p>
      <w:pPr>
        <w:spacing w:line="360" w:lineRule="auto"/>
        <w:jc w:val="both"/>
      </w:pPr>
      <w:r>
        <w:t>The transition is therefore evidenced by repetition rather than by precision: every post-breach pass is positive where only ten of fourteen were before, and it is that consistency, not the sharpness of any one measurement, which the confidence interval of Section 6.3 summarises (The evidence for the transition is therefore the ensemble - every post-breach pass positive, and the difference of medians - not the precision of any one measurement. Per-pass precision here is poorer than published reach-scale ICESat-2 slope benchmarks because the fits use six beam medians over a short span rather than a dense reach dataset.).</w:t>
      </w:r>
    </w:p>
    <w:p>
      <w:pPr>
        <w:pStyle w:val="Heading1"/>
      </w:pPr>
      <w:r>
        <w:t>6.3.2 Sensitivity to the fitted span</w:t>
      </w:r>
    </w:p>
    <w:p>
      <w:pPr>
        <w:spacing w:line="360" w:lineRule="auto"/>
        <w:jc w:val="both"/>
      </w:pPr>
      <w:r>
        <w:t>at a 30 km minimum span, 0.112 -&gt; 3.314 cm/km, difference 3.202 (n = 4 pre / 6 post).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jc w:val="center"/>
      </w:pPr>
      <w:r>
        <w:drawing>
          <wp:inline xmlns:a="http://schemas.openxmlformats.org/drawingml/2006/main" xmlns:pic="http://schemas.openxmlformats.org/drawingml/2006/picture">
            <wp:extent cx="5760720" cy="3900995"/>
            <wp:docPr id="4" name="Picture 4"/>
            <wp:cNvGraphicFramePr>
              <a:graphicFrameLocks noChangeAspect="1"/>
            </wp:cNvGraphicFramePr>
            <a:graphic>
              <a:graphicData uri="http://schemas.openxmlformats.org/drawingml/2006/picture">
                <pic:pic>
                  <pic:nvPicPr>
                    <pic:cNvPr id="0" name="F04_heterogeneity.png"/>
                    <pic:cNvPicPr/>
                  </pic:nvPicPr>
                  <pic:blipFill>
                    <a:blip r:embed="rId12"/>
                    <a:stretch>
                      <a:fillRect/>
                    </a:stretch>
                  </pic:blipFill>
                  <pic:spPr>
                    <a:xfrm>
                      <a:off x="0" y="0"/>
                      <a:ext cx="5760720" cy="3900995"/>
                    </a:xfrm>
                    <a:prstGeom prst="rect"/>
                  </pic:spPr>
                </pic:pic>
              </a:graphicData>
            </a:graphic>
          </wp:inline>
        </w:drawing>
      </w:r>
    </w:p>
    <w:p>
      <w:pPr>
        <w:spacing w:line="360" w:lineRule="auto"/>
        <w:jc w:val="both"/>
      </w:pPr>
      <w:r>
        <w:rPr>
          <w:b/>
        </w:rPr>
        <w:t>Figure 4.</w:t>
      </w:r>
      <w:r>
        <w:t xml:space="preserve"> Within-overpass water-surface heterogeneity (p95 − p05) by date. Horizontal bars are period medians. The metric is defined independently of the slope fit and uses every ATL13 date in the footprint, not only those with a 20 km span.</w:t>
      </w:r>
    </w:p>
    <w:p>
      <w:pPr>
        <w:pStyle w:val="Heading1"/>
      </w:pPr>
      <w:r>
        <w:t>6.6 Planform transformation</w:t>
      </w:r>
    </w:p>
    <w:p>
      <w:pPr>
        <w:spacing w:line="360" w:lineRule="auto"/>
        <w:jc w:val="both"/>
      </w:pPr>
      <w:r>
        <w:t>The optical record independently documents the loss of a single connected impounded surface (pre-breach 2023-06-05: 2 water bodies, 2,129 km2, largest component 99.995% of water area | post-breach median 503 bodies, 289 km2, largest component 58.2%). Component counts are not used inferentially: only one pre-breach date has near-complete coverage, and observed connectivity scales with the observed fraction, so the contrast is reported as corroboration of the geometric result rather than as a measurement in its own right.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INTERPRETATION</w:t>
      </w:r>
    </w:p>
    <w:p>
      <w:pPr>
        <w:spacing w:line="360" w:lineRule="auto"/>
        <w:jc w:val="both"/>
      </w:pPr>
      <w:r>
        <w:t>Reaches released from an impoundment adjust in ways that are neither uniform nor immediate (Nichols &amp; Viers, 2017), and incisional channels formed after dam removal widen and narrow through migrating fronts rather than settling monotonically (Cantelli et al., 2004; Cantelli et al., 2007).</w:t>
      </w:r>
    </w:p>
    <w:p>
      <w:pPr>
        <w:pStyle w:val="Heading1"/>
      </w:pPr>
      <w:r>
        <w:t>7.1 From an impounded to a river-dominated state</w:t>
      </w:r>
    </w:p>
    <w:p>
      <w:pPr>
        <w:spacing w:line="360" w:lineRule="auto"/>
        <w:jc w:val="both"/>
      </w:pPr>
      <w:r>
        <w:t>Before the breach, the historical survey and the pre-breach overpasses agree that this particular impoundment held a near-level surface over the observed reach, with a hydraulic rise smaller than the wind setup and seiche that crossed it (mean hydraulic rise over 183 km: 0 cm (Qmin), 6 cm (Q20%), 42 cm (Q1%) | seiche half-range at an antinode 17.5 cm | wind setup at an end 35 cm (15 m/s) to 148 cm (25 m/s)). After depletion every overpass in the analysis carries a positive downstream gradient, and it does so from the first passes after drainage through to 2025 (Theil-Sen median +3.245 cm/km (2023-07-07..2023-09-07)). We read the change as a transition from a dam-controlled water-surface geometry to a channel-controlled one. That is a diagnosis from the observed surface: it is not an estimate of discharge, nor of friction or energy slope, and it is a statement about this reach rather than about reservoirs and rivers in general, which can both depart from these idealisations under backwater, unsteady flow and appreciable inflow.</w:t>
      </w:r>
    </w:p>
    <w:p>
      <w:pPr>
        <w:spacing w:line="360" w:lineRule="auto"/>
        <w:jc w:val="both"/>
      </w:pPr>
      <w:r>
        <w:t>The measured geometric change is consistent with a process literature in which the removal of a hydraulic control, or an imposed drawdown of the water surface, accelerates flow and initiates incision and subsequent channel adjustment. Laboratory dam-removal experiments document rapid incision followed by erosional narrowing and later widening (Cantelli et al., 2004; Cantelli et al., 2007), and field-scale levee breaches show that an imposed drawdown accelerates flow and promotes incision in the adjacent system (Nichols &amp; Viers, 2017). These are process analogues, not scale equivalents: the first is a flume, the second a levee rather than a reservoir dam, and neither establishes that a persistent satellite-measured gradient is a general diagnostic of release from impoundment.</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The channel-restricted slope control is underpowered (Theil-Sen difference +1.109 cm/km, 95% CI [-0.086, +2.186]). The slope–discharge relation after the breach is not testable: Slope depends on discharge differently after the breach (beta3 = Q x POST). The survey epoch of the soundings is unrecorded (no epoch), the Baltic realisation of the historical tables is unstated, three co-located SWOT–ICESat-2 overpasses exist, and no wind record covers the 5 April 2023 anomaly. The quasigeoid grid is the full-resolution EGG2015 product, licensed from its author and used before in the same vertical harmonisation (Nikoriak et al., 2026). Because that grid is a restricted rather than a public release — the public release is coarser by an order of magnitude — it cannot be redistributed with the data of this paper, and a reader reproducing the work must obtain it on the same terms. That is a constraint on redistribution, not on the result.</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rather than assumed. The same frame let the drawdown itself be read from orbit (outlet 5.63 m EVRF2019 on 13 June, from 17.53 m on 31 May). What the data cannot yet say — a post-breach slope–discharge law — is stated as such rather than inferred. The bed beneath this surface is reconstructed in Paper 2; what the new geometry means for roughness, conveyance and stage is the question of Papers 4 and 5, which take these profiles as a target they must meet without being calibrated on them.</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The three ICESat-2 samples</w:t>
      </w:r>
    </w:p>
    <w:p>
      <w:pPr>
        <w:spacing w:line="360" w:lineRule="auto"/>
        <w:jc w:val="both"/>
      </w:pPr>
      <w:r>
        <w:t>The slope, heterogeneity and exposed-bed analyses draw on different subsets of the same archive and must not be conflated: the slope sample admits an overpass only if its chainage span reaches 20 km, the heterogeneity sample takes every ATL13 date in the footprint, and the exposed-bed sample is a ground-return set with no water in it at all. Sample sizes are given per claim in Tables 1–4.</w:t>
      </w:r>
    </w:p>
    <w:p>
      <w:pPr>
        <w:pStyle w:val="Title"/>
      </w:pPr>
      <w:r>
        <w:t>REFERENCES</w:t>
      </w:r>
    </w:p>
    <w:p>
      <w:pPr>
        <w:spacing w:line="360" w:lineRule="auto"/>
        <w:jc w:val="both"/>
      </w:pPr>
      <w:r>
        <w:t>- [CRS_EU_UA_KRON_EVRF2019ZERO] BKG (2020). UA_KRON / NH to EVRF2019zero — description of transformation (grid idw_ua_2019_z.asc, inverse distance weighted). CRS-EU. https://www.crs-geo.eu/crs/descrtrans/eu-descrtrans.php?crs_id=dFVBX0tST04gLyBOSA==&amp;op_id=VUFfS1JPTiAvIE5IIHRvIEVWUkYyMDE5emVybw==&amp;tr_one=0</w:t>
      </w:r>
    </w:p>
    <w:p>
      <w:pPr>
        <w:spacing w:line="360" w:lineRule="auto"/>
        <w:jc w:val="both"/>
      </w:pPr>
      <w:r>
        <w:t>- [EGG2015]</w:t>
      </w:r>
    </w:p>
    <w:p>
      <w:pPr>
        <w:spacing w:line="360" w:lineRule="auto"/>
        <w:jc w:val="both"/>
      </w:pPr>
      <w:r>
        <w:t>- [EVRF2019]</w:t>
      </w:r>
    </w:p>
    <w:p>
      <w:pPr>
        <w:spacing w:line="360" w:lineRule="auto"/>
        <w:jc w:val="both"/>
      </w:pPr>
      <w:r>
        <w:t>- [IAG_RESOLUTION_16_1983]</w:t>
      </w:r>
    </w:p>
    <w:p>
      <w:pPr>
        <w:spacing w:line="360" w:lineRule="auto"/>
        <w:jc w:val="both"/>
      </w:pPr>
      <w:r>
        <w:t>- [ICESAT2_ATL03_ATBD]</w:t>
      </w:r>
    </w:p>
    <w:p>
      <w:pPr>
        <w:spacing w:line="360" w:lineRule="auto"/>
        <w:jc w:val="both"/>
      </w:pPr>
      <w:r>
        <w:t>- [ICESAT2_ATL13_ATBD]</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[efron1979] Efron, B. (1979). Bootstrap Methods: Another Look at the Jackknife. </w:t>
      </w:r>
      <w:r>
        <w:rPr>
          <w:i/>
        </w:rPr>
        <w:t>The Annals of Statistics</w:t>
      </w:r>
      <w:r>
        <w:t>. https://doi.org/10.1214/aos/1176344552</w:t>
      </w:r>
    </w:p>
    <w:p>
      <w:pPr>
        <w:spacing w:line="360" w:lineRule="auto"/>
        <w:jc w:val="both"/>
      </w:pPr>
      <w:r>
        <w:t xml:space="preserve">- [ernst2004] Ernst, Michael D. (2004). Permutation Methods: A Basis for Exact Inference. </w:t>
      </w:r>
      <w:r>
        <w:rPr>
          <w:i/>
        </w:rPr>
        <w:t>Statistical Science</w:t>
      </w:r>
      <w:r>
        <w:t>. https://doi.org/10.1214/088342304000000396</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[hurlbert1984] Hurlbert, Stuart H. (1984). Pseudoreplication and the Design of Ecological Field Experiments. </w:t>
      </w:r>
      <w:r>
        <w:rPr>
          <w:i/>
        </w:rPr>
        <w:t>Ecological Monographs</w:t>
      </w:r>
      <w:r>
        <w:t>. https://doi.org/10.2307/1942661</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[nikoriak2026] Nikoriak, V.V.; Osypov, V.V.; Osadcha, N.M. (2026). Validation of global elevation models using ICESat-2 LiDAR data for floodplain modeling in the Ukrainian Carpathians. </w:t>
      </w:r>
      <w:r>
        <w:rPr>
          <w:i/>
        </w:rPr>
        <w:t>Geofizicheskiy Zhurnal</w:t>
      </w:r>
      <w:r>
        <w:t>. https://doi.org/10.24028/gj.v48i2.346831</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[sen1968] Sen, Pranab Kumar (1968). Estimates of the Regression Coefficient Based on Kendall's Tau. </w:t>
      </w:r>
      <w:r>
        <w:rPr>
          <w:i/>
        </w:rPr>
        <w:t>Journal of the American Statistical Association</w:t>
      </w:r>
      <w:r>
        <w:t>. https://doi.org/10.1080/01621459.1968.10480934</w:t>
      </w:r>
    </w:p>
    <w:p>
      <w:pPr>
        <w:spacing w:line="360" w:lineRule="auto"/>
        <w:jc w:val="both"/>
      </w:pPr>
      <w:r>
        <w:t xml:space="preserve">- [theil1992] Theil, Henri (1992). A Rank-Invariant Method of Linear and Polynomial Regression Analysis. </w:t>
      </w:r>
      <w:r>
        <w:rPr>
          <w:i/>
        </w:rPr>
        <w:t>Advanced Studies in Theoretical and Applied Econometrics</w:t>
      </w:r>
      <w:r>
        <w:t>. https://doi.org/10.1007/978-94-011-2546-8_20</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