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exposed bed to floodplain: vegetation succession, surface roughness and the hydraulic consequences of the Kakhovka Dam breach</w:t>
      </w:r>
    </w:p>
    <w:p>
      <w:pPr>
        <w:pStyle w:val="Heading1"/>
      </w:pPr>
      <w:r>
        <w:t>ABSTRACT</w:t>
      </w:r>
    </w:p>
    <w:p>
      <w:pPr>
        <w:spacing w:line="360" w:lineRule="auto"/>
        <w:jc w:val="both"/>
      </w:pPr>
      <w:r>
        <w:rPr>
          <w:b/>
        </w:rPr>
        <w:t>Background.</w:t>
      </w:r>
      <w:r>
        <w:t xml:space="preserve"> The breach of the Kakhovka Dam on 6 June 2023 turned a 2 155 km² impounded pool into a river with a vegetating floodplain. A companion paper established the new water-surface geometry and reconstructed the bed in one vertical frame; what that geometry and the surface growing on it mean for flow resistance, conveyance and stage is the question here.</w:t>
      </w:r>
    </w:p>
    <w:p>
      <w:pPr>
        <w:spacing w:line="360" w:lineRule="auto"/>
        <w:jc w:val="both"/>
      </w:pPr>
      <w:r>
        <w:rPr>
          <w:b/>
        </w:rPr>
        <w:t>Methods.</w:t>
      </w:r>
      <w:r>
        <w:t xml:space="preserve"> On the former water surface (pool 2174.7 km²; former water surface 2107.0 km²; legacy land 55.0 km²) ten surface classes are mapped on every leaf-on Sentinel-2 date of 2023–2025, woody cover is followed with Dynamic World probabilities, and class maps are translated state by state into Manning roughness ranges from published priors. Channel width below the dam is measured on 157 transects at matched downstream stage. One-dimensional and two-dimensional HEC-RAS models of the pre-breach and current systems use the companion paper's bed as terrain; roughness is calibrated only on legacy backwater profiles and gauge records, and the models are validated against the independently observed post-breach longitudinal water-surface geometry.</w:t>
      </w:r>
    </w:p>
    <w:p>
      <w:pPr>
        <w:spacing w:line="360" w:lineRule="auto"/>
        <w:jc w:val="both"/>
      </w:pPr>
      <w:r>
        <w:rPr>
          <w:b/>
        </w:rPr>
        <w:t>Results.</w:t>
      </w:r>
      <w:r>
        <w:t xml:space="preserve"> The vegetated share of the former water surface rose from veg 26.9%, bare 25.6%, water 36.7% (2023) through veg 72.0%, bare 7.6%, water 16.6% (2024) to veg 83.8%, bare 4.0%, water 10.8% (2025); Dynamic World woody probability reached share woody prob ≥0.3: 0.03% (2022) → 0.31% (2023) → 25.2% (2024); 'trees' label 2024 21.8%. Translated through published priors, the area-weighted roughness of the surface moved from n 0.032 → 0.063; median Δn +0.035. Below the dam the wetted width at matched stage is 2025 median 690 m (p25 465, p75 895); main arm 560 m against 2019 median 580 m; main arm 500 m; Kherson stage 0.2 m.</w:t>
      </w:r>
    </w:p>
    <w:p>
      <w:pPr>
        <w:spacing w:line="360" w:lineRule="auto"/>
        <w:jc w:val="both"/>
      </w:pPr>
      <w:r>
        <w:t xml:space="preserve">&gt; </w:t>
      </w:r>
      <w:r>
        <w:rPr>
          <w:b/>
        </w:rPr>
        <w:t>[PENDING OPEN60]</w:t>
      </w:r>
      <w:r>
        <w:t xml:space="preserve"> Abstract results on modelled conveyance, stage and validation against observed slope</w:t>
      </w:r>
    </w:p>
    <w:p>
      <w:pPr>
        <w:spacing w:line="360" w:lineRule="auto"/>
        <w:jc w:val="both"/>
      </w:pPr>
      <w:r>
        <w:t>&gt; `backs: P2-AT01,P2-AT03,P2-AT05` · `section: ABSTRACT`</w:t>
      </w:r>
    </w:p>
    <w:p>
      <w:pPr>
        <w:spacing w:line="360" w:lineRule="auto"/>
        <w:jc w:val="both"/>
      </w:pPr>
      <w:r>
        <w:t>&gt; `unblock_by: HEC-RAS pre-breach and current runs; validation against M1.1` · `status: blocked`</w:t>
      </w:r>
    </w:p>
    <w:p>
      <w:pPr>
        <w:spacing w:line="360" w:lineRule="auto"/>
        <w:jc w:val="both"/>
      </w:pPr>
      <w:r>
        <w:t>&gt; `blocks_submission: yes`</w:t>
      </w:r>
    </w:p>
    <w:p>
      <w:pPr>
        <w:spacing w:line="360" w:lineRule="auto"/>
        <w:jc w:val="both"/>
      </w:pPr>
      <w:r>
        <w:rPr>
          <w:b/>
        </w:rPr>
        <w:t>Conclusions.</w:t>
      </w:r>
    </w:p>
    <w:p>
      <w:pPr>
        <w:spacing w:line="360" w:lineRule="auto"/>
        <w:jc w:val="both"/>
      </w:pPr>
      <w:r>
        <w:t xml:space="preserve">&gt; </w:t>
      </w:r>
      <w:r>
        <w:rPr>
          <w:b/>
        </w:rPr>
        <w:t>[PENDING OPEN61]</w:t>
      </w:r>
      <w:r>
        <w:t xml:space="preserve"> Abstract conclusions await the model results</w:t>
      </w:r>
    </w:p>
    <w:p>
      <w:pPr>
        <w:spacing w:line="360" w:lineRule="auto"/>
        <w:jc w:val="both"/>
      </w:pPr>
      <w:r>
        <w:t>&gt; `backs: P2-AT01,P2-AT02,P2-AT03` · `section: ABSTRACT`</w:t>
      </w:r>
    </w:p>
    <w:p>
      <w:pPr>
        <w:spacing w:line="360" w:lineRule="auto"/>
        <w:jc w:val="both"/>
      </w:pPr>
      <w:r>
        <w:t>&gt; `status: blocked` · `blocks_submission: yes`</w:t>
      </w:r>
    </w:p>
    <w:p>
      <w:pPr>
        <w:spacing w:line="360" w:lineRule="auto"/>
        <w:jc w:val="both"/>
      </w:pPr>
      <w:r>
        <w:rPr>
          <w:b/>
        </w:rPr>
        <w:t>Keywords:</w:t>
      </w:r>
      <w:r>
        <w:t xml:space="preserve"> reservoir drawdown; vegetation succession; Manning roughness; HEC-RAS; conveyance; channel width; Sentinel-2; Dynamic World; Kakhovka</w:t>
      </w:r>
    </w:p>
    <w:p>
      <w:pPr>
        <w:pStyle w:val="Title"/>
      </w:pPr>
      <w:r>
        <w:t>1. INTRODUCTION</w:t>
      </w:r>
    </w:p>
    <w:p>
      <w:pPr>
        <w:pStyle w:val="Heading1"/>
      </w:pPr>
      <w:r>
        <w:t>1.1 A new floodplain where a reservoir was</w:t>
      </w:r>
    </w:p>
    <w:p>
      <w:pPr>
        <w:spacing w:line="360" w:lineRule="auto"/>
        <w:jc w:val="both"/>
      </w:pPr>
      <w:r>
        <w:t>A drained reservoir bed is also a new floodplain. The companion paper showed that after the breach the water surface within the former Kakhovka Reservoir footprint acquired a persistent downstream gradient and reconstructed the bed it now flows over. Between that bed and the water is a surface that changed from open water to bare sediment to reed, herbaceous cover and young willow within two seasons.</w:t>
      </w:r>
    </w:p>
    <w:p>
      <w:pPr>
        <w:pStyle w:val="Heading1"/>
      </w:pPr>
      <w:r>
        <w:t>1.2 What the field surveys established and what they leave open</w:t>
      </w:r>
    </w:p>
    <w:p>
      <w:pPr>
        <w:spacing w:line="360" w:lineRule="auto"/>
        <w:jc w:val="both"/>
      </w:pPr>
      <w:r>
        <w:t>Field surveys in the first seasons after the breach documented rapid colonisation dominated by willow, with seedling densities of tens of individuals per square metre and heights approaching the shrub–tree boundary within a year ((Kuzemko et al., 2025); (Didukh et al., 2024)). They provide a habitat map and the botanical record. What they do not provide is a multi-year, whole-surface area and transition series on one grid, or a translation of the emerging cover into the hydraulic resistance that any reconstruction of the breach flood, or of future floods, must assume.</w:t>
      </w:r>
    </w:p>
    <w:p>
      <w:pPr>
        <w:pStyle w:val="Heading1"/>
      </w:pPr>
      <w:r>
        <w:t>1.3 Roughness, conveyance and the two hydraulic states</w:t>
      </w:r>
    </w:p>
    <w:p>
      <w:pPr>
        <w:spacing w:line="360" w:lineRule="auto"/>
        <w:jc w:val="both"/>
      </w:pPr>
      <w:r>
        <w:t>Manning roughness for vegetated flood plains has a long literature of priors ((Arcement &amp; Schneider, 1989); (Järvelä, 2004)), and translating a class map into a roughness field is standard in two-dimensional modelling. What is not standard is doing so on a surface that is changing year by year, and then asking how the current channel-and-floodplain configuration conveys a given discharge compared with the impounded pool it replaced.</w:t>
      </w:r>
    </w:p>
    <w:p>
      <w:pPr>
        <w:pStyle w:val="Heading1"/>
      </w:pPr>
      <w:r>
        <w:t>1.4 Objectives</w:t>
      </w:r>
    </w:p>
    <w:p>
      <w:pPr>
        <w:spacing w:line="360" w:lineRule="auto"/>
        <w:jc w:val="both"/>
      </w:pPr>
      <w:r>
        <w:t>(i) Quantify the surface transformation of the former water surface over 2023–2025 as class areas, transitions and first-event timing, and woody encroachment. (ii) Translate it into a roughness layer with stated priors and uncertainty. (iii) Model the pre-breach and current systems in HEC-RAS on the companion paper's terrain, calibrating only on legacy backwater profiles and gauge records. (iv) Validate the current model against the independently observed post-breach longitudinal water-surface geometry and channel width. (v) Bound the stage and conveyance response to roughness uncertainty. Where the data cannot yet answer — post-breach discharge, classification accuracy, canopy growth — the paper states the limitation instead of inferring an answer.</w:t>
      </w:r>
    </w:p>
    <w:p>
      <w:pPr>
        <w:pStyle w:val="Title"/>
      </w:pPr>
      <w:r>
        <w:t>2. STUDY AREA AND INHERITED FRAMEWORK</w:t>
      </w:r>
    </w:p>
    <w:p>
      <w:pPr>
        <w:spacing w:line="360" w:lineRule="auto"/>
        <w:jc w:val="both"/>
      </w:pPr>
      <w:r>
        <w:t>The analysis zones, chainage convention and vertical frame (EVRF2019 normal heights via EGG2015 and EPSG:9902) are those of the companion paper and are not re-derived here. The terrain input for every model is the companion paper's bed: the reservoir surface (preferred OK: RMSE 2.76 m, NMAD 1.32 m, bias -0.03 m, median |e| 0.89 m) and the downstream zone surfaces (SND_ONLY / LINEAR: RMSE 2.31 m, bias +0.02 m, NMAD 1.67 m; SND_ONLY / OK: RMSE 2.62 m, bias +0.04 m, NMAD 2.27 m; SND_ONLY / LINEAR: RMSE 2.20 m, bias -0.07 m, NMAD 1.24 m), each with its soundings-only cross-validation score. FABDEM supplies the floodplain outside the former footprint; over the former bed FABDEM shows the impounded surface and is invalid.</w:t>
      </w:r>
    </w:p>
    <w:p>
      <w:pPr>
        <w:pStyle w:val="Title"/>
      </w:pPr>
      <w:r>
        <w:t>3. DATA</w:t>
      </w:r>
    </w:p>
    <w:p>
      <w:pPr>
        <w:pStyle w:val="Heading1"/>
      </w:pPr>
      <w:r>
        <w:t>3.1 Sentinel-2, Sentinel-1 and Dynamic World</w:t>
      </w:r>
    </w:p>
    <w:p>
      <w:pPr>
        <w:spacing w:line="360" w:lineRule="auto"/>
        <w:jc w:val="both"/>
      </w:pPr>
      <w:r>
        <w:t>Sentinel-2 L2A scenes on a 20 m registry grid (EPSG:32636) with the BOA additive offset applied, into seven indices and a ten-class surface classification; 53 dates cover the former pool. Sentinel-1 RTC γ⁰ water masks (Supplementary Methods S2). Dynamic World annual composites for 2022–2024; 2025–2026 are not yet available.</w:t>
      </w:r>
    </w:p>
    <w:p>
      <w:pPr>
        <w:pStyle w:val="Heading1"/>
      </w:pPr>
      <w:r>
        <w:t>3.2 ICESat-2 ATL08</w:t>
      </w:r>
    </w:p>
    <w:p>
      <w:pPr>
        <w:spacing w:line="360" w:lineRule="auto"/>
        <w:jc w:val="both"/>
      </w:pPr>
      <w:r>
        <w:t>ATL08 terrain and canopy segments at 100 m and 20 m over the zones (280489 canopy_ok of 1335986 segments (100 m)) supply canopy-height distributions per year.</w:t>
      </w:r>
    </w:p>
    <w:p>
      <w:pPr>
        <w:pStyle w:val="Heading1"/>
      </w:pPr>
      <w:r>
        <w:t>3.3 Hydraulic observations</w:t>
      </w:r>
    </w:p>
    <w:p>
      <w:pPr>
        <w:spacing w:line="360" w:lineRule="auto"/>
        <w:jc w:val="both"/>
      </w:pPr>
      <w:r>
        <w:t>Legacy backwater profiles at nine discharges (design Table 20) and the 1970 field-measured curve, the reservoir and Kherson gauge records, and the 2023 estuary posts are the calibration data. The post-breach per-overpass slopes and within-overpass heterogeneity of the companion paper are the validation data and enter no calibration. Post-breach DniproHES discharge for 2024–2025 has not been recovered; the current-state runs are therefore scenario runs until it is.</w:t>
      </w:r>
    </w:p>
    <w:p>
      <w:pPr>
        <w:spacing w:line="360" w:lineRule="auto"/>
        <w:jc w:val="both"/>
      </w:pPr>
      <w:r>
        <w:t xml:space="preserve">&gt; </w:t>
      </w:r>
      <w:r>
        <w:rPr>
          <w:b/>
        </w:rPr>
        <w:t>[PENDING TAB01]</w:t>
      </w:r>
      <w:r>
        <w:t xml:space="preserve"> Table 1 — Paper 2 data sources (machine-generated)</w:t>
      </w:r>
    </w:p>
    <w:p>
      <w:pPr>
        <w:spacing w:line="360" w:lineRule="auto"/>
        <w:jc w:val="both"/>
      </w:pPr>
      <w:r>
        <w:t>&gt; `backs: S1.5,H1.1,K1.2` · `section: 3 Data`</w:t>
      </w:r>
    </w:p>
    <w:p>
      <w:pPr>
        <w:spacing w:line="360" w:lineRule="auto"/>
        <w:jc w:val="both"/>
      </w:pPr>
      <w:r>
        <w:t>&gt; `status: blocked` · `blocks_submission: yes`</w:t>
      </w:r>
    </w:p>
    <w:p>
      <w:pPr>
        <w:pStyle w:val="Title"/>
      </w:pPr>
      <w:r>
        <w:t>4. METHODS</w:t>
      </w:r>
    </w:p>
    <w:p>
      <w:pPr>
        <w:pStyle w:val="Heading1"/>
      </w:pPr>
      <w:r>
        <w:t>4.1 Surface classes and vegetation succession</w:t>
      </w:r>
    </w:p>
    <w:p>
      <w:pPr>
        <w:spacing w:line="360" w:lineRule="auto"/>
        <w:jc w:val="both"/>
      </w:pPr>
      <w:r>
        <w:t>Seven indices are computed per date with scene-classification masking; the ten-class rule uses NDVI thresholds of 0.15 and 0.30, NDMI 0.10 and BSI 0.10 with morphological cleaning. On the former water surface the mode class per leaf-on season, class shares per date and year, transition matrices between years and interval-censored first-event dates (first seen non-water, first seen vegetated) are computed. A 320-point stratified reference sample (40 per class) was drawn for a design-based accuracy assessment; it is not yet labelled, so no error-adjusted area is reported.</w:t>
      </w:r>
    </w:p>
    <w:p>
      <w:pPr>
        <w:pStyle w:val="Heading1"/>
      </w:pPr>
      <w:r>
        <w:t>4.2 Woody cover</w:t>
      </w:r>
    </w:p>
    <w:p>
      <w:pPr>
        <w:spacing w:line="360" w:lineRule="auto"/>
        <w:jc w:val="both"/>
      </w:pPr>
      <w:r>
        <w:t>Spectral indices cannot separate shrub or tree from herbaceous cover, so woody encroachment is followed with Dynamic World trees-plus-shrub probability on the same surface, the frozen 2022 composite being the pre-breach reference.</w:t>
      </w:r>
    </w:p>
    <w:p>
      <w:pPr>
        <w:pStyle w:val="Heading1"/>
      </w:pPr>
      <w:r>
        <w:t>4.3 Roughness translation</w:t>
      </w:r>
    </w:p>
    <w:p>
      <w:pPr>
        <w:spacing w:line="360" w:lineRule="auto"/>
        <w:jc w:val="both"/>
      </w:pPr>
      <w:r>
        <w:t>Each pixel of a state map (breach 2023, first exposure 2023, 2024, 2025; floodway 2026) is assigned one of eleven roughness classes from surface class, hydroperiod and woody probability; each class carries n_low, n_base and n_high from published priors (Table 1). Area-weighted n and its change between states are computed per zone. This layer is a hydraulically interpreted translation of mapped classes; its calibration is the subject of Section 4.5, not of this step.</w:t>
      </w:r>
    </w:p>
    <w:p>
      <w:pPr>
        <w:pStyle w:val="Heading1"/>
      </w:pPr>
      <w:r>
        <w:t>4.4 Channel transects</w:t>
      </w:r>
    </w:p>
    <w:p>
      <w:pPr>
        <w:spacing w:line="360" w:lineRule="auto"/>
        <w:jc w:val="both"/>
      </w:pPr>
      <w:r>
        <w:t>321 SWORD nodes, 157 transects at 500 m, half-length 2500 m. On each date the water mask is intersected with each transect; wetted width, main-arm width and the number of arms are recorded and compared at matched Kherson stage.</w:t>
      </w:r>
    </w:p>
    <w:p>
      <w:pPr>
        <w:pStyle w:val="Heading1"/>
      </w:pPr>
      <w:r>
        <w:t>4.5 Hydraulic models: calibration and validation kept apart</w:t>
      </w:r>
    </w:p>
    <w:p>
      <w:pPr>
        <w:spacing w:line="360" w:lineRule="auto"/>
        <w:jc w:val="both"/>
      </w:pPr>
      <w:r>
        <w:t xml:space="preserve">&gt; </w:t>
      </w:r>
      <w:r>
        <w:rPr>
          <w:b/>
        </w:rPr>
        <w:t>[PENDING OPEN62]</w:t>
      </w:r>
      <w:r>
        <w:t xml:space="preserve"> HEC-RAS model description: pre-breach (legacy DniproGES1D as comparison only; new 1D on Table 20 backwater profiles) and current (2D on Paper 1 terrain + roughness layer)</w:t>
      </w:r>
    </w:p>
    <w:p>
      <w:pPr>
        <w:spacing w:line="360" w:lineRule="auto"/>
        <w:jc w:val="both"/>
      </w:pPr>
      <w:r>
        <w:t>&gt; `backs: P2-AT01,P2-AT03` · `section: 4.5 Hydraulic models`</w:t>
      </w:r>
    </w:p>
    <w:p>
      <w:pPr>
        <w:spacing w:line="360" w:lineRule="auto"/>
        <w:jc w:val="both"/>
      </w:pPr>
      <w:r>
        <w:t>&gt; `produces: SWOT-DNIPRO pilots/roughness + HEC-RAS project` · `status: blocked`</w:t>
      </w:r>
    </w:p>
    <w:p>
      <w:pPr>
        <w:spacing w:line="360" w:lineRule="auto"/>
        <w:jc w:val="both"/>
      </w:pPr>
      <w:r>
        <w:t>&gt; `blocks_submission: yes`</w:t>
      </w:r>
    </w:p>
    <w:p>
      <w:pPr>
        <w:spacing w:line="360" w:lineRule="auto"/>
        <w:jc w:val="both"/>
      </w:pPr>
      <w:r>
        <w:t>Calibration uses only the legacy backwater profiles, historical levels and the Kherson gauge. Validation uses the per-overpass ICESat-2 slopes and within-overpass heterogeneity of the companion paper and the observed channel width; none of these enters calibration. Roughness sensitivity runs use n_low, n_base and n_high per class.</w:t>
      </w:r>
    </w:p>
    <w:p>
      <w:pPr>
        <w:pStyle w:val="Heading1"/>
      </w:pPr>
      <w:r>
        <w:t>3.6 Canopy height by surface class</w:t>
      </w:r>
    </w:p>
    <w:p>
      <w:pPr>
        <w:spacing w:line="360" w:lineRule="auto"/>
        <w:jc w:val="both"/>
      </w:pPr>
      <w:r>
        <w:t>Height is not roughness, but it is the observable that says whether a class called "young woody" is woody at all. On a season-matched window GEDI gives rh98 3.17 m in 2024, 8% above 4 m for the dense young woody class in 2024 against dense young woody rh98 4.21 m in 2025, 55% of shots above 4 m a year later (p90 6.01 m; n = 4709 shots), while the bare and open-water classes do not move. Cross-checked against ICESat-2 on shared cells the two sensors agree on direction but not level — woody cells GEDI 76% vs ICESat-2 25% (Spearman 0.26) — so canopy height is used here as support for the class assignment and never as an input to the coefficient (A 25 m GEDI footprint is lit by a single tall shrub, so the two sensors are not measuring the same quantity; canopy height supports the class assignment but does not calibrate the roughness coefficient.).</w:t>
      </w:r>
    </w:p>
    <w:p>
      <w:pPr>
        <w:pStyle w:val="Title"/>
      </w:pPr>
      <w:r>
        <w:t>5. RESULTS</w:t>
      </w:r>
    </w:p>
    <w:p>
      <w:pPr>
        <w:pStyle w:val="Heading1"/>
      </w:pPr>
      <w:r>
        <w:t>5.1 Vegetation succession on the former water surface</w:t>
      </w:r>
    </w:p>
    <w:p>
      <w:pPr>
        <w:spacing w:line="360" w:lineRule="auto"/>
        <w:jc w:val="both"/>
      </w:pPr>
      <w:r>
        <w:t>Median class shares by year moved from veg 26.9%, bare 25.6%, water 36.7% (2023) through veg 72.0%, bare 7.6%, water 16.6% (2024) to veg 83.8%, bare 4.0%, water 10.8% (2025) (per-date range veg 0.00–0.88; observed share 0.48). In mode-class areas the first season was dominated by open water and dry bare sediment (2023: open water 673, dry bare 612, sparse herb 166, reed 417 km²); by 2024 reed and flooded vegetation covered the largest area (2024: open water 212, dry bare 137, dense herb 159, reed 1031 km²); by 2025 dense herbaceous cover had expanded while open water and bare sediment collapsed (2025: open water 90, dry bare 38, dense herb 286, reed 686 km²). The transition matrices show where the vegetation came from: 2023→2025 (1258 km²): water→veg 407, sediment→veg 406, veg→veg 261, water→water 116 km²; between 2024 and 2025 persistence dominates (2024→2025 veg→veg 847 of 1214 km²). The interval-censored first-event analysis shows how fast: exposed by series end 2031 km² (censored 76); vegetated 1925 km² (censored 182); exposure hi-quantiles (d) [29.0, 29.0, 29.0, 82.0, 94.0]; vegetation hi-quantiles (d) [29.0, 72.0, 94.0, 109.0, 424.0] (interval width median 30 d (exposure) / 30 d (vegetation)).</w:t>
      </w:r>
    </w:p>
    <w:p>
      <w:pPr>
        <w:spacing w:line="360" w:lineRule="auto"/>
        <w:jc w:val="both"/>
      </w:pPr>
      <w:r>
        <w:rPr>
          <w:b/>
        </w:rPr>
        <w:t>Table 6. Surface-class areas of the former water surface by year / state (km²).</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S1.5</w:t>
            </w:r>
          </w:p>
        </w:tc>
        <w:tc>
          <w:tcPr>
            <w:tcW w:type="dxa" w:w="1728"/>
          </w:tcPr>
          <w:p>
            <w:r>
              <w:t>The analysis domain is the former water surface: pool polygon ∧ pre-breach mode water.</w:t>
            </w:r>
          </w:p>
        </w:tc>
        <w:tc>
          <w:tcPr>
            <w:tcW w:type="dxa" w:w="1728"/>
          </w:tcPr>
          <w:p>
            <w:r>
              <w:t>pool 2174.7 km²; former water surface 2107.0 km²; legacy land 55.0 km²</w:t>
            </w:r>
          </w:p>
        </w:tc>
        <w:tc>
          <w:tcPr>
            <w:tcW w:type="dxa" w:w="1728"/>
          </w:tcPr>
          <w:p>
            <w:r>
              <w:t>53 Sentinel-2 dates</w:t>
            </w:r>
          </w:p>
        </w:tc>
        <w:tc>
          <w:tcPr>
            <w:tcW w:type="dxa" w:w="1728"/>
          </w:tcPr>
          <w:p>
            <w:r>
              <w:t>SUPPORTED</w:t>
            </w:r>
          </w:p>
        </w:tc>
      </w:tr>
      <w:tr>
        <w:tc>
          <w:tcPr>
            <w:tcW w:type="dxa" w:w="1728"/>
          </w:tcPr>
          <w:p>
            <w:r>
              <w:t>S1.1a</w:t>
            </w:r>
          </w:p>
        </w:tc>
        <w:tc>
          <w:tcPr>
            <w:tcW w:type="dxa" w:w="1728"/>
          </w:tcPr>
          <w:p>
            <w:r>
              <w:t>Vegetated share of the former water surface in the first leaf-on season (2023).</w:t>
            </w:r>
          </w:p>
        </w:tc>
        <w:tc>
          <w:tcPr>
            <w:tcW w:type="dxa" w:w="1728"/>
          </w:tcPr>
          <w:p>
            <w:r>
              <w:t>veg 26.9%, bare 25.6%, water 36.7% (2023)</w:t>
            </w:r>
          </w:p>
        </w:tc>
        <w:tc>
          <w:tcPr>
            <w:tcW w:type="dxa" w:w="1728"/>
          </w:tcPr>
          <w:p>
            <w:r>
              <w:t>10 leaf-on dates</w:t>
            </w:r>
          </w:p>
        </w:tc>
        <w:tc>
          <w:tcPr>
            <w:tcW w:type="dxa" w:w="1728"/>
          </w:tcPr>
          <w:p>
            <w:r>
              <w:t>SUPPORTED_WITH_LIMITATION</w:t>
            </w:r>
          </w:p>
        </w:tc>
      </w:tr>
      <w:tr>
        <w:tc>
          <w:tcPr>
            <w:tcW w:type="dxa" w:w="1728"/>
          </w:tcPr>
          <w:p>
            <w:r>
              <w:t>S1.1b</w:t>
            </w:r>
          </w:p>
        </w:tc>
        <w:tc>
          <w:tcPr>
            <w:tcW w:type="dxa" w:w="1728"/>
          </w:tcPr>
          <w:p>
            <w:r>
              <w:t>Vegetated share of the former water surface in 2024.</w:t>
            </w:r>
          </w:p>
        </w:tc>
        <w:tc>
          <w:tcPr>
            <w:tcW w:type="dxa" w:w="1728"/>
          </w:tcPr>
          <w:p>
            <w:r>
              <w:t>veg 72.0%, bare 7.6%, water 16.6% (2024)</w:t>
            </w:r>
          </w:p>
        </w:tc>
        <w:tc>
          <w:tcPr>
            <w:tcW w:type="dxa" w:w="1728"/>
          </w:tcPr>
          <w:p>
            <w:r>
              <w:t>5 leaf-on dates</w:t>
            </w:r>
          </w:p>
        </w:tc>
        <w:tc>
          <w:tcPr>
            <w:tcW w:type="dxa" w:w="1728"/>
          </w:tcPr>
          <w:p>
            <w:r>
              <w:t>SUPPORTED_WITH_LIMITATION</w:t>
            </w:r>
          </w:p>
        </w:tc>
      </w:tr>
      <w:tr>
        <w:tc>
          <w:tcPr>
            <w:tcW w:type="dxa" w:w="1728"/>
          </w:tcPr>
          <w:p>
            <w:r>
              <w:t>S1.1</w:t>
            </w:r>
          </w:p>
        </w:tc>
        <w:tc>
          <w:tcPr>
            <w:tcW w:type="dxa" w:w="1728"/>
          </w:tcPr>
          <w:p>
            <w:r>
              <w:t>The vegetated share (classes 5–7) of the 2 107 km² former water surface rose from 2023 to 2025 on leaf-on Sentinel-2 dates, while bare sediment and residual water shrank.</w:t>
            </w:r>
          </w:p>
        </w:tc>
        <w:tc>
          <w:tcPr>
            <w:tcW w:type="dxa" w:w="1728"/>
          </w:tcPr>
          <w:p>
            <w:r>
              <w:t>veg 83.8%, bare 4.0%, water 10.8% (2025)</w:t>
            </w:r>
          </w:p>
        </w:tc>
        <w:tc>
          <w:tcPr>
            <w:tcW w:type="dxa" w:w="1728"/>
          </w:tcPr>
          <w:p>
            <w:r>
              <w:t>12 leaf-on dates</w:t>
            </w:r>
          </w:p>
        </w:tc>
        <w:tc>
          <w:tcPr>
            <w:tcW w:type="dxa" w:w="1728"/>
          </w:tcPr>
          <w:p>
            <w:r>
              <w:t>SUPPORTED_WITH_LIMITATION</w:t>
            </w:r>
          </w:p>
        </w:tc>
      </w:tr>
      <w:tr>
        <w:tc>
          <w:tcPr>
            <w:tcW w:type="dxa" w:w="1728"/>
          </w:tcPr>
          <w:p>
            <w:r>
              <w:t>S1.2a</w:t>
            </w:r>
          </w:p>
        </w:tc>
        <w:tc>
          <w:tcPr>
            <w:tcW w:type="dxa" w:w="1728"/>
          </w:tcPr>
          <w:p>
            <w:r>
              <w:t>Mode-class areas of the former water surface in 2023 (first exposure).</w:t>
            </w:r>
          </w:p>
        </w:tc>
        <w:tc>
          <w:tcPr>
            <w:tcW w:type="dxa" w:w="1728"/>
          </w:tcPr>
          <w:p>
            <w:r>
              <w:t>2023: open water 673, dry bare 612, sparse herb 166, reed 417 km²</w:t>
            </w:r>
          </w:p>
        </w:tc>
        <w:tc>
          <w:tcPr>
            <w:tcW w:type="dxa" w:w="1728"/>
          </w:tcPr>
          <w:p>
            <w:r>
              <w:t>2107 km²</w:t>
            </w:r>
          </w:p>
        </w:tc>
        <w:tc>
          <w:tcPr>
            <w:tcW w:type="dxa" w:w="1728"/>
          </w:tcPr>
          <w:p>
            <w:r>
              <w:t>SUPPORTED_WITH_LIMITATION</w:t>
            </w:r>
          </w:p>
        </w:tc>
      </w:tr>
      <w:tr>
        <w:tc>
          <w:tcPr>
            <w:tcW w:type="dxa" w:w="1728"/>
          </w:tcPr>
          <w:p>
            <w:r>
              <w:t>S1.2b</w:t>
            </w:r>
          </w:p>
        </w:tc>
        <w:tc>
          <w:tcPr>
            <w:tcW w:type="dxa" w:w="1728"/>
          </w:tcPr>
          <w:p>
            <w:r>
              <w:t>Mode-class areas of the former water surface in 2024 (reed maximum).</w:t>
            </w:r>
          </w:p>
        </w:tc>
        <w:tc>
          <w:tcPr>
            <w:tcW w:type="dxa" w:w="1728"/>
          </w:tcPr>
          <w:p>
            <w:r>
              <w:t>2024: open water 212, dry bare 137, dense herb 159, reed 1031 km²</w:t>
            </w:r>
          </w:p>
        </w:tc>
        <w:tc>
          <w:tcPr>
            <w:tcW w:type="dxa" w:w="1728"/>
          </w:tcPr>
          <w:p>
            <w:r>
              <w:t>1920 km²</w:t>
            </w:r>
          </w:p>
        </w:tc>
        <w:tc>
          <w:tcPr>
            <w:tcW w:type="dxa" w:w="1728"/>
          </w:tcPr>
          <w:p>
            <w:r>
              <w:t>SUPPORTED_WITH_LIMITATION</w:t>
            </w:r>
          </w:p>
        </w:tc>
      </w:tr>
      <w:tr>
        <w:tc>
          <w:tcPr>
            <w:tcW w:type="dxa" w:w="1728"/>
          </w:tcPr>
          <w:p>
            <w:r>
              <w:t>S1.2</w:t>
            </w:r>
          </w:p>
        </w:tc>
        <w:tc>
          <w:tcPr>
            <w:tcW w:type="dxa" w:w="1728"/>
          </w:tcPr>
          <w:p>
            <w:r>
              <w:t>Mode-class areas of the former water surface by year: reed/flooded vegetation peaks in 2024 and dense herbaceous cover expands in 2025 while open water and dry bare sediment collapse.</w:t>
            </w:r>
          </w:p>
        </w:tc>
        <w:tc>
          <w:tcPr>
            <w:tcW w:type="dxa" w:w="1728"/>
          </w:tcPr>
          <w:p>
            <w:r>
              <w:t>2025: open water 90, dry bare 38, dense herb 286, reed 686 km²</w:t>
            </w:r>
          </w:p>
        </w:tc>
        <w:tc>
          <w:tcPr>
            <w:tcW w:type="dxa" w:w="1728"/>
          </w:tcPr>
          <w:p>
            <w:r>
              <w:t>1258 km² with ≥2 observations</w:t>
            </w:r>
          </w:p>
        </w:tc>
        <w:tc>
          <w:tcPr>
            <w:tcW w:type="dxa" w:w="1728"/>
          </w:tcPr>
          <w:p>
            <w:r>
              <w:t>SUPPORTED_WITH_LIMITATION</w:t>
            </w:r>
          </w:p>
        </w:tc>
      </w:tr>
      <w:tr>
        <w:tc>
          <w:tcPr>
            <w:tcW w:type="dxa" w:w="1728"/>
          </w:tcPr>
          <w:p>
            <w:r>
              <w:t>S1.3</w:t>
            </w:r>
          </w:p>
        </w:tc>
        <w:tc>
          <w:tcPr>
            <w:tcW w:type="dxa" w:w="1728"/>
          </w:tcPr>
          <w:p>
            <w:r>
              <w:t>Between 2023 and 2025 the former water surface moved to vegetation from both residual water and bare sediment; the vegetation→vegetation persistence dominates 2024→2025.</w:t>
            </w:r>
          </w:p>
        </w:tc>
        <w:tc>
          <w:tcPr>
            <w:tcW w:type="dxa" w:w="1728"/>
          </w:tcPr>
          <w:p>
            <w:r>
              <w:t>2023→2025 (1258 km²): water→veg 407, sediment→veg 406, veg→veg 261, water→water 116 km²</w:t>
            </w:r>
          </w:p>
        </w:tc>
        <w:tc>
          <w:tcPr>
            <w:tcW w:type="dxa" w:w="1728"/>
          </w:tcPr>
          <w:p/>
        </w:tc>
        <w:tc>
          <w:tcPr>
            <w:tcW w:type="dxa" w:w="1728"/>
          </w:tcPr>
          <w:p>
            <w:r>
              <w:t>SUPPORTED_WITH_LIMITATION</w:t>
            </w:r>
          </w:p>
        </w:tc>
      </w:tr>
      <w:tr>
        <w:tc>
          <w:tcPr>
            <w:tcW w:type="dxa" w:w="1728"/>
          </w:tcPr>
          <w:p>
            <w:r>
              <w:t>N1.2a</w:t>
            </w:r>
          </w:p>
        </w:tc>
        <w:tc>
          <w:tcPr>
            <w:tcW w:type="dxa" w:w="1728"/>
          </w:tcPr>
          <w:p>
            <w:r>
              <w:t>Roughness-class areas of the former pool at the breach state (almost entirely open water).</w:t>
            </w:r>
          </w:p>
        </w:tc>
        <w:tc>
          <w:tcPr>
            <w:tcW w:type="dxa" w:w="1728"/>
          </w:tcPr>
          <w:p>
            <w:r>
              <w:t>open water 2101 of valid 2162 km²; mature woody legacy 30 km²</w:t>
            </w:r>
          </w:p>
        </w:tc>
        <w:tc>
          <w:tcPr>
            <w:tcW w:type="dxa" w:w="1728"/>
          </w:tcPr>
          <w:p/>
        </w:tc>
        <w:tc>
          <w:tcPr>
            <w:tcW w:type="dxa" w:w="1728"/>
          </w:tcPr>
          <w:p>
            <w:r>
              <w:t>SUPPORTED</w:t>
            </w:r>
          </w:p>
        </w:tc>
      </w:tr>
      <w:tr>
        <w:tc>
          <w:tcPr>
            <w:tcW w:type="dxa" w:w="1728"/>
          </w:tcPr>
          <w:p>
            <w:r>
              <w:t>N1.2</w:t>
            </w:r>
          </w:p>
        </w:tc>
        <w:tc>
          <w:tcPr>
            <w:tcW w:type="dxa" w:w="1728"/>
          </w:tcPr>
          <w:p>
            <w:r>
              <w:t>Roughness-class areas of the former pool in the 2025 state (reed and young woody dominate).</w:t>
            </w:r>
          </w:p>
        </w:tc>
        <w:tc>
          <w:tcPr>
            <w:tcW w:type="dxa" w:w="1728"/>
          </w:tcPr>
          <w:p>
            <w:r>
              <w:t>reed 739, young woody dense 472, dense herb 343, open water 174 km²</w:t>
            </w:r>
          </w:p>
        </w:tc>
        <w:tc>
          <w:tcPr>
            <w:tcW w:type="dxa" w:w="1728"/>
          </w:tcPr>
          <w:p>
            <w:r>
              <w:t>valid 2154 km²</w:t>
            </w:r>
          </w:p>
        </w:tc>
        <w:tc>
          <w:tcPr>
            <w:tcW w:type="dxa" w:w="1728"/>
          </w:tcPr>
          <w:p>
            <w:r>
              <w:t>SUPPORTED_WITH_LIMITATION</w:t>
            </w:r>
          </w:p>
        </w:tc>
      </w:tr>
      <w:tr>
        <w:tc>
          <w:tcPr>
            <w:tcW w:type="dxa" w:w="1728"/>
          </w:tcPr>
          <w:p>
            <w:r>
              <w:t>W1.1</w:t>
            </w:r>
          </w:p>
        </w:tc>
        <w:tc>
          <w:tcPr>
            <w:tcW w:type="dxa" w:w="1728"/>
          </w:tcPr>
          <w:p>
            <w:r>
              <w:t>Dynamic World trees+shrub probability over the former water surface rises from near zero in 2022 to a quarter of the area at ≥0.3 in 2024; the 'trees' label alone covers about a fifth.</w:t>
            </w:r>
          </w:p>
        </w:tc>
        <w:tc>
          <w:tcPr>
            <w:tcW w:type="dxa" w:w="1728"/>
          </w:tcPr>
          <w:p>
            <w:r>
              <w:t>share woody prob ≥0.3: 0.03% (2022) → 0.31% (2023) → 25.2% (2024); 'trees' label 2024 21.8%</w:t>
            </w:r>
          </w:p>
        </w:tc>
        <w:tc>
          <w:tcPr>
            <w:tcW w:type="dxa" w:w="1728"/>
          </w:tcPr>
          <w:p/>
        </w:tc>
        <w:tc>
          <w:tcPr>
            <w:tcW w:type="dxa" w:w="1728"/>
          </w:tcPr>
          <w:p>
            <w:r>
              <w:t>SUPPORTED_WITH_LIMITATION</w:t>
            </w:r>
          </w:p>
        </w:tc>
      </w:tr>
    </w:tbl>
    <w:p/>
    <w:p>
      <w:pPr>
        <w:spacing w:line="360" w:lineRule="auto"/>
        <w:jc w:val="both"/>
      </w:pPr>
      <w:r>
        <w:t>These are measured class shares and areas without an accuracy assessment; the stratified reference sample designed for that purpose is not yet labelled, and no error-adjusted area or per-class accuracy is claimed.</w:t>
      </w:r>
    </w:p>
    <w:p>
      <w:pPr>
        <w:pStyle w:val="Heading1"/>
      </w:pPr>
      <w:r>
        <w:t>5.2 Woody encroachment</w:t>
      </w:r>
    </w:p>
    <w:p>
      <w:pPr>
        <w:spacing w:line="360" w:lineRule="auto"/>
        <w:jc w:val="both"/>
      </w:pPr>
      <w:r>
        <w:t>share woody prob ≥0.3: 0.03% (2022) → 0.31% (2023) → 25.2% (2024); 'trees' label 2024 21.8% (mean trees+shrub prob 0.071 → 0.217; share ≥0.5 stays 0.29%). The number of ICESat-2 20 m canopy segments passing quality control over the former pool rose (canopy_ok 20 m: 164 (2023) → 2165 (2024)), and the ATL08 canopy-height distribution is low and right-skewed (h_canopy p50 1.58 m, p95 11.87 m). Canopy-height change is not identifiable from ICESat-2 with the current track geometry (Section 6.6).</w:t>
      </w:r>
    </w:p>
    <w:p>
      <w:pPr>
        <w:pStyle w:val="Heading1"/>
      </w:pPr>
      <w:r>
        <w:t>5.3 The roughness layer</w:t>
      </w:r>
    </w:p>
    <w:p>
      <w:pPr>
        <w:spacing w:line="360" w:lineRule="auto"/>
        <w:jc w:val="both"/>
      </w:pPr>
      <w:r>
        <w:t>For the former pool the area-weighted roughness moved from n 0.032 → 0.063; median Δn +0.035, with share of area with Δn &gt; 0.02: 0.63; Δn &lt; −0.02: 0.004; the step at exposure was small (n 0.032 → 0.042) and the large step came with the 2024 reed expansion (n 0.041 → 0.060; share Δn &gt; 0.02 0.45). In the 2025 state the largest classes are reed 739, young woody dense 472, dense herb 343, open water 174 km², against a breach state that was open water 2101 of valid 2162 km²; mature woody legacy 30 km²; the floodway below the dam roughens too (n 0.069 → 0.067; share Δn &gt; 0.02 0.05). Until Section 5.5 these are derived values from published priors, not calibrated coefficients.</w:t>
      </w:r>
    </w:p>
    <w:p>
      <w:pPr>
        <w:spacing w:line="360" w:lineRule="auto"/>
        <w:jc w:val="both"/>
      </w:pPr>
      <w:r>
        <w:rPr>
          <w:b/>
        </w:rPr>
        <w:t>Table 5. Manning roughness priors per surface class (literature-supported, not calibrated).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claim_id</w:t>
            </w:r>
          </w:p>
        </w:tc>
        <w:tc>
          <w:tcPr>
            <w:tcW w:type="dxa" w:w="2160"/>
          </w:tcPr>
          <w:p>
            <w:r>
              <w:rPr>
                <w:b/>
              </w:rPr>
              <w:t>claim_text</w:t>
            </w:r>
          </w:p>
        </w:tc>
        <w:tc>
          <w:tcPr>
            <w:tcW w:type="dxa" w:w="2160"/>
          </w:tcPr>
          <w:p>
            <w:r>
              <w:rPr>
                <w:b/>
              </w:rPr>
              <w:t>value_resolved</w:t>
            </w:r>
          </w:p>
        </w:tc>
        <w:tc>
          <w:tcPr>
            <w:tcW w:type="dxa" w:w="2160"/>
          </w:tcPr>
          <w:p>
            <w:r>
              <w:rPr>
                <w:b/>
              </w:rPr>
              <w:t>audit_status</w:t>
            </w:r>
          </w:p>
        </w:tc>
      </w:tr>
      <w:tr>
        <w:tc>
          <w:tcPr>
            <w:tcW w:type="dxa" w:w="2160"/>
          </w:tcPr>
          <w:p>
            <w:r>
              <w:t>N1.4</w:t>
            </w:r>
          </w:p>
        </w:tc>
        <w:tc>
          <w:tcPr>
            <w:tcW w:type="dxa" w:w="2160"/>
          </w:tcPr>
          <w:p>
            <w:r>
              <w:t>Manning n prior for reed / tall herbaceous cover (WSP 2339, Chow, HEC-RAS, Järvelä).</w:t>
            </w:r>
          </w:p>
        </w:tc>
        <w:tc>
          <w:tcPr>
            <w:tcW w:type="dxa" w:w="2160"/>
          </w:tcPr>
          <w:p>
            <w:r>
              <w:t>n_low 0.045 / n_base 0.065 / n_high 0.09; confidence medium; LOCALLY_SUPPORTED_CLASS</w:t>
            </w:r>
          </w:p>
        </w:tc>
        <w:tc>
          <w:tcPr>
            <w:tcW w:type="dxa" w:w="2160"/>
          </w:tcPr>
          <w:p>
            <w:r>
              <w:t>SUPPORTED_WITH_LIMITATION</w:t>
            </w:r>
          </w:p>
        </w:tc>
      </w:tr>
      <w:tr>
        <w:tc>
          <w:tcPr>
            <w:tcW w:type="dxa" w:w="2160"/>
          </w:tcPr>
          <w:p>
            <w:r>
              <w:t>N1.4a</w:t>
            </w:r>
          </w:p>
        </w:tc>
        <w:tc>
          <w:tcPr>
            <w:tcW w:type="dxa" w:w="2160"/>
          </w:tcPr>
          <w:p>
            <w:r>
              <w:t>Manning n prior for dense young woody cover.</w:t>
            </w:r>
          </w:p>
        </w:tc>
        <w:tc>
          <w:tcPr>
            <w:tcW w:type="dxa" w:w="2160"/>
          </w:tcPr>
          <w:p>
            <w:r>
              <w:t>n_low 0.07 / n_base 0.1 / n_high 0.16; confidence low</w:t>
            </w:r>
          </w:p>
        </w:tc>
        <w:tc>
          <w:tcPr>
            <w:tcW w:type="dxa" w:w="2160"/>
          </w:tcPr>
          <w:p>
            <w:r>
              <w:t>SUPPORTED_WITH_LIMITATION</w:t>
            </w:r>
          </w:p>
        </w:tc>
      </w:tr>
    </w:tbl>
    <w:p/>
    <w:p>
      <w:pPr>
        <w:pStyle w:val="Heading1"/>
      </w:pPr>
      <w:r>
        <w:t>5.4 Channel widening below the dam</w:t>
      </w:r>
    </w:p>
    <w:p>
      <w:pPr>
        <w:spacing w:line="360" w:lineRule="auto"/>
        <w:jc w:val="both"/>
      </w:pPr>
      <w:r>
        <w:t>On comparable late-summer dates at Kherson stages within 0.5 m, the wetted width is larger after the breach: 2025 median 690 m (p25 465, p75 895); main arm 560 m against the pre-breach 2019 median 580 m; main arm 500 m; Kherson stage 0.2 m; the breach year shows transient braiding: 2023 median 720 m; main arm 560 m; n_arms median 2. The water contour is not the geomorphic bank, and bank displacement relative to the September 2023 reference stays at the 40 m detection limit.</w:t>
      </w:r>
    </w:p>
    <w:p>
      <w:pPr>
        <w:pStyle w:val="Heading1"/>
      </w:pPr>
      <w:r>
        <w:t>5.4.1 The same translation over the whole mapped surface</w:t>
      </w:r>
    </w:p>
    <w:p>
      <w:pPr>
        <w:spacing w:line="360" w:lineRule="auto"/>
        <w:jc w:val="both"/>
      </w:pPr>
      <w:r>
        <w:t>Restricted to the pool the roughness change is a statement about one water body; carried across the pool, the floodway and the delta on one grid it is a statement about the system the models will run on. There the area-weighted base value moves from area-weighted n 0.0446 over 2544 km² to area-weighted n 0.0888 over 2542 km² (class spread p10 0.030 - p90 0.150). The mosaic is resolution-insensitive: the 20 m and 50 m grids agree to the fourth decimal. It remains a prior, not a calibrated coefficient (A literature prior per mapped class, not a hydraulically calibrated coefficient; the mapped classes themselves carry no accuracy assessment yet.).</w:t>
      </w:r>
    </w:p>
    <w:p>
      <w:pPr>
        <w:pStyle w:val="Heading1"/>
      </w:pPr>
      <w:r>
        <w:t>5.5 Pre-breach model</w:t>
      </w:r>
    </w:p>
    <w:p>
      <w:pPr>
        <w:spacing w:line="360" w:lineRule="auto"/>
        <w:jc w:val="both"/>
      </w:pPr>
      <w:r>
        <w:t xml:space="preserve">&gt; </w:t>
      </w:r>
      <w:r>
        <w:rPr>
          <w:b/>
        </w:rPr>
        <w:t>[PENDING OPEN63]</w:t>
      </w:r>
      <w:r>
        <w:t xml:space="preserve"> Pre-breach HEC-RAS results: calibration on Table 20 backwater profiles at nine discharges, 1970 field curve, reservoir gauges</w:t>
      </w:r>
    </w:p>
    <w:p>
      <w:pPr>
        <w:spacing w:line="360" w:lineRule="auto"/>
        <w:jc w:val="both"/>
      </w:pPr>
      <w:r>
        <w:t>&gt; `backs: P2-AT03` · `section: 5.5 Pre-breach model`</w:t>
      </w:r>
    </w:p>
    <w:p>
      <w:pPr>
        <w:spacing w:line="360" w:lineRule="auto"/>
        <w:jc w:val="both"/>
      </w:pPr>
      <w:r>
        <w:t>&gt; `produces: HEC-RAS pre-breach project (legacy DniproGES1D = comparison only)` · `status: blocked`</w:t>
      </w:r>
    </w:p>
    <w:p>
      <w:pPr>
        <w:spacing w:line="360" w:lineRule="auto"/>
        <w:jc w:val="both"/>
      </w:pPr>
      <w:r>
        <w:t>&gt; `blocks_submission: yes`</w:t>
      </w:r>
    </w:p>
    <w:p>
      <w:pPr>
        <w:pStyle w:val="Heading1"/>
      </w:pPr>
      <w:r>
        <w:t>5.6 Current model and its validation against observed geometry</w:t>
      </w:r>
    </w:p>
    <w:p>
      <w:pPr>
        <w:spacing w:line="360" w:lineRule="auto"/>
        <w:jc w:val="both"/>
      </w:pPr>
      <w:r>
        <w:t xml:space="preserve">&gt; </w:t>
      </w:r>
      <w:r>
        <w:rPr>
          <w:b/>
        </w:rPr>
        <w:t>[PENDING OPEN64]</w:t>
      </w:r>
      <w:r>
        <w:t xml:space="preserve"> Current-state HEC-RAS results on Paper 1 terrain with the roughness layer; validation against the independently observed post-breach slope (companion paper M1.1: per-overpass ~+3.3 cm/km), within-overpass heterogeneity (M2.1) and the observed wetted width (K1.1) — none used in calibration</w:t>
      </w:r>
    </w:p>
    <w:p>
      <w:pPr>
        <w:spacing w:line="360" w:lineRule="auto"/>
        <w:jc w:val="both"/>
      </w:pPr>
      <w:r>
        <w:t>&gt; `backs: P2-AT01,P2-AT04` · `section: 5.6 Current model`</w:t>
      </w:r>
    </w:p>
    <w:p>
      <w:pPr>
        <w:spacing w:line="360" w:lineRule="auto"/>
        <w:jc w:val="both"/>
      </w:pPr>
      <w:r>
        <w:t>&gt; `status: blocked` · `blocks_submission: yes`</w:t>
      </w:r>
    </w:p>
    <w:p>
      <w:pPr>
        <w:pStyle w:val="Heading1"/>
      </w:pPr>
      <w:r>
        <w:t>5.7 Conveyance and stage: pre-breach versus current</w:t>
      </w:r>
    </w:p>
    <w:p>
      <w:pPr>
        <w:spacing w:line="360" w:lineRule="auto"/>
        <w:jc w:val="both"/>
      </w:pPr>
      <w:r>
        <w:t xml:space="preserve">&gt; </w:t>
      </w:r>
      <w:r>
        <w:rPr>
          <w:b/>
        </w:rPr>
        <w:t>[PENDING OPEN65]</w:t>
      </w:r>
      <w:r>
        <w:t xml:space="preserve"> Conveyance and stage at matched discharges, pre-breach vs current; post-2023 discharge not yet recovered (C-14), so current runs are scenarios until it is</w:t>
      </w:r>
    </w:p>
    <w:p>
      <w:pPr>
        <w:spacing w:line="360" w:lineRule="auto"/>
        <w:jc w:val="both"/>
      </w:pPr>
      <w:r>
        <w:t>&gt; `backs: P2-AT03` · `section: 5.7 Conveyance and stage`</w:t>
      </w:r>
    </w:p>
    <w:p>
      <w:pPr>
        <w:spacing w:line="360" w:lineRule="auto"/>
        <w:jc w:val="both"/>
      </w:pPr>
      <w:r>
        <w:t>&gt; `status: blocked` · `blocks_submission: yes`</w:t>
      </w:r>
    </w:p>
    <w:p>
      <w:pPr>
        <w:pStyle w:val="Heading1"/>
      </w:pPr>
      <w:r>
        <w:t>5.8 Roughness uncertainty</w:t>
      </w:r>
    </w:p>
    <w:p>
      <w:pPr>
        <w:spacing w:line="360" w:lineRule="auto"/>
        <w:jc w:val="both"/>
      </w:pPr>
      <w:r>
        <w:t xml:space="preserve">&gt; </w:t>
      </w:r>
      <w:r>
        <w:rPr>
          <w:b/>
        </w:rPr>
        <w:t>[PENDING OPEN66]</w:t>
      </w:r>
      <w:r>
        <w:t xml:space="preserve"> Stage/conveyance response to n_low / n_base / n_high per class (manning_n_scenarios.csv from make_manning_scenarios.py, not yet run)</w:t>
      </w:r>
    </w:p>
    <w:p>
      <w:pPr>
        <w:spacing w:line="360" w:lineRule="auto"/>
        <w:jc w:val="both"/>
      </w:pPr>
      <w:r>
        <w:t>&gt; `backs: P2-AT05` · `section: 5.8 Roughness uncertainty`</w:t>
      </w:r>
    </w:p>
    <w:p>
      <w:pPr>
        <w:spacing w:line="360" w:lineRule="auto"/>
        <w:jc w:val="both"/>
      </w:pPr>
      <w:r>
        <w:t>&gt; `produces: SWOT-DNIPRO audit_runs/20260918T175108Z/tools/make_manning_scenarios.py` · `status: blocked`</w:t>
      </w:r>
    </w:p>
    <w:p>
      <w:pPr>
        <w:spacing w:line="360" w:lineRule="auto"/>
        <w:jc w:val="both"/>
      </w:pPr>
      <w:r>
        <w:t>&gt; `blocks_submission: yes`</w:t>
      </w:r>
    </w:p>
    <w:p>
      <w:pPr>
        <w:spacing w:line="360" w:lineRule="auto"/>
        <w:jc w:val="both"/>
      </w:pPr>
      <w:r>
        <w:rPr>
          <w:b/>
        </w:rPr>
        <w:t>Table P2-1. Area-weighted base roughness of the mapped surface by state (literature priors per class, not calibrated).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uncertainty_resolved</w:t>
            </w:r>
          </w:p>
        </w:tc>
        <w:tc>
          <w:tcPr>
            <w:tcW w:type="dxa" w:w="1728"/>
          </w:tcPr>
          <w:p>
            <w:r>
              <w:rPr>
                <w:b/>
              </w:rPr>
              <w:t>audit_status</w:t>
            </w:r>
          </w:p>
        </w:tc>
      </w:tr>
      <w:tr>
        <w:tc>
          <w:tcPr>
            <w:tcW w:type="dxa" w:w="1728"/>
          </w:tcPr>
          <w:p>
            <w:r>
              <w:t>N2.1a</w:t>
            </w:r>
          </w:p>
        </w:tc>
        <w:tc>
          <w:tcPr>
            <w:tcW w:type="dxa" w:w="1728"/>
          </w:tcPr>
          <w:p>
            <w:r>
              <w:t>Area-weighted base roughness of the same surface at the breach.</w:t>
            </w:r>
          </w:p>
        </w:tc>
        <w:tc>
          <w:tcPr>
            <w:tcW w:type="dxa" w:w="1728"/>
          </w:tcPr>
          <w:p>
            <w:r>
              <w:t>area-weighted n 0.0446 over 2544 km²</w:t>
            </w:r>
          </w:p>
        </w:tc>
        <w:tc>
          <w:tcPr>
            <w:tcW w:type="dxa" w:w="1728"/>
          </w:tcPr>
          <w:p/>
        </w:tc>
        <w:tc>
          <w:tcPr>
            <w:tcW w:type="dxa" w:w="1728"/>
          </w:tcPr>
          <w:p>
            <w:r>
              <w:t>SUPPORTED_WITH_LIMITATION</w:t>
            </w:r>
          </w:p>
        </w:tc>
      </w:tr>
      <w:tr>
        <w:tc>
          <w:tcPr>
            <w:tcW w:type="dxa" w:w="1728"/>
          </w:tcPr>
          <w:p>
            <w:r>
              <w:t>N2.1</w:t>
            </w:r>
          </w:p>
        </w:tc>
        <w:tc>
          <w:tcPr>
            <w:tcW w:type="dxa" w:w="1728"/>
          </w:tcPr>
          <w:p>
            <w:r>
              <w:t>Carried across the whole mapped surface rather than the pool alone, the area-weighted base roughness roughly doubles between the breach and the current state.</w:t>
            </w:r>
          </w:p>
        </w:tc>
        <w:tc>
          <w:tcPr>
            <w:tcW w:type="dxa" w:w="1728"/>
          </w:tcPr>
          <w:p>
            <w:r>
              <w:t>area-weighted n 0.0888 over 2542 km²</w:t>
            </w:r>
          </w:p>
        </w:tc>
        <w:tc>
          <w:tcPr>
            <w:tcW w:type="dxa" w:w="1728"/>
          </w:tcPr>
          <w:p>
            <w:r>
              <w:t>class spread p10 0.030 - p90 0.150</w:t>
            </w:r>
          </w:p>
        </w:tc>
        <w:tc>
          <w:tcPr>
            <w:tcW w:type="dxa" w:w="1728"/>
          </w:tcPr>
          <w:p>
            <w:r>
              <w:t>SUPPORTED_WITH_LIMITATION</w:t>
            </w:r>
          </w:p>
        </w:tc>
      </w:tr>
      <w:tr>
        <w:tc>
          <w:tcPr>
            <w:tcW w:type="dxa" w:w="1728"/>
          </w:tcPr>
          <w:p>
            <w:r>
              <w:t>N1.1a</w:t>
            </w:r>
          </w:p>
        </w:tc>
        <w:tc>
          <w:tcPr>
            <w:tcW w:type="dxa" w:w="1728"/>
          </w:tcPr>
          <w:p>
            <w:r>
              <w:t>Roughness step at first exposure (BREACH_2023 → FIRST_EXPOSURE_2023).</w:t>
            </w:r>
          </w:p>
        </w:tc>
        <w:tc>
          <w:tcPr>
            <w:tcW w:type="dxa" w:w="1728"/>
          </w:tcPr>
          <w:p>
            <w:r>
              <w:t>n 0.032 → 0.042</w:t>
            </w:r>
          </w:p>
        </w:tc>
        <w:tc>
          <w:tcPr>
            <w:tcW w:type="dxa" w:w="1728"/>
          </w:tcPr>
          <w:p/>
        </w:tc>
        <w:tc>
          <w:tcPr>
            <w:tcW w:type="dxa" w:w="1728"/>
          </w:tcPr>
          <w:p>
            <w:r>
              <w:t>SUPPORTED_WITH_LIMITATION</w:t>
            </w:r>
          </w:p>
        </w:tc>
      </w:tr>
      <w:tr>
        <w:tc>
          <w:tcPr>
            <w:tcW w:type="dxa" w:w="1728"/>
          </w:tcPr>
          <w:p>
            <w:r>
              <w:t>N1.1b</w:t>
            </w:r>
          </w:p>
        </w:tc>
        <w:tc>
          <w:tcPr>
            <w:tcW w:type="dxa" w:w="1728"/>
          </w:tcPr>
          <w:p>
            <w:r>
              <w:t>Roughness step with the 2024 reed expansion (FIRST_EXPOSURE_2023 → STATE_2024).</w:t>
            </w:r>
          </w:p>
        </w:tc>
        <w:tc>
          <w:tcPr>
            <w:tcW w:type="dxa" w:w="1728"/>
          </w:tcPr>
          <w:p>
            <w:r>
              <w:t>n 0.041 → 0.060; share Δn &gt; 0.02 0.45</w:t>
            </w:r>
          </w:p>
        </w:tc>
        <w:tc>
          <w:tcPr>
            <w:tcW w:type="dxa" w:w="1728"/>
          </w:tcPr>
          <w:p/>
        </w:tc>
        <w:tc>
          <w:tcPr>
            <w:tcW w:type="dxa" w:w="1728"/>
          </w:tcPr>
          <w:p>
            <w:r>
              <w:t>SUPPORTED_WITH_LIMITATION</w:t>
            </w:r>
          </w:p>
        </w:tc>
      </w:tr>
      <w:tr>
        <w:tc>
          <w:tcPr>
            <w:tcW w:type="dxa" w:w="1728"/>
          </w:tcPr>
          <w:p>
            <w:r>
              <w:t>N1.1</w:t>
            </w:r>
          </w:p>
        </w:tc>
        <w:tc>
          <w:tcPr>
            <w:tcW w:type="dxa" w:w="1728"/>
          </w:tcPr>
          <w:p>
            <w:r>
              <w:t>The area-weighted Manning n of the former pool roughly doubles between the breach state and 2025 as class areas move from open water to reed and young woody cover.</w:t>
            </w:r>
          </w:p>
        </w:tc>
        <w:tc>
          <w:tcPr>
            <w:tcW w:type="dxa" w:w="1728"/>
          </w:tcPr>
          <w:p>
            <w:r>
              <w:t>n 0.032 → 0.063; median Δn +0.035</w:t>
            </w:r>
          </w:p>
        </w:tc>
        <w:tc>
          <w:tcPr>
            <w:tcW w:type="dxa" w:w="1728"/>
          </w:tcPr>
          <w:p>
            <w:r>
              <w:t>share of area with Δn &gt; 0.02: 0.63; Δn &lt; −0.02: 0.004</w:t>
            </w:r>
          </w:p>
        </w:tc>
        <w:tc>
          <w:tcPr>
            <w:tcW w:type="dxa" w:w="1728"/>
          </w:tcPr>
          <w:p>
            <w:r>
              <w:t>SUPPORTED_WITH_LIMITATION</w:t>
            </w:r>
          </w:p>
        </w:tc>
      </w:tr>
      <w:tr>
        <w:tc>
          <w:tcPr>
            <w:tcW w:type="dxa" w:w="1728"/>
          </w:tcPr>
          <w:p>
            <w:r>
              <w:t>N1.2a</w:t>
            </w:r>
          </w:p>
        </w:tc>
        <w:tc>
          <w:tcPr>
            <w:tcW w:type="dxa" w:w="1728"/>
          </w:tcPr>
          <w:p>
            <w:r>
              <w:t>Roughness-class areas of the former pool at the breach state (almost entirely open water).</w:t>
            </w:r>
          </w:p>
        </w:tc>
        <w:tc>
          <w:tcPr>
            <w:tcW w:type="dxa" w:w="1728"/>
          </w:tcPr>
          <w:p>
            <w:r>
              <w:t>open water 2101 of valid 2162 km²; mature woody legacy 30 km²</w:t>
            </w:r>
          </w:p>
        </w:tc>
        <w:tc>
          <w:tcPr>
            <w:tcW w:type="dxa" w:w="1728"/>
          </w:tcPr>
          <w:p/>
        </w:tc>
        <w:tc>
          <w:tcPr>
            <w:tcW w:type="dxa" w:w="1728"/>
          </w:tcPr>
          <w:p>
            <w:r>
              <w:t>SUPPORTED</w:t>
            </w:r>
          </w:p>
        </w:tc>
      </w:tr>
      <w:tr>
        <w:tc>
          <w:tcPr>
            <w:tcW w:type="dxa" w:w="1728"/>
          </w:tcPr>
          <w:p>
            <w:r>
              <w:t>N1.2</w:t>
            </w:r>
          </w:p>
        </w:tc>
        <w:tc>
          <w:tcPr>
            <w:tcW w:type="dxa" w:w="1728"/>
          </w:tcPr>
          <w:p>
            <w:r>
              <w:t>Roughness-class areas of the former pool in the 2025 state (reed and young woody dominate).</w:t>
            </w:r>
          </w:p>
        </w:tc>
        <w:tc>
          <w:tcPr>
            <w:tcW w:type="dxa" w:w="1728"/>
          </w:tcPr>
          <w:p>
            <w:r>
              <w:t>reed 739, young woody dense 472, dense herb 343, open water 174 km²</w:t>
            </w:r>
          </w:p>
        </w:tc>
        <w:tc>
          <w:tcPr>
            <w:tcW w:type="dxa" w:w="1728"/>
          </w:tcPr>
          <w:p/>
        </w:tc>
        <w:tc>
          <w:tcPr>
            <w:tcW w:type="dxa" w:w="1728"/>
          </w:tcPr>
          <w:p>
            <w:r>
              <w:t>SUPPORTED_WITH_LIMITATION</w:t>
            </w:r>
          </w:p>
        </w:tc>
      </w:tr>
      <w:tr>
        <w:tc>
          <w:tcPr>
            <w:tcW w:type="dxa" w:w="1728"/>
          </w:tcPr>
          <w:p>
            <w:r>
              <w:t>N1.3</w:t>
            </w:r>
          </w:p>
        </w:tc>
        <w:tc>
          <w:tcPr>
            <w:tcW w:type="dxa" w:w="1728"/>
          </w:tcPr>
          <w:p>
            <w:r>
              <w:t>The floodway below the dam (ZONE_4) also gains roughness from the breach state to 2026.</w:t>
            </w:r>
          </w:p>
        </w:tc>
        <w:tc>
          <w:tcPr>
            <w:tcW w:type="dxa" w:w="1728"/>
          </w:tcPr>
          <w:p>
            <w:r>
              <w:t>n 0.069 → 0.067; share Δn &gt; 0.02 0.05</w:t>
            </w:r>
          </w:p>
        </w:tc>
        <w:tc>
          <w:tcPr>
            <w:tcW w:type="dxa" w:w="1728"/>
          </w:tcPr>
          <w:p/>
        </w:tc>
        <w:tc>
          <w:tcPr>
            <w:tcW w:type="dxa" w:w="1728"/>
          </w:tcPr>
          <w:p>
            <w:r>
              <w:t>SUPPORTED_WITH_LIMITATION</w:t>
            </w:r>
          </w:p>
        </w:tc>
      </w:tr>
      <w:tr>
        <w:tc>
          <w:tcPr>
            <w:tcW w:type="dxa" w:w="1728"/>
          </w:tcPr>
          <w:p>
            <w:r>
              <w:t>N1.4</w:t>
            </w:r>
          </w:p>
        </w:tc>
        <w:tc>
          <w:tcPr>
            <w:tcW w:type="dxa" w:w="1728"/>
          </w:tcPr>
          <w:p>
            <w:r>
              <w:t>Manning n prior for reed / tall herbaceous cover (WSP 2339, Chow, HEC-RAS, Järvelä).</w:t>
            </w:r>
          </w:p>
        </w:tc>
        <w:tc>
          <w:tcPr>
            <w:tcW w:type="dxa" w:w="1728"/>
          </w:tcPr>
          <w:p>
            <w:r>
              <w:t>n_low 0.045 / n_base 0.065 / n_high 0.09; confidence medium; LOCALLY_SUPPORTED_CLASS</w:t>
            </w:r>
          </w:p>
        </w:tc>
        <w:tc>
          <w:tcPr>
            <w:tcW w:type="dxa" w:w="1728"/>
          </w:tcPr>
          <w:p/>
        </w:tc>
        <w:tc>
          <w:tcPr>
            <w:tcW w:type="dxa" w:w="1728"/>
          </w:tcPr>
          <w:p>
            <w:r>
              <w:t>SUPPORTED_WITH_LIMITATION</w:t>
            </w:r>
          </w:p>
        </w:tc>
      </w:tr>
      <w:tr>
        <w:tc>
          <w:tcPr>
            <w:tcW w:type="dxa" w:w="1728"/>
          </w:tcPr>
          <w:p>
            <w:r>
              <w:t>N1.4a</w:t>
            </w:r>
          </w:p>
        </w:tc>
        <w:tc>
          <w:tcPr>
            <w:tcW w:type="dxa" w:w="1728"/>
          </w:tcPr>
          <w:p>
            <w:r>
              <w:t>Manning n prior for dense young woody cover.</w:t>
            </w:r>
          </w:p>
        </w:tc>
        <w:tc>
          <w:tcPr>
            <w:tcW w:type="dxa" w:w="1728"/>
          </w:tcPr>
          <w:p>
            <w:r>
              <w:t>n_low 0.07 / n_base 0.1 / n_high 0.16; confidence low</w:t>
            </w:r>
          </w:p>
        </w:tc>
        <w:tc>
          <w:tcPr>
            <w:tcW w:type="dxa" w:w="1728"/>
          </w:tcPr>
          <w:p/>
        </w:tc>
        <w:tc>
          <w:tcPr>
            <w:tcW w:type="dxa" w:w="1728"/>
          </w:tcPr>
          <w:p>
            <w:r>
              <w:t>SUPPORTED_WITH_LIMITATION</w:t>
            </w:r>
          </w:p>
        </w:tc>
      </w:tr>
    </w:tbl>
    <w:p/>
    <w:p>
      <w:pPr>
        <w:spacing w:line="360" w:lineRule="auto"/>
        <w:jc w:val="both"/>
      </w:pPr>
      <w:r>
        <w:t>Figure P2-4 shows the area-weighted value against the spread of the class priors that produce it.</w:t>
      </w:r>
    </w:p>
    <w:p>
      <w:pPr>
        <w:spacing w:line="360" w:lineRule="auto"/>
        <w:jc w:val="both"/>
      </w:pPr>
      <w:r>
        <w:rPr>
          <w:b/>
        </w:rPr>
        <w:t>Table P2-2. Channel geometry below the dam and the canopy layers.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K1.1</w:t>
            </w:r>
          </w:p>
        </w:tc>
        <w:tc>
          <w:tcPr>
            <w:tcW w:type="dxa" w:w="1728"/>
          </w:tcPr>
          <w:p>
            <w:r>
              <w:t>Wetted width on 157 SWORD-node transects below the dam is larger after the breach on comparable late-summer dates at matched Kherson stage.</w:t>
            </w:r>
          </w:p>
        </w:tc>
        <w:tc>
          <w:tcPr>
            <w:tcW w:type="dxa" w:w="1728"/>
          </w:tcPr>
          <w:p>
            <w:r>
              <w:t>2025 median 690 m (p25 465, p75 895); main arm 560 m</w:t>
            </w:r>
          </w:p>
        </w:tc>
        <w:tc>
          <w:tcPr>
            <w:tcW w:type="dxa" w:w="1728"/>
          </w:tcPr>
          <w:p>
            <w:r>
              <w:t>406 valid transect-dates on 4 dates; Kherson stage median -0.2 m</w:t>
            </w:r>
          </w:p>
        </w:tc>
        <w:tc>
          <w:tcPr>
            <w:tcW w:type="dxa" w:w="1728"/>
          </w:tcPr>
          <w:p>
            <w:r>
              <w:t>SUPPORTED_WITH_LIMITATION</w:t>
            </w:r>
          </w:p>
        </w:tc>
      </w:tr>
      <w:tr>
        <w:tc>
          <w:tcPr>
            <w:tcW w:type="dxa" w:w="1728"/>
          </w:tcPr>
          <w:p>
            <w:r>
              <w:t>K1.1a</w:t>
            </w:r>
          </w:p>
        </w:tc>
        <w:tc>
          <w:tcPr>
            <w:tcW w:type="dxa" w:w="1728"/>
          </w:tcPr>
          <w:p>
            <w:r>
              <w:t>Pre-breach reference width (2019, six dates).</w:t>
            </w:r>
          </w:p>
        </w:tc>
        <w:tc>
          <w:tcPr>
            <w:tcW w:type="dxa" w:w="1728"/>
          </w:tcPr>
          <w:p>
            <w:r>
              <w:t>2019 median 580 m; main arm 500 m; Kherson stage 0.2 m</w:t>
            </w:r>
          </w:p>
        </w:tc>
        <w:tc>
          <w:tcPr>
            <w:tcW w:type="dxa" w:w="1728"/>
          </w:tcPr>
          <w:p>
            <w:r>
              <w:t>356 valid transect-dates on 6 dates</w:t>
            </w:r>
          </w:p>
        </w:tc>
        <w:tc>
          <w:tcPr>
            <w:tcW w:type="dxa" w:w="1728"/>
          </w:tcPr>
          <w:p>
            <w:r>
              <w:t>SUPPORTED_WITH_LIMITATION</w:t>
            </w:r>
          </w:p>
        </w:tc>
      </w:tr>
      <w:tr>
        <w:tc>
          <w:tcPr>
            <w:tcW w:type="dxa" w:w="1728"/>
          </w:tcPr>
          <w:p>
            <w:r>
              <w:t>K1.1b</w:t>
            </w:r>
          </w:p>
        </w:tc>
        <w:tc>
          <w:tcPr>
            <w:tcW w:type="dxa" w:w="1728"/>
          </w:tcPr>
          <w:p>
            <w:r>
              <w:t>Breach-year width and braiding (2023, thirteen dates).</w:t>
            </w:r>
          </w:p>
        </w:tc>
        <w:tc>
          <w:tcPr>
            <w:tcW w:type="dxa" w:w="1728"/>
          </w:tcPr>
          <w:p>
            <w:r>
              <w:t>2023 median 720 m; main arm 560 m; n_arms median 2</w:t>
            </w:r>
          </w:p>
        </w:tc>
        <w:tc>
          <w:tcPr>
            <w:tcW w:type="dxa" w:w="1728"/>
          </w:tcPr>
          <w:p>
            <w:r>
              <w:t>1092 valid transect-dates on 13 dates</w:t>
            </w:r>
          </w:p>
        </w:tc>
        <w:tc>
          <w:tcPr>
            <w:tcW w:type="dxa" w:w="1728"/>
          </w:tcPr>
          <w:p>
            <w:r>
              <w:t>SUPPORTED_WITH_LIMITATION</w:t>
            </w:r>
          </w:p>
        </w:tc>
      </w:tr>
      <w:tr>
        <w:tc>
          <w:tcPr>
            <w:tcW w:type="dxa" w:w="1728"/>
          </w:tcPr>
          <w:p>
            <w:r>
              <w:t>K1.2</w:t>
            </w:r>
          </w:p>
        </w:tc>
        <w:tc>
          <w:tcPr>
            <w:tcW w:type="dxa" w:w="1728"/>
          </w:tcPr>
          <w:p>
            <w:r>
              <w:t>Transect geometry of the channel-width analysis.</w:t>
            </w:r>
          </w:p>
        </w:tc>
        <w:tc>
          <w:tcPr>
            <w:tcW w:type="dxa" w:w="1728"/>
          </w:tcPr>
          <w:p>
            <w:r>
              <w:t>321 SWORD nodes, 157 transects at 500 m, half-length 2500 m</w:t>
            </w:r>
          </w:p>
        </w:tc>
        <w:tc>
          <w:tcPr>
            <w:tcW w:type="dxa" w:w="1728"/>
          </w:tcPr>
          <w:p>
            <w:r>
              <w:t>3141 valid of 5809 transect-dates</w:t>
            </w:r>
          </w:p>
        </w:tc>
        <w:tc>
          <w:tcPr>
            <w:tcW w:type="dxa" w:w="1728"/>
          </w:tcPr>
          <w:p>
            <w:r>
              <w:t>SUPPORTED</w:t>
            </w:r>
          </w:p>
        </w:tc>
      </w:tr>
      <w:tr>
        <w:tc>
          <w:tcPr>
            <w:tcW w:type="dxa" w:w="1728"/>
          </w:tcPr>
          <w:p>
            <w:r>
              <w:t>H1.1</w:t>
            </w:r>
          </w:p>
        </w:tc>
        <w:tc>
          <w:tcPr>
            <w:tcW w:type="dxa" w:w="1728"/>
          </w:tcPr>
          <w:p>
            <w:r>
              <w:t>ATL08 100 m canopy segments passing QC over the study zones have a low, right-skewed canopy-height distribution.</w:t>
            </w:r>
          </w:p>
        </w:tc>
        <w:tc>
          <w:tcPr>
            <w:tcW w:type="dxa" w:w="1728"/>
          </w:tcPr>
          <w:p>
            <w:r>
              <w:t>h_canopy p50 1.58 m, p95 11.87 m</w:t>
            </w:r>
          </w:p>
        </w:tc>
        <w:tc>
          <w:tcPr>
            <w:tcW w:type="dxa" w:w="1728"/>
          </w:tcPr>
          <w:p>
            <w:r>
              <w:t>280489 canopy_ok of 1335986 segments (100 m)</w:t>
            </w:r>
          </w:p>
        </w:tc>
        <w:tc>
          <w:tcPr>
            <w:tcW w:type="dxa" w:w="1728"/>
          </w:tcPr>
          <w:p>
            <w:r>
              <w:t>SUPPORTED_WITH_LIMITATION</w:t>
            </w:r>
          </w:p>
        </w:tc>
      </w:tr>
      <w:tr>
        <w:tc>
          <w:tcPr>
            <w:tcW w:type="dxa" w:w="1728"/>
          </w:tcPr>
          <w:p>
            <w:r>
              <w:t>H1.2</w:t>
            </w:r>
          </w:p>
        </w:tc>
        <w:tc>
          <w:tcPr>
            <w:tcW w:type="dxa" w:w="1728"/>
          </w:tcPr>
          <w:p>
            <w:r>
              <w:t>Canopy-height change from repeat ICESat-2 tracks over the former pool is NOT identifiable with the current design: a single cross-year pair within 20 m.</w:t>
            </w:r>
          </w:p>
        </w:tc>
        <w:tc>
          <w:tcPr>
            <w:tcW w:type="dxa" w:w="1728"/>
          </w:tcPr>
          <w:p>
            <w:r>
              <w:t>one pair RGT 167→1211 (2023→2025), dh -3.15 m at 17.2 m separation</w:t>
            </w:r>
          </w:p>
        </w:tc>
        <w:tc>
          <w:tcPr>
            <w:tcW w:type="dxa" w:w="1728"/>
          </w:tcPr>
          <w:p>
            <w:r>
              <w:t>n_pairs = 1</w:t>
            </w:r>
          </w:p>
        </w:tc>
        <w:tc>
          <w:tcPr>
            <w:tcW w:type="dxa" w:w="1728"/>
          </w:tcPr>
          <w:p>
            <w:r>
              <w:t>NOT_TESTABLE</w:t>
            </w:r>
          </w:p>
        </w:tc>
      </w:tr>
    </w:tbl>
    <w:p/>
    <w:p>
      <w:pPr>
        <w:pStyle w:val="Title"/>
      </w:pPr>
      <w:r>
        <w:t>6. DISCUSSION</w:t>
      </w:r>
    </w:p>
    <w:p>
      <w:pPr>
        <w:pStyle w:val="Heading1"/>
      </w:pPr>
      <w:r>
        <w:t>6.1 Novelty boundary</w:t>
      </w:r>
    </w:p>
    <w:p>
      <w:pPr>
        <w:spacing w:line="360" w:lineRule="auto"/>
        <w:jc w:val="both"/>
      </w:pPr>
      <w:r>
        <w:t>Field-based habitat maps of the same bed exist ((Kuzemko et al., 2025); (Didukh et al., 2024)); the contribution here is not the classification but the multi-year, whole-surface area and transition series on one grid, its translation into a roughness layer, and the hydraulic consequence of that layer once the models exist.</w:t>
      </w:r>
    </w:p>
    <w:p>
      <w:pPr>
        <w:pStyle w:val="Heading1"/>
      </w:pPr>
      <w:r>
        <w:t>6.2 Succession as a hydraulic driver</w:t>
      </w:r>
    </w:p>
    <w:p>
      <w:pPr>
        <w:spacing w:line="360" w:lineRule="auto"/>
        <w:jc w:val="both"/>
      </w:pPr>
      <w:r>
        <w:t>Two seasons turned most of the former water surface into reed, herbaceous cover and young willow; translated through published priors, the mapped surface implies roughly twice the area-weighted flow resistance of the open pool (n 0.032 → 0.063; median Δn +0.035). The floodplain forest documented in the field ((Didukh et al., 2024)) is the class whose prior is widest (n_low 0.07 / n_base 0.1 / n_high 0.16; confidence low).</w:t>
      </w:r>
    </w:p>
    <w:p>
      <w:pPr>
        <w:spacing w:line="360" w:lineRule="auto"/>
        <w:jc w:val="both"/>
      </w:pPr>
      <w:r>
        <w:t xml:space="preserve">&gt; </w:t>
      </w:r>
      <w:r>
        <w:rPr>
          <w:b/>
        </w:rPr>
        <w:t>[PENDING OPEN67]</w:t>
      </w:r>
      <w:r>
        <w:t xml:space="preserve"> Discussion of modelled stage/conveyance change and of calibrated versus prior roughness</w:t>
      </w:r>
    </w:p>
    <w:p>
      <w:pPr>
        <w:spacing w:line="360" w:lineRule="auto"/>
        <w:jc w:val="both"/>
      </w:pPr>
      <w:r>
        <w:t>&gt; `backs: P2-AT02,P2-AT03` · `section: 6.2`</w:t>
      </w:r>
    </w:p>
    <w:p>
      <w:pPr>
        <w:spacing w:line="360" w:lineRule="auto"/>
        <w:jc w:val="both"/>
      </w:pPr>
      <w:r>
        <w:t>&gt; `status: blocked` · `blocks_submission: yes`</w:t>
      </w:r>
    </w:p>
    <w:p>
      <w:pPr>
        <w:pStyle w:val="Heading1"/>
      </w:pPr>
      <w:r>
        <w:t>6.3 Why calibration and validation are kept apart</w:t>
      </w:r>
    </w:p>
    <w:p>
      <w:pPr>
        <w:spacing w:line="360" w:lineRule="auto"/>
        <w:jc w:val="both"/>
      </w:pPr>
      <w:r>
        <w:t>If the roughness were tuned to the satellite profiles and then said to reproduce them, nothing would have been tested. Calibration therefore uses only the legacy backwater profiles and the gauges, and the observed post-breach slope of the companion paper is met, or not, as an independent target.</w:t>
      </w:r>
    </w:p>
    <w:p>
      <w:pPr>
        <w:pStyle w:val="Heading1"/>
      </w:pPr>
      <w:r>
        <w:t>6.4 The channel below the dam</w:t>
      </w:r>
    </w:p>
    <w:p>
      <w:pPr>
        <w:spacing w:line="360" w:lineRule="auto"/>
        <w:jc w:val="both"/>
      </w:pPr>
      <w:r>
        <w:t>A wider wetted surface at matched stage, transient braiding in the weeks after the breach, and bank displacement below the detection limit describe an adjusting reach; the modelled wetted width is the test of whether the two-dimensional model captures it. The comparison with dam-removal reaches elsewhere is withheld until the literature retrieval has been validated.</w:t>
      </w:r>
    </w:p>
    <w:p>
      <w:pPr>
        <w:pStyle w:val="Heading1"/>
      </w:pPr>
      <w:r>
        <w:t>6.5 Comparison with literature</w:t>
      </w:r>
    </w:p>
    <w:p>
      <w:pPr>
        <w:pStyle w:val="Heading1"/>
      </w:pPr>
      <w:r>
        <w:t>7.8 Comparison with literature</w:t>
      </w:r>
    </w:p>
    <w:p>
      <w:pPr>
        <w:spacing w:line="360" w:lineRule="auto"/>
        <w:jc w:val="both"/>
      </w:pPr>
      <w:r>
        <w:t>Positioning statements below are constructed from the L-series literature evidence matrix; each is traceable to its theses, to paper-level relations and to DOIs with verified passages. No priority is asserted here: where a claim is not yet supportable, the marker says why.</w:t>
      </w:r>
    </w:p>
    <w:p>
      <w:pPr>
        <w:spacing w:line="360" w:lineRule="auto"/>
        <w:jc w:val="both"/>
      </w:pPr>
      <w:r>
        <w:t>The section is organised in three parallel layers, because the study proves three different things and each rests on a different body of literature. An absence in the Kakhovka layer is what this study contributes; an absence in the transition or the data layer is a weakness in its argument, not a finding.</w:t>
      </w:r>
    </w:p>
    <w:p>
      <w:pPr>
        <w:pStyle w:val="Heading2"/>
      </w:pPr>
      <w:r>
        <w:t>K. What has already been observed at Kakhovka</w:t>
      </w:r>
    </w:p>
    <w:p>
      <w:pPr>
        <w:spacing w:line="360" w:lineRule="auto"/>
        <w:jc w:val="both"/>
      </w:pPr>
      <w:r>
        <w:rPr>
          <w:i/>
        </w:rPr>
        <w:t>What has already been studied at this site after the breach?</w:t>
      </w:r>
      <w:r>
        <w:t xml:space="preserve"> — a gap here is the novelty case.</w:t>
      </w:r>
    </w:p>
    <w:p>
      <w:pPr>
        <w:spacing w:line="360" w:lineRule="auto"/>
        <w:jc w:val="both"/>
      </w:pPr>
      <w:r>
        <w:t>Boolean slice S1_kakhovka_status_quo has not yet been screened under validated retrieval; the statement “Among the post-breach Kakhovka studies recovered and screened by slice S1, none quantifies a longitudinal water-surface gradient.” is withheld. [LK1.1]</w:t>
      </w:r>
    </w:p>
    <w:p>
      <w:pPr>
        <w:spacing w:line="360" w:lineRule="auto"/>
        <w:jc w:val="both"/>
      </w:pPr>
      <w:r>
        <w:t xml:space="preserve">&gt; </w:t>
      </w:r>
      <w:r>
        <w:rPr>
          <w:b/>
        </w:rPr>
        <w:t>[PENDING OPEN41]</w:t>
      </w:r>
      <w:r>
        <w:t xml:space="preserve"> §7.8 literature claim LK1.1 is not yet supportable (RETRIEVAL_UNVALIDATED)</w:t>
      </w:r>
    </w:p>
    <w:p>
      <w:pPr>
        <w:spacing w:line="360" w:lineRule="auto"/>
        <w:jc w:val="both"/>
      </w:pPr>
      <w:r>
        <w:t>&gt; `backs: M1.1, M3.1` · `section: 7.8 Comparison with literature`</w:t>
      </w:r>
    </w:p>
    <w:p>
      <w:pPr>
        <w:spacing w:line="360" w:lineRule="auto"/>
        <w:jc w:val="both"/>
      </w:pPr>
      <w:r>
        <w:t>&gt; `next_step: verify a hold-out positive control for T03, T19` · `status: blocked`</w:t>
      </w:r>
    </w:p>
    <w:p>
      <w:pPr>
        <w:spacing w:line="360" w:lineRule="auto"/>
        <w:jc w:val="both"/>
      </w:pPr>
      <w:r>
        <w:t>&gt; `blocks_submission: yes`</w:t>
      </w:r>
    </w:p>
    <w:p>
      <w:pPr>
        <w:spacing w:line="360" w:lineRule="auto"/>
        <w:jc w:val="both"/>
      </w:pPr>
      <w:r>
        <w:t>Boolean slice S1_kakhovka_status_quo has not yet been screened under validated retrieval; the statement “The screened Kakhovka literature characterises the event predominantly through planform quantities — water extent, exposed area and their change — and the measured share is reported as such.” is withheld. [LK1.2]</w:t>
      </w:r>
    </w:p>
    <w:p>
      <w:pPr>
        <w:spacing w:line="360" w:lineRule="auto"/>
        <w:jc w:val="both"/>
      </w:pPr>
      <w:r>
        <w:t xml:space="preserve">&gt; </w:t>
      </w:r>
      <w:r>
        <w:rPr>
          <w:b/>
        </w:rPr>
        <w:t>[PENDING OPEN42]</w:t>
      </w:r>
      <w:r>
        <w:t xml:space="preserve"> §7.8 literature claim LK1.2 is not yet supportable (RETRIEVAL_UNVALIDATED)</w:t>
      </w:r>
    </w:p>
    <w:p>
      <w:pPr>
        <w:spacing w:line="360" w:lineRule="auto"/>
        <w:jc w:val="both"/>
      </w:pPr>
      <w:r>
        <w:t>&gt; `backs: M3.1` · `section: 7.8 Comparison with literature`</w:t>
      </w:r>
    </w:p>
    <w:p>
      <w:pPr>
        <w:spacing w:line="360" w:lineRule="auto"/>
        <w:jc w:val="both"/>
      </w:pPr>
      <w:r>
        <w:t>&gt; `next_step: verify a hold-out positive control for T19, T03` · `status: blocked`</w:t>
      </w:r>
    </w:p>
    <w:p>
      <w:pPr>
        <w:spacing w:line="360" w:lineRule="auto"/>
        <w:jc w:val="both"/>
      </w:pPr>
      <w:r>
        <w:t>&gt; `blocks_submission: yes`</w:t>
      </w:r>
    </w:p>
    <w:p>
      <w:pPr>
        <w:spacing w:line="360" w:lineRule="auto"/>
        <w:jc w:val="both"/>
      </w:pPr>
      <w:r>
        <w:t>Published hydrodynamic reconstructions of the Kakhovka outburst attribute stage error to their terrain input, and the vertical reference of that input is treated as a secondary concern rather than as a harmonised frame. Closest precedent in the corpus: [doi:10.1111/j.1752-1688.2008.00263.x]. [LK1.3]</w:t>
      </w:r>
    </w:p>
    <w:p>
      <w:pPr>
        <w:spacing w:line="360" w:lineRule="auto"/>
        <w:jc w:val="both"/>
      </w:pPr>
      <w:r>
        <w:t xml:space="preserve">&gt; </w:t>
      </w:r>
      <w:r>
        <w:rPr>
          <w:b/>
        </w:rPr>
        <w:t>[PENDING OPEN43]</w:t>
      </w:r>
      <w:r>
        <w:t xml:space="preserve"> §7.8 literature claim LK1.3 is not yet supportable (RETRIEVAL_UNVALIDATED)</w:t>
      </w:r>
    </w:p>
    <w:p>
      <w:pPr>
        <w:spacing w:line="360" w:lineRule="auto"/>
        <w:jc w:val="both"/>
      </w:pPr>
      <w:r>
        <w:t>&gt; `backs: V6.1, V10.3` · `section: 7.8 Comparison with literature`</w:t>
      </w:r>
    </w:p>
    <w:p>
      <w:pPr>
        <w:spacing w:line="360" w:lineRule="auto"/>
        <w:jc w:val="both"/>
      </w:pPr>
      <w:r>
        <w:t>&gt; `next_step: verify a hold-out positive control for T02, T08` · `status: blocked`</w:t>
      </w:r>
    </w:p>
    <w:p>
      <w:pPr>
        <w:spacing w:line="360" w:lineRule="auto"/>
        <w:jc w:val="both"/>
      </w:pPr>
      <w:r>
        <w:t>&gt; `blocks_submission: yes`</w:t>
      </w:r>
    </w:p>
    <w:p>
      <w:pPr>
        <w:pStyle w:val="Heading2"/>
      </w:pPr>
      <w:r>
        <w:t>T. What is known about reservoir-to-river hydraulic transitions</w:t>
      </w:r>
    </w:p>
    <w:p>
      <w:pPr>
        <w:spacing w:line="360" w:lineRule="auto"/>
        <w:jc w:val="both"/>
      </w:pPr>
      <w:r>
        <w:rPr>
          <w:i/>
        </w:rPr>
        <w:t>Is the physical transition established, and how is it diagnosed?</w:t>
      </w:r>
      <w:r>
        <w:t xml:space="preserve"> — a gap here is a weakness, not a contribution: this layer should be well populated.</w:t>
      </w:r>
    </w:p>
    <w:p>
      <w:pPr>
        <w:spacing w:line="360" w:lineRule="auto"/>
        <w:jc w:val="both"/>
      </w:pPr>
      <w:r>
        <w:t>Dam removal, dam failure and rapid drawdown are established as producing a transition from impounded conditions towards channelised fluvial hydraulics, expressed through water-surface slope, velocity, shear stress and connectivity. Closest precedent in the corpus: [doi:10.1111/j.1752-1688.2008.00263.x]. [LT1.1]</w:t>
      </w:r>
    </w:p>
    <w:p>
      <w:pPr>
        <w:spacing w:line="360" w:lineRule="auto"/>
        <w:jc w:val="both"/>
      </w:pPr>
      <w:r>
        <w:t xml:space="preserve">&gt; </w:t>
      </w:r>
      <w:r>
        <w:rPr>
          <w:b/>
        </w:rPr>
        <w:t>[PENDING OPEN44]</w:t>
      </w:r>
      <w:r>
        <w:t xml:space="preserve"> §7.8 literature claim LT1.1 is not yet supportable (RETRIEVAL_UNVALIDATED)</w:t>
      </w:r>
    </w:p>
    <w:p>
      <w:pPr>
        <w:spacing w:line="360" w:lineRule="auto"/>
        <w:jc w:val="both"/>
      </w:pPr>
      <w:r>
        <w:t>&gt; `backs: M1.1` · `section: 7.8 Comparison with literature`</w:t>
      </w:r>
    </w:p>
    <w:p>
      <w:pPr>
        <w:spacing w:line="360" w:lineRule="auto"/>
        <w:jc w:val="both"/>
      </w:pPr>
      <w:r>
        <w:t>&gt; `next_step: verify a hold-out positive control for T01, T02` · `status: blocked`</w:t>
      </w:r>
    </w:p>
    <w:p>
      <w:pPr>
        <w:spacing w:line="360" w:lineRule="auto"/>
        <w:jc w:val="both"/>
      </w:pPr>
      <w:r>
        <w:t>&gt; `blocks_submission: yes`</w:t>
      </w:r>
    </w:p>
    <w:p>
      <w:pPr>
        <w:spacing w:line="360" w:lineRule="auto"/>
        <w:jc w:val="both"/>
      </w:pPr>
      <w:r>
        <w:t>Longitudinal water-surface slope is treated in the literature as a diagnostic state variable for hydraulic regime, separable from water-surface area, and a sustained change in it is read as a regime shift rather than a relaxation transient. Closest precedent in the corpus: [doi:10.1029/2018gl077933]. [LT1.2]</w:t>
      </w:r>
    </w:p>
    <w:p>
      <w:pPr>
        <w:spacing w:line="360" w:lineRule="auto"/>
        <w:jc w:val="both"/>
      </w:pPr>
      <w:r>
        <w:t xml:space="preserve">&gt; </w:t>
      </w:r>
      <w:r>
        <w:rPr>
          <w:b/>
        </w:rPr>
        <w:t>[PENDING OPEN45]</w:t>
      </w:r>
      <w:r>
        <w:t xml:space="preserve"> §7.8 literature claim LT1.2 is not yet supportable (RETRIEVAL_UNVALIDATED)</w:t>
      </w:r>
    </w:p>
    <w:p>
      <w:pPr>
        <w:spacing w:line="360" w:lineRule="auto"/>
        <w:jc w:val="both"/>
      </w:pPr>
      <w:r>
        <w:t>&gt; `backs: M1.1, M2.1` · `section: 7.8 Comparison with literature`</w:t>
      </w:r>
    </w:p>
    <w:p>
      <w:pPr>
        <w:spacing w:line="360" w:lineRule="auto"/>
        <w:jc w:val="both"/>
      </w:pPr>
      <w:r>
        <w:t>&gt; `next_step: verify a hold-out positive control for T03, T23` · `status: blocked`</w:t>
      </w:r>
    </w:p>
    <w:p>
      <w:pPr>
        <w:spacing w:line="360" w:lineRule="auto"/>
        <w:jc w:val="both"/>
      </w:pPr>
      <w:r>
        <w:t>&gt; `blocks_submission: yes`</w:t>
      </w:r>
    </w:p>
    <w:p>
      <w:pPr>
        <w:pStyle w:val="Heading2"/>
      </w:pPr>
      <w:r>
        <w:t>D. What the data and methods can measure</w:t>
      </w:r>
    </w:p>
    <w:p>
      <w:pPr>
        <w:spacing w:line="360" w:lineRule="auto"/>
        <w:jc w:val="both"/>
      </w:pPr>
      <w:r>
        <w:rPr>
          <w:i/>
        </w:rPr>
        <w:t>What can SWOT, ICESat-2, gauges and legacy surveys measure, and how must they be harmonised?</w:t>
      </w:r>
      <w:r>
        <w:t xml:space="preserve"> — a gap here is a weakness, not a contribution: this layer should be well populated.</w:t>
      </w:r>
    </w:p>
    <w:p>
      <w:pPr>
        <w:spacing w:line="360" w:lineRule="auto"/>
        <w:jc w:val="both"/>
      </w:pPr>
      <w:r>
        <w:t>SWOT and ICESat-2 can each resolve inland water-surface geometry at the precision a longitudinal gradient requires, while reporting heights on different reference surfaces and in different permanent-tide conventions. Closest precedent in the corpus: [doi:10.1016/j.rse.2021.112876]. [LD1.1]</w:t>
      </w:r>
    </w:p>
    <w:p>
      <w:pPr>
        <w:spacing w:line="360" w:lineRule="auto"/>
        <w:jc w:val="both"/>
      </w:pPr>
      <w:r>
        <w:t xml:space="preserve">&gt; </w:t>
      </w:r>
      <w:r>
        <w:rPr>
          <w:b/>
        </w:rPr>
        <w:t>[PENDING OPEN46]</w:t>
      </w:r>
      <w:r>
        <w:t xml:space="preserve"> §7.8 literature claim LD1.1 is not yet supportable (RETRIEVAL_UNVALIDATED)</w:t>
      </w:r>
    </w:p>
    <w:p>
      <w:pPr>
        <w:spacing w:line="360" w:lineRule="auto"/>
        <w:jc w:val="both"/>
      </w:pPr>
      <w:r>
        <w:t>&gt; `backs: V2.1, V3.1` · `section: 7.8 Comparison with literature`</w:t>
      </w:r>
    </w:p>
    <w:p>
      <w:pPr>
        <w:spacing w:line="360" w:lineRule="auto"/>
        <w:jc w:val="both"/>
      </w:pPr>
      <w:r>
        <w:t>&gt; `next_step: verify a hold-out positive control for T05, T06, T07` · `status: blocked`</w:t>
      </w:r>
    </w:p>
    <w:p>
      <w:pPr>
        <w:spacing w:line="360" w:lineRule="auto"/>
        <w:jc w:val="both"/>
      </w:pPr>
      <w:r>
        <w:t>&gt; `blocks_submission: yes`</w:t>
      </w:r>
    </w:p>
    <w:p>
      <w:pPr>
        <w:spacing w:line="360" w:lineRule="auto"/>
        <w:jc w:val="both"/>
      </w:pPr>
      <w:r>
        <w:t>Vertical-datum choice and permanent-tide convention introduce offsets of centimetre to decimetre size, of the same order as the hydraulic signal being measured, and those offsets vary spatially across a domain of this size. Closest precedent in the corpus: [doi:10.1007/s00190-010-0422-2]. [LD1.2]</w:t>
      </w:r>
    </w:p>
    <w:p>
      <w:pPr>
        <w:spacing w:line="360" w:lineRule="auto"/>
        <w:jc w:val="both"/>
      </w:pPr>
      <w:r>
        <w:t xml:space="preserve">&gt; </w:t>
      </w:r>
      <w:r>
        <w:rPr>
          <w:b/>
        </w:rPr>
        <w:t>[PENDING OPEN47]</w:t>
      </w:r>
      <w:r>
        <w:t xml:space="preserve"> §7.8 literature claim LD1.2 is not yet supportable (RETRIEVAL_UNVALIDATED)</w:t>
      </w:r>
    </w:p>
    <w:p>
      <w:pPr>
        <w:spacing w:line="360" w:lineRule="auto"/>
        <w:jc w:val="both"/>
      </w:pPr>
      <w:r>
        <w:t>&gt; `backs: V1.2, V3.1`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Boolean slice S2_altimetry_vertical_datum has not yet been screened under validated retrieval; the statement “Among inland-water altimetry studies screened by slice S2 that engage with a vertical reference, the share naming a permanent-tide convention is reported as measured.” is withheld. [LD1.3]</w:t>
      </w:r>
    </w:p>
    <w:p>
      <w:pPr>
        <w:spacing w:line="360" w:lineRule="auto"/>
        <w:jc w:val="both"/>
      </w:pPr>
      <w:r>
        <w:t xml:space="preserve">&gt; </w:t>
      </w:r>
      <w:r>
        <w:rPr>
          <w:b/>
        </w:rPr>
        <w:t>[PENDING OPEN48]</w:t>
      </w:r>
      <w:r>
        <w:t xml:space="preserve"> §7.8 literature claim LD1.3 is not yet supportable (RETRIEVAL_UNVALIDATED)</w:t>
      </w:r>
    </w:p>
    <w:p>
      <w:pPr>
        <w:spacing w:line="360" w:lineRule="auto"/>
        <w:jc w:val="both"/>
      </w:pPr>
      <w:r>
        <w:t>&gt; `backs: V1.2`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Historical bathymetric surveys and reservoir design records can serve as independent quantitative validation targets for modern satellite measurements once their reduction datum has been established. Closest precedent in the corpus: [doi:10.3390/ijgi9040258]. [LD1.4]</w:t>
      </w:r>
    </w:p>
    <w:p>
      <w:pPr>
        <w:spacing w:line="360" w:lineRule="auto"/>
        <w:jc w:val="both"/>
      </w:pPr>
      <w:r>
        <w:t xml:space="preserve">&gt; </w:t>
      </w:r>
      <w:r>
        <w:rPr>
          <w:b/>
        </w:rPr>
        <w:t>[PENDING OPEN49]</w:t>
      </w:r>
      <w:r>
        <w:t xml:space="preserve"> §7.8 literature claim LD1.4 is not yet supportable (RETRIEVAL_UNVALIDATED)</w:t>
      </w:r>
    </w:p>
    <w:p>
      <w:pPr>
        <w:spacing w:line="360" w:lineRule="auto"/>
        <w:jc w:val="both"/>
      </w:pPr>
      <w:r>
        <w:t>&gt; `backs: V6.1, V7.1, V10.1` · `section: 7.8 Comparison with literature`</w:t>
      </w:r>
    </w:p>
    <w:p>
      <w:pPr>
        <w:spacing w:line="360" w:lineRule="auto"/>
        <w:jc w:val="both"/>
      </w:pPr>
      <w:r>
        <w:t>&gt; `next_step: verify a hold-out positive control for T15, T16, T17, T18` · `status: blocked`</w:t>
      </w:r>
    </w:p>
    <w:p>
      <w:pPr>
        <w:spacing w:line="360" w:lineRule="auto"/>
        <w:jc w:val="both"/>
      </w:pPr>
      <w:r>
        <w:t>&gt; `blocks_submission: yes`</w:t>
      </w:r>
    </w:p>
    <w:p>
      <w:pPr>
        <w:pStyle w:val="Heading1"/>
      </w:pPr>
      <w:r>
        <w:t>6.6 Limitations</w:t>
      </w:r>
    </w:p>
    <w:p>
      <w:pPr>
        <w:spacing w:line="360" w:lineRule="auto"/>
        <w:jc w:val="both"/>
      </w:pPr>
      <w:r>
        <w:t>The surface classes carry no accuracy assessment until the 320-point stratified sample is labelled. Canopy-height change is not identifiable (one pair RGT 167→1211 (2023→2025), dh -3.15 m at 17.2 m separation). Dynamic World composites for 2025–2026 are missing. Post-breach discharge has not been recovered, so the current-state runs are scenario runs (companion paper, C-14). The roughness priors are literature values with no local hydraulic calibration until Section 5.5; the DniproGES1D legacy model is used for comparison only. The SAR water masks and the classifier variants tested and rejected are described in Supplementary Methods S2 and play no part in the argument.</w:t>
      </w:r>
    </w:p>
    <w:p>
      <w:pPr>
        <w:pStyle w:val="Title"/>
      </w:pPr>
      <w:r>
        <w:t>7. CONCLUSIONS</w:t>
      </w:r>
    </w:p>
    <w:p>
      <w:pPr>
        <w:spacing w:line="360" w:lineRule="auto"/>
        <w:jc w:val="both"/>
      </w:pPr>
      <w:r>
        <w:t xml:space="preserve">&gt; </w:t>
      </w:r>
      <w:r>
        <w:rPr>
          <w:b/>
        </w:rPr>
        <w:t>[PENDING OPEN68]</w:t>
      </w:r>
      <w:r>
        <w:t xml:space="preserve"> Conclusions await the HEC-RAS results</w:t>
      </w:r>
    </w:p>
    <w:p>
      <w:pPr>
        <w:spacing w:line="360" w:lineRule="auto"/>
        <w:jc w:val="both"/>
      </w:pPr>
      <w:r>
        <w:t>&gt; `backs: P2-AT01,P2-AT02,P2-AT03,P2-AT04,P2-AT05` · `section: 7 Conclusions`</w:t>
      </w:r>
    </w:p>
    <w:p>
      <w:pPr>
        <w:spacing w:line="360" w:lineRule="auto"/>
        <w:jc w:val="both"/>
      </w:pPr>
      <w:r>
        <w:t>&gt; `status: blocked` · `blocks_submission: yes`</w:t>
      </w:r>
    </w:p>
    <w:p>
      <w:pPr>
        <w:pStyle w:val="Title"/>
      </w:pPr>
      <w:r>
        <w:t>SUPPLEMENTARY MATERIAL</w:t>
      </w:r>
    </w:p>
    <w:p>
      <w:pPr>
        <w:pStyle w:val="Heading1"/>
      </w:pPr>
      <w:r>
        <w:t>S1. Machine tables and open items</w:t>
      </w:r>
    </w:p>
    <w:p>
      <w:pPr>
        <w:spacing w:line="360" w:lineRule="auto"/>
        <w:jc w:val="both"/>
      </w:pPr>
      <w:r>
        <w:t>Tables are generated from `OWN_EVIDENCE.csv`; every number in the main text carries a claim id that points at a snapshot table row. Outstanding items are listed in `PAPER2_OPEN_ITEMS.md`, parsed from the [PENDING] markers of this document.</w:t>
      </w:r>
    </w:p>
    <w:p>
      <w:pPr>
        <w:pStyle w:val="Heading1"/>
      </w:pPr>
      <w:r>
        <w:t>S2. Sentinel-1 water masks: baseline and rejected variants</w:t>
      </w:r>
    </w:p>
    <w:p>
      <w:pPr>
        <w:spacing w:line="360" w:lineRule="auto"/>
        <w:jc w:val="both"/>
      </w:pPr>
      <w:r>
        <w:t>This study is confined to the supplement because it is a methods result about SAR flood-water detection over freshly exposed sediment, not part of the hydraulic argument. The baseline classifier is an anchored two-class Fisher discriminant on VV and VH (γ⁰, terrain-flattened) with a midpoint cut and a 0.05 km² sieve. Variants add speckle filtering, majority filtering, minimum mapping units, same-orbit change detection, a terrain veto from FABDEM slope and height above nearest water, and — in a pilot on the dam-to-Kherson floodway — a logistic and a random-forest rejection stage evaluated leave-one-orbit-out against optical water.</w:t>
      </w:r>
    </w:p>
    <w:p>
      <w:pPr>
        <w:spacing w:line="360" w:lineRule="auto"/>
        <w:jc w:val="both"/>
      </w:pPr>
      <w:r>
        <w:t>false-water proxy 0.200 of observed frame; Δrecall vs M3 -0.0007; guard pass True. Every change-detection variant fails the new-water recall guard in all four zones because the pre-event reference over bare sediment is itself dark. VRF precision 0.050 vs M3 0.012 at recall 0.735 (M3 0.733); AP 0.204. false-water rate median 0.181 (q25 0.124, q75 0.321); 377 km² median. The chronic false-water object over the Oleshky sands is a land-cover-conditioned error that no cut on the backscatter axis removes; a rejection stage informed by land cover or terrain is required. These results are offered as a methods note for a future remote-sensing paper (theses T35–T36, article thesis AT11, scope `supplement_only`).</w:t>
      </w:r>
    </w:p>
    <w:p>
      <w:pPr>
        <w:pStyle w:val="Title"/>
      </w:pPr>
      <w:r>
        <w:t>REFERENCES</w:t>
      </w:r>
    </w:p>
    <w:p>
      <w:pPr>
        <w:spacing w:line="360" w:lineRule="auto"/>
        <w:jc w:val="both"/>
      </w:pPr>
      <w:r>
        <w:t>- [arcement1989] Arcement G.J.; Schneider V.R. (USGS) (1989). Guide for selecting Manning's roughness coefficients for natural channels and flood plains. **. https://doi.org/10.3133/wsp2339</w:t>
      </w:r>
    </w:p>
    <w:p>
      <w:pPr>
        <w:spacing w:line="360" w:lineRule="auto"/>
        <w:jc w:val="both"/>
      </w:pPr>
      <w:r>
        <w:t xml:space="preserve">- [didukh2024] Дідух, Я.П.; Куземко, А.А.; Ходосовцев, О.Є.; Чусова, О.О.; Борсукевич, Л.М.; Скобель, Н.О.; Михайлюк, Т.І.; Мойсієнко, І.І. (2024). Перший рік відновлення заплавних лісів на дні колишнього Каховського водосховища. </w:t>
      </w:r>
      <w:r>
        <w:rPr>
          <w:i/>
        </w:rPr>
        <w:t>CHORNOMORSKI  BOTANICAL  JOURNAL</w:t>
      </w:r>
      <w:r>
        <w:t>. https://doi.org/10.32999/ksu1990-553x/2024-20-3-5</w:t>
      </w:r>
    </w:p>
    <w:p>
      <w:pPr>
        <w:spacing w:line="360" w:lineRule="auto"/>
        <w:jc w:val="both"/>
      </w:pPr>
      <w:r>
        <w:t xml:space="preserve">- [jarvela2004] Järvelä, Juha (2004). Determination of flow resistance caused by non‐submerged woody vegetation. </w:t>
      </w:r>
      <w:r>
        <w:rPr>
          <w:i/>
        </w:rPr>
        <w:t>International Journal of River Basin Management</w:t>
      </w:r>
      <w:r>
        <w:t>. https://doi.org/10.1080/15715124.2004.9635222</w:t>
      </w:r>
    </w:p>
    <w:p>
      <w:pPr>
        <w:spacing w:line="360" w:lineRule="auto"/>
        <w:jc w:val="both"/>
      </w:pPr>
      <w:r>
        <w:t xml:space="preserve">- [kuzemko2025] Kuzemko, A.A.; Prylutskyi, O.V.; Kolomytsev, G.O.; Didukh, Ya.P.; Moysiyenko, I.I.; Borsukevych, L.M.; Chusova, O.O.; Khodosovtsev, O.Ye. (2025). Initial stages of revegetation at the bottom of the drained Kakhovka Reservoir (Ukraine): synthesis of field surveys and remote sensing. </w:t>
      </w:r>
      <w:r>
        <w:rPr>
          <w:i/>
        </w:rPr>
        <w:t>Ukrainian Botanical Journal</w:t>
      </w:r>
      <w:r>
        <w:t>. https://doi.org/10.15407/ukrbotj82.05.488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