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 xml:space="preserve">Σκοπός του πληροφοριακού συστήματος “benzinadika”, εφεξής </w:t>
      </w:r>
      <w:r>
        <w:rPr>
          <w:sz w:val="21"/>
          <w:szCs w:val="21"/>
        </w:rPr>
        <w:t xml:space="preserve">αναφερόμενο ως έργο ή/και </w:t>
      </w:r>
      <w:r>
        <w:rPr>
          <w:sz w:val="21"/>
          <w:szCs w:val="21"/>
        </w:rPr>
        <w:t>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rStyle w:val="InternetLink"/>
          <w:sz w:val="22"/>
          <w:szCs w:val="22"/>
        </w:rPr>
      </w:pPr>
      <w:r>
        <w:rPr>
          <w:sz w:val="22"/>
          <w:szCs w:val="22"/>
        </w:rPr>
        <w:t xml:space="preserve">Η ιστοσελίδα της υπηρεσίας είναι η </w:t>
      </w:r>
      <w:hyperlink r:id="rId2">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shd w:fill="FFFF00" w:val="clear"/>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0"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0"/>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shd w:fill="FFFF00" w:val="clear"/>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shd w:fill="FFFF00" w:val="clear"/>
        </w:rPr>
      </w:pPr>
      <w:r>
        <w:rPr>
          <w:sz w:val="22"/>
          <w:szCs w:val="22"/>
          <w:shd w:fill="FFFF00" w:val="clear"/>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shd w:fill="FFFF00" w:val="clear"/>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1" w:name="__DdeLink__348_2091877866"/>
      <w:r>
        <w:rPr>
          <w:sz w:val="22"/>
          <w:szCs w:val="22"/>
        </w:rPr>
        <w:t>Η χρήση της υπηρεσίας θα είναι εξίσου χρηστική</w:t>
      </w:r>
      <w:bookmarkEnd w:id="1"/>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r>
      <w:r>
        <w:rPr>
          <w:sz w:val="22"/>
          <w:szCs w:val="22"/>
        </w:rPr>
        <w:t xml:space="preserve">Το έργο οφείλει να έχει ολοκληρωθεί το αργότερο έως τα τέλη Φεβρουαρίου </w:t>
      </w:r>
      <w:r>
        <w:rPr>
          <w:sz w:val="22"/>
          <w:szCs w:val="22"/>
        </w:rPr>
        <w:t>2019</w:t>
      </w:r>
      <w:r>
        <w:rPr>
          <w:sz w:val="22"/>
          <w:szCs w:val="22"/>
        </w:rPr>
        <w:t>.</w:t>
      </w:r>
    </w:p>
    <w:p>
      <w:pPr>
        <w:pStyle w:val="Heading2"/>
        <w:rPr/>
      </w:pPr>
      <w:r>
        <w:rPr/>
        <w:t>7.</w:t>
      </w:r>
      <w:r>
        <w:rPr/>
        <w:t>2</w:t>
      </w:r>
      <w:r>
        <w:rPr/>
        <w:t xml:space="preserve"> Περιορισμός </w:t>
      </w:r>
      <w:r>
        <w:rPr/>
        <w:t>προσβασιμότητας εφαρμογής</w:t>
      </w:r>
    </w:p>
    <w:p>
      <w:pPr>
        <w:pStyle w:val="Normal"/>
        <w:jc w:val="both"/>
        <w:rPr>
          <w:sz w:val="22"/>
          <w:szCs w:val="22"/>
        </w:rPr>
      </w:pPr>
      <w:r>
        <w:rPr>
          <w:sz w:val="22"/>
          <w:szCs w:val="22"/>
        </w:rPr>
        <w:tab/>
        <w:t xml:space="preserve">Το </w:t>
      </w:r>
      <w:r>
        <w:rPr>
          <w:sz w:val="22"/>
          <w:szCs w:val="22"/>
        </w:rPr>
        <w:t>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w:t>
      </w: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6</w:t>
    </w:r>
    <w:r>
      <w:fldChar w:fldCharType="end"/>
    </w:r>
    <w:r>
      <w:rPr>
        <w:sz w:val="18"/>
        <w:szCs w:val="18"/>
      </w:rPr>
      <w:t xml:space="preserve"> /  </w:t>
    </w:r>
    <w:r>
      <w:rPr>
        <w:sz w:val="18"/>
        <w:szCs w:val="18"/>
      </w:rPr>
      <w:fldChar w:fldCharType="begin"/>
    </w:r>
    <w:r>
      <w:instrText> NUMPAGES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