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764BA2"/>
          <w:sz w:val="36"/>
        </w:rPr>
        <w:t>Explainable Iris Flower Classification using Weighted K-Nearest Neighbors (KNN) and LIME</w:t>
      </w:r>
    </w:p>
    <w:p>
      <w:pPr>
        <w:spacing w:after="400"/>
        <w:jc w:val="center"/>
      </w:pPr>
      <w:r>
        <w:rPr>
          <w:rFonts w:ascii="Times New Roman" w:hAnsi="Times New Roman"/>
          <w:b/>
          <w:color w:val="323232"/>
          <w:sz w:val="24"/>
        </w:rPr>
        <w:t>Author: Guddeti Nikshitha</w:t>
        <w:br/>
        <w:t>Roll No: 100523729087</w:t>
        <w:br/>
        <w:t>Department of Artificial Intelligence &amp; Machine Learning</w:t>
        <w:br/>
        <w:t>Osmania University College of Engineering</w:t>
        <w:br/>
      </w:r>
    </w:p>
    <w:p>
      <w:pPr>
        <w:keepNext/>
        <w:spacing w:before="320" w:after="120"/>
        <w:pBdr>
          <w:bottom w:val="single" w:sz="6" w:space="4" w:color="764BA2"/>
        </w:pBdr>
      </w:pPr>
      <w:r>
        <w:rPr>
          <w:rFonts w:ascii="Times New Roman" w:hAnsi="Times New Roman"/>
          <w:b/>
          <w:color w:val="764BA2"/>
          <w:sz w:val="28"/>
        </w:rPr>
        <w:t>1. Abstract</w:t>
      </w:r>
    </w:p>
    <w:p>
      <w:pPr>
        <w:spacing w:line="276" w:lineRule="auto" w:after="160"/>
      </w:pPr>
      <w:r>
        <w:rPr>
          <w:rFonts w:ascii="Times New Roman" w:hAnsi="Times New Roman"/>
          <w:i/>
          <w:sz w:val="24"/>
        </w:rPr>
        <w:t>Modern deep learning and machine learning systems are increasingly characterized as 'black-box' algorithms, providing highly accurate predictions but lacking transparency regarding their internal decision-making processes. This paper presents a standardized, end-to-end classification framework designed for biological species recognition using the classical Iris dataset. The system integrates a scikit-learn preprocessing pipeline featuring z-score standardization and a distance-weighted K-Nearest Neighbors (KNN) classifier. To resolve the black-box opacity challenge, we integrate Local Interpretable Model-agnostic Explanations (LIME) to provide real-time local visualization charts. Furthermore, we build a dynamic rule-extraction interpretation engine that translates numerical feature weights into human-readable narratives and maps trustworthiness scores. The model achieves an overall validation accuracy of 96.67%, demonstrating that local surrogate explainability can accompany high classification performance in automated decision systems.</w:t>
      </w:r>
    </w:p>
    <w:p>
      <w:pPr>
        <w:keepNext/>
        <w:spacing w:before="320" w:after="120"/>
        <w:pBdr>
          <w:bottom w:val="single" w:sz="6" w:space="4" w:color="764BA2"/>
        </w:pBdr>
      </w:pPr>
      <w:r>
        <w:rPr>
          <w:rFonts w:ascii="Times New Roman" w:hAnsi="Times New Roman"/>
          <w:b/>
          <w:color w:val="764BA2"/>
          <w:sz w:val="28"/>
        </w:rPr>
        <w:t>2. Introduction</w:t>
      </w:r>
    </w:p>
    <w:p>
      <w:pPr>
        <w:spacing w:line="276" w:lineRule="auto" w:after="160"/>
      </w:pPr>
      <w:r>
        <w:rPr>
          <w:rFonts w:ascii="Times New Roman" w:hAnsi="Times New Roman"/>
          <w:i w:val="0"/>
          <w:sz w:val="24"/>
        </w:rPr>
        <w:t>The deployment of machine learning algorithms in critical domains such as clinical diagnosis, financial risk assessment, and biological classification has raised demands for system transparency. While complex non-linear estimators yields strong predictive performance, their mathematical logic is often inaccessible to human users. The field of Explainable Artificial Intelligence (XAI) addresses this gap by developing methodologies to inspect, explain, and audit models. This report details the development of an explainable classification framework for the Iris dataset. By packaging a distance-weighted classifier and a LIME explainer inside a lightweight, dynamic interactive interface, we demonstrate how post-hoc explainability techniques can be implemented to decode individual classifications.</w:t>
      </w:r>
    </w:p>
    <w:p>
      <w:pPr>
        <w:keepNext/>
        <w:spacing w:before="320" w:after="120"/>
        <w:pBdr>
          <w:bottom w:val="single" w:sz="6" w:space="4" w:color="764BA2"/>
        </w:pBdr>
      </w:pPr>
      <w:r>
        <w:rPr>
          <w:rFonts w:ascii="Times New Roman" w:hAnsi="Times New Roman"/>
          <w:b/>
          <w:color w:val="764BA2"/>
          <w:sz w:val="28"/>
        </w:rPr>
        <w:t>3. Problem Statement</w:t>
      </w:r>
    </w:p>
    <w:p>
      <w:pPr>
        <w:spacing w:line="276" w:lineRule="auto" w:after="160"/>
      </w:pPr>
      <w:r>
        <w:rPr>
          <w:rFonts w:ascii="Times New Roman" w:hAnsi="Times New Roman"/>
          <w:i w:val="0"/>
          <w:sz w:val="24"/>
        </w:rPr>
        <w:t>Standard classification algorithms, including K-Nearest Neighbors, generate predictions by calculating metrics on unscaled multidimensional feature matrices. However, two primary challenges often limit their practical deployment. First, numerical measurements in different units or ranges introduce a scale bias, where features with larger absolute values disproportionately influence classification steps. Second, the classification outputs are purely categorical, failing to explain which biological measurements drove the classification or whether a prediction was a borderline choice. Without explaining these decisions, developers cannot audit the model's logic, and domain experts cannot verify if the model makes decisions based on valid biological features or dataset noise.</w:t>
      </w:r>
    </w:p>
    <w:p>
      <w:pPr>
        <w:keepNext/>
        <w:spacing w:before="320" w:after="120"/>
        <w:pBdr>
          <w:bottom w:val="single" w:sz="6" w:space="4" w:color="764BA2"/>
        </w:pBdr>
      </w:pPr>
      <w:r>
        <w:rPr>
          <w:rFonts w:ascii="Times New Roman" w:hAnsi="Times New Roman"/>
          <w:b/>
          <w:color w:val="764BA2"/>
          <w:sz w:val="28"/>
        </w:rPr>
        <w:t>4. Objectives</w:t>
      </w:r>
    </w:p>
    <w:p>
      <w:pPr>
        <w:spacing w:line="276" w:lineRule="auto" w:after="160"/>
      </w:pPr>
      <w:r>
        <w:rPr>
          <w:rFonts w:ascii="Times New Roman" w:hAnsi="Times New Roman"/>
          <w:i w:val="0"/>
          <w:sz w:val="24"/>
        </w:rPr>
        <w:t>The primary objectives of this research project are as follows:</w:t>
      </w:r>
    </w:p>
    <w:p>
      <w:pPr>
        <w:spacing w:line="276" w:lineRule="auto" w:after="160"/>
      </w:pPr>
      <w:r>
        <w:rPr>
          <w:rFonts w:ascii="Times New Roman" w:hAnsi="Times New Roman"/>
          <w:b/>
          <w:sz w:val="24"/>
        </w:rPr>
        <w:t xml:space="preserve">1. </w:t>
      </w:r>
      <w:r>
        <w:rPr>
          <w:rFonts w:ascii="Times New Roman" w:hAnsi="Times New Roman"/>
          <w:i w:val="0"/>
          <w:sz w:val="24"/>
        </w:rPr>
        <w:t>• Build a standard machine learning pipeline containing feature scaling and a distance-weighted KNN classifier.</w:t>
      </w:r>
    </w:p>
    <w:p>
      <w:pPr>
        <w:spacing w:line="276" w:lineRule="auto" w:after="160"/>
      </w:pPr>
      <w:r>
        <w:rPr>
          <w:rFonts w:ascii="Times New Roman" w:hAnsi="Times New Roman"/>
          <w:b/>
          <w:sz w:val="24"/>
        </w:rPr>
        <w:t xml:space="preserve">2. </w:t>
      </w:r>
      <w:r>
        <w:rPr>
          <w:rFonts w:ascii="Times New Roman" w:hAnsi="Times New Roman"/>
          <w:i w:val="0"/>
          <w:sz w:val="24"/>
        </w:rPr>
        <w:t>• Design an offline testing suite to evaluate the model's accuracy, precision, recall, and F1-score.</w:t>
      </w:r>
    </w:p>
    <w:p>
      <w:pPr>
        <w:spacing w:line="276" w:lineRule="auto" w:after="160"/>
      </w:pPr>
      <w:r>
        <w:rPr>
          <w:rFonts w:ascii="Times New Roman" w:hAnsi="Times New Roman"/>
          <w:b/>
          <w:sz w:val="24"/>
        </w:rPr>
        <w:t xml:space="preserve">3. </w:t>
      </w:r>
      <w:r>
        <w:rPr>
          <w:rFonts w:ascii="Times New Roman" w:hAnsi="Times New Roman"/>
          <w:i w:val="0"/>
          <w:sz w:val="24"/>
        </w:rPr>
        <w:t>• Integrate a post-hoc local explainer using LIME to calculate feature contributions for individual predictions.</w:t>
      </w:r>
    </w:p>
    <w:p>
      <w:pPr>
        <w:spacing w:line="276" w:lineRule="auto" w:after="160"/>
      </w:pPr>
      <w:r>
        <w:rPr>
          <w:rFonts w:ascii="Times New Roman" w:hAnsi="Times New Roman"/>
          <w:b/>
          <w:sz w:val="24"/>
        </w:rPr>
        <w:t xml:space="preserve">4. </w:t>
      </w:r>
      <w:r>
        <w:rPr>
          <w:rFonts w:ascii="Times New Roman" w:hAnsi="Times New Roman"/>
          <w:i w:val="0"/>
          <w:sz w:val="24"/>
        </w:rPr>
        <w:t>• Develop a rule-extraction engine to translate numerical LIME weights into human-readable narratives and trust levels.</w:t>
      </w:r>
    </w:p>
    <w:p>
      <w:pPr>
        <w:spacing w:line="276" w:lineRule="auto" w:after="160"/>
      </w:pPr>
      <w:r>
        <w:rPr>
          <w:rFonts w:ascii="Times New Roman" w:hAnsi="Times New Roman"/>
          <w:b/>
          <w:sz w:val="24"/>
        </w:rPr>
        <w:t xml:space="preserve">5. </w:t>
      </w:r>
      <w:r>
        <w:rPr>
          <w:rFonts w:ascii="Times New Roman" w:hAnsi="Times New Roman"/>
          <w:i w:val="0"/>
          <w:sz w:val="24"/>
        </w:rPr>
        <w:t>• Package the entire pipeline into an interactive web application that displays predictions and explanation charts.</w:t>
      </w:r>
    </w:p>
    <w:p>
      <w:pPr>
        <w:keepNext/>
        <w:spacing w:before="320" w:after="120"/>
        <w:pBdr>
          <w:bottom w:val="single" w:sz="6" w:space="4" w:color="764BA2"/>
        </w:pBdr>
      </w:pPr>
      <w:r>
        <w:rPr>
          <w:rFonts w:ascii="Times New Roman" w:hAnsi="Times New Roman"/>
          <w:b/>
          <w:color w:val="764BA2"/>
          <w:sz w:val="28"/>
        </w:rPr>
        <w:t>5. Dataset Description</w:t>
      </w:r>
    </w:p>
    <w:p>
      <w:pPr>
        <w:spacing w:line="276" w:lineRule="auto" w:after="160"/>
      </w:pPr>
      <w:r>
        <w:rPr>
          <w:rFonts w:ascii="Times New Roman" w:hAnsi="Times New Roman"/>
          <w:i w:val="0"/>
          <w:sz w:val="24"/>
        </w:rPr>
        <w:t>The system is trained and validated on the classical Iris Flower Dataset, originally collected and described by the British statistician Ronald Fisher in 1936. The dataset consists of 150 instances divided equally (50 samples each) among three classes: Iris setosa, Iris versicolor, and Iris virginica. Each sample contains four physical characteristics (features) recorded in centimeters: Sepal Length, Sepal Width, Petal Length, and Petal Width. The setosa species is linearly separable from the other two, while versicolor and virginica have overlapping decision bounds, making it a standard benchmark for classification tasks.</w:t>
      </w:r>
    </w:p>
    <w:p>
      <w:pPr>
        <w:keepNext/>
        <w:spacing w:before="320" w:after="120"/>
        <w:pBdr>
          <w:bottom w:val="single" w:sz="6" w:space="4" w:color="764BA2"/>
        </w:pBdr>
      </w:pPr>
      <w:r>
        <w:rPr>
          <w:rFonts w:ascii="Times New Roman" w:hAnsi="Times New Roman"/>
          <w:b/>
          <w:color w:val="764BA2"/>
          <w:sz w:val="28"/>
        </w:rPr>
        <w:t>6. Dataset Source</w:t>
      </w:r>
    </w:p>
    <w:p>
      <w:pPr>
        <w:spacing w:line="276" w:lineRule="auto" w:after="160"/>
      </w:pPr>
      <w:r>
        <w:rPr>
          <w:rFonts w:ascii="Times New Roman" w:hAnsi="Times New Roman"/>
          <w:i w:val="0"/>
          <w:sz w:val="24"/>
        </w:rPr>
        <w:t>The Iris flower dataset was obtained from the Scikit-Learn datasets module (`sklearn.datasets.load_iris`).</w:t>
        <w:br/>
        <w:br/>
        <w:t>Original Source:</w:t>
        <w:br/>
        <w:t>Fisher, R. A. (1936). The use of multiple measurements in taxonomic problems.</w:t>
        <w:br/>
        <w:t>UCI Machine Learning Repository: http://archive.ics.uci.edu/ml/datasets/iris</w:t>
        <w:br/>
        <w:t>Scikit-Learn Reference URL: https://scikit-learn.org/stable/modules/generated/sklearn.datasets.load_iris.html</w:t>
      </w:r>
    </w:p>
    <w:p>
      <w:pPr>
        <w:keepNext/>
        <w:spacing w:before="320" w:after="120"/>
        <w:pBdr>
          <w:bottom w:val="single" w:sz="6" w:space="4" w:color="764BA2"/>
        </w:pBdr>
      </w:pPr>
      <w:r>
        <w:rPr>
          <w:rFonts w:ascii="Times New Roman" w:hAnsi="Times New Roman"/>
          <w:b/>
          <w:color w:val="764BA2"/>
          <w:sz w:val="28"/>
        </w:rPr>
        <w:t>7. Data Preprocessing</w:t>
      </w:r>
    </w:p>
    <w:p>
      <w:pPr>
        <w:spacing w:line="276" w:lineRule="auto" w:after="160"/>
      </w:pPr>
      <w:r>
        <w:rPr>
          <w:rFonts w:ascii="Times New Roman" w:hAnsi="Times New Roman"/>
          <w:i w:val="0"/>
          <w:sz w:val="24"/>
        </w:rPr>
        <w:t>To ensure all features contribute equally to the distance calculations, we apply standard scaling. Because raw feature values differ in range (e.g. Sepal Width ranges from 2.0 to 4.4, while Petal Length ranges from 1.0 to 6.9), using raw features would bias the distance calculations toward the feature with the largest range. Using z-score standardization via StandardScaler, we subtract the mean of each feature and divide by its standard deviation. This scales each feature to have a mean of 0 and a variance of 1. Crucially, the scaling parameters are computed only on the training split, preventing information leak from the testing split.</w:t>
      </w:r>
    </w:p>
    <w:p>
      <w:pPr>
        <w:keepNext/>
        <w:spacing w:before="320" w:after="120"/>
        <w:pBdr>
          <w:bottom w:val="single" w:sz="6" w:space="4" w:color="764BA2"/>
        </w:pBdr>
      </w:pPr>
      <w:r>
        <w:rPr>
          <w:rFonts w:ascii="Times New Roman" w:hAnsi="Times New Roman"/>
          <w:b/>
          <w:color w:val="764BA2"/>
          <w:sz w:val="28"/>
        </w:rPr>
        <w:t>8. Machine Learning Methodology</w:t>
      </w:r>
    </w:p>
    <w:p>
      <w:pPr>
        <w:keepNext/>
        <w:spacing w:before="240" w:after="80"/>
      </w:pPr>
      <w:r>
        <w:rPr>
          <w:rFonts w:ascii="Times New Roman" w:hAnsi="Times New Roman"/>
          <w:b/>
          <w:color w:val="667EEA"/>
          <w:sz w:val="25"/>
        </w:rPr>
        <w:t>Weighted K-Nearest Neighbors (KNN)</w:t>
      </w:r>
    </w:p>
    <w:p>
      <w:pPr>
        <w:spacing w:line="276" w:lineRule="auto" w:after="160"/>
      </w:pPr>
      <w:r>
        <w:rPr>
          <w:rFonts w:ascii="Times New Roman" w:hAnsi="Times New Roman"/>
          <w:i w:val="0"/>
          <w:sz w:val="24"/>
        </w:rPr>
        <w:t>The K-Nearest Neighbors classifier is a non-parametric instance-based learning method. Standard KNN classifies points by taking a simple majority vote among its K nearest neighbors. In this project, we implement Weighted KNN, which weights each neighbor's vote by the inverse of its distance to the query point. This approach is highly effective near decision boundaries, as close neighbors are given greater influence than neighbors located further away.</w:t>
      </w:r>
    </w:p>
    <w:p>
      <w:pPr>
        <w:keepNext/>
        <w:spacing w:before="240" w:after="80"/>
      </w:pPr>
      <w:r>
        <w:rPr>
          <w:rFonts w:ascii="Times New Roman" w:hAnsi="Times New Roman"/>
          <w:b/>
          <w:color w:val="667EEA"/>
          <w:sz w:val="25"/>
        </w:rPr>
        <w:t>Hyperparameter Selection (K=5)</w:t>
      </w:r>
    </w:p>
    <w:p>
      <w:pPr>
        <w:spacing w:line="276" w:lineRule="auto" w:after="160"/>
      </w:pPr>
      <w:r>
        <w:rPr>
          <w:rFonts w:ascii="Times New Roman" w:hAnsi="Times New Roman"/>
          <w:i w:val="0"/>
          <w:sz w:val="24"/>
        </w:rPr>
        <w:t>We set the number of neighbors to five (K=5). This setting strikes a balance between local specificity (low value of K) and noise smoothing (high value of K). Selecting K=5 ensures the classifier maintains local sensitivity near overlapping decision boundaries while remaining robust to outliers.</w:t>
      </w:r>
    </w:p>
    <w:p>
      <w:pPr>
        <w:keepNext/>
        <w:spacing w:before="240" w:after="80"/>
      </w:pPr>
      <w:r>
        <w:rPr>
          <w:rFonts w:ascii="Times New Roman" w:hAnsi="Times New Roman"/>
          <w:b/>
          <w:color w:val="667EEA"/>
          <w:sz w:val="25"/>
        </w:rPr>
        <w:t>StandardScaler and Scikit-Learn Pipeline</w:t>
      </w:r>
    </w:p>
    <w:p>
      <w:pPr>
        <w:spacing w:line="276" w:lineRule="auto" w:after="160"/>
      </w:pPr>
      <w:r>
        <w:rPr>
          <w:rFonts w:ascii="Times New Roman" w:hAnsi="Times New Roman"/>
          <w:i w:val="0"/>
          <w:sz w:val="24"/>
        </w:rPr>
        <w:t>We encapsulate the z-score scaler and the Weighted KNN classifier in a Scikit-Learn Pipeline. This architecture ensures that raw inputs are automatically scaled during both training and evaluation, preventing data leakage and simplifying model deployment. The final pipeline is saved as a single binary file (model.pkl).</w:t>
      </w:r>
    </w:p>
    <w:p>
      <w:pPr>
        <w:keepNext/>
        <w:spacing w:before="240" w:after="80"/>
      </w:pPr>
      <w:r>
        <w:rPr>
          <w:rFonts w:ascii="Times New Roman" w:hAnsi="Times New Roman"/>
          <w:b/>
          <w:color w:val="667EEA"/>
          <w:sz w:val="25"/>
        </w:rPr>
        <w:t>Pipeline Architecture Workflow</w:t>
      </w:r>
    </w:p>
    <w:p>
      <w:pPr>
        <w:spacing w:line="276" w:lineRule="auto" w:after="160"/>
      </w:pPr>
      <w:r>
        <w:rPr>
          <w:rFonts w:ascii="Times New Roman" w:hAnsi="Times New Roman"/>
          <w:i w:val="0"/>
          <w:sz w:val="24"/>
        </w:rPr>
        <w:t>The flow of operations is structured sequentially, preventing data leakage and guaranteeing standardized parameters are applied automatically to every user request:</w:t>
        <w:br/>
        <w:br/>
        <w:t>User Inputs ➔ Flask Web Application ➔ StandardScaler Scaling ➔ Weighted KNN Classification ➔ Prediction Categorization ➔ LIME Explainer ➔ Interpretation Narrative Engine ➔ Interactive HTML Dashboard Dashboard</w:t>
      </w:r>
    </w:p>
    <w:p>
      <w:pPr>
        <w:keepNext/>
        <w:spacing w:before="320" w:after="120"/>
        <w:pBdr>
          <w:bottom w:val="single" w:sz="6" w:space="4" w:color="764BA2"/>
        </w:pBdr>
      </w:pPr>
      <w:r>
        <w:rPr>
          <w:rFonts w:ascii="Times New Roman" w:hAnsi="Times New Roman"/>
          <w:b/>
          <w:color w:val="764BA2"/>
          <w:sz w:val="28"/>
        </w:rPr>
        <w:t>9. Model Evaluation</w:t>
      </w:r>
    </w:p>
    <w:p>
      <w:pPr>
        <w:spacing w:line="276" w:lineRule="auto" w:after="160"/>
      </w:pPr>
      <w:r>
        <w:rPr>
          <w:rFonts w:ascii="Times New Roman" w:hAnsi="Times New Roman"/>
          <w:i w:val="0"/>
          <w:sz w:val="24"/>
        </w:rPr>
        <w:t>Rescaled parameters were evaluated on a stratified 20% validation split (30 samples) to ensure equal representation. The model achieves an overall accuracy of 96.67%. The table below details the performance metrics across all three classes: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8F9FA"/>
          </w:tcPr>
          <w:p>
            <w:pPr>
              <w:jc w:val="center"/>
            </w:pPr>
            <w:r>
              <w:rPr>
                <w:rFonts w:ascii="Times New Roman" w:hAnsi="Times New Roman"/>
                <w:b/>
              </w:rPr>
              <w:t>Class</w:t>
            </w:r>
          </w:p>
        </w:tc>
        <w:tc>
          <w:tcPr>
            <w:tcW w:type="dxa" w:w="1872"/>
            <w:shd w:fill="F8F9FA"/>
          </w:tcPr>
          <w:p>
            <w:pPr>
              <w:jc w:val="center"/>
            </w:pPr>
            <w:r>
              <w:rPr>
                <w:rFonts w:ascii="Times New Roman" w:hAnsi="Times New Roman"/>
                <w:b/>
              </w:rPr>
              <w:t>Precision</w:t>
            </w:r>
          </w:p>
        </w:tc>
        <w:tc>
          <w:tcPr>
            <w:tcW w:type="dxa" w:w="1872"/>
            <w:shd w:fill="F8F9FA"/>
          </w:tcPr>
          <w:p>
            <w:pPr>
              <w:jc w:val="center"/>
            </w:pPr>
            <w:r>
              <w:rPr>
                <w:rFonts w:ascii="Times New Roman" w:hAnsi="Times New Roman"/>
                <w:b/>
              </w:rPr>
              <w:t>Recall</w:t>
            </w:r>
          </w:p>
        </w:tc>
        <w:tc>
          <w:tcPr>
            <w:tcW w:type="dxa" w:w="1872"/>
            <w:shd w:fill="F8F9FA"/>
          </w:tcPr>
          <w:p>
            <w:pPr>
              <w:jc w:val="center"/>
            </w:pPr>
            <w:r>
              <w:rPr>
                <w:rFonts w:ascii="Times New Roman" w:hAnsi="Times New Roman"/>
                <w:b/>
              </w:rPr>
              <w:t>F1-Score</w:t>
            </w:r>
          </w:p>
        </w:tc>
        <w:tc>
          <w:tcPr>
            <w:tcW w:type="dxa" w:w="1872"/>
            <w:shd w:fill="F8F9FA"/>
          </w:tcPr>
          <w:p>
            <w:pPr>
              <w:jc w:val="center"/>
            </w:pPr>
            <w:r>
              <w:rPr>
                <w:rFonts w:ascii="Times New Roman" w:hAnsi="Times New Roman"/>
                <w:b/>
              </w:rPr>
              <w:t>Support</w:t>
            </w:r>
          </w:p>
        </w:tc>
      </w:tr>
      <w:tr>
        <w:tc>
          <w:tcPr>
            <w:tcW w:type="dxa" w:w="1872"/>
          </w:tcPr>
          <w:p>
            <w:r>
              <w:rPr>
                <w:rFonts w:ascii="Times New Roman" w:hAnsi="Times New Roman"/>
              </w:rPr>
              <w:t>setosa</w:t>
            </w:r>
          </w:p>
        </w:tc>
        <w:tc>
          <w:tcPr>
            <w:tcW w:type="dxa" w:w="1872"/>
          </w:tcPr>
          <w:p>
            <w:pPr>
              <w:jc w:val="center"/>
            </w:pPr>
            <w:r>
              <w:rPr>
                <w:rFonts w:ascii="Times New Roman" w:hAnsi="Times New Roman"/>
              </w:rPr>
              <w:t>1.0000</w:t>
            </w:r>
          </w:p>
        </w:tc>
        <w:tc>
          <w:tcPr>
            <w:tcW w:type="dxa" w:w="1872"/>
          </w:tcPr>
          <w:p>
            <w:pPr>
              <w:jc w:val="center"/>
            </w:pPr>
            <w:r>
              <w:rPr>
                <w:rFonts w:ascii="Times New Roman" w:hAnsi="Times New Roman"/>
              </w:rPr>
              <w:t>1.0000</w:t>
            </w:r>
          </w:p>
        </w:tc>
        <w:tc>
          <w:tcPr>
            <w:tcW w:type="dxa" w:w="1872"/>
          </w:tcPr>
          <w:p>
            <w:pPr>
              <w:jc w:val="center"/>
            </w:pPr>
            <w:r>
              <w:rPr>
                <w:rFonts w:ascii="Times New Roman" w:hAnsi="Times New Roman"/>
              </w:rPr>
              <w:t>1.0000</w:t>
            </w:r>
          </w:p>
        </w:tc>
        <w:tc>
          <w:tcPr>
            <w:tcW w:type="dxa" w:w="1872"/>
          </w:tcPr>
          <w:p>
            <w:pPr>
              <w:jc w:val="center"/>
            </w:pPr>
            <w:r>
              <w:rPr>
                <w:rFonts w:ascii="Times New Roman" w:hAnsi="Times New Roman"/>
              </w:rPr>
              <w:t>10</w:t>
            </w:r>
          </w:p>
        </w:tc>
      </w:tr>
      <w:tr>
        <w:tc>
          <w:tcPr>
            <w:tcW w:type="dxa" w:w="1872"/>
          </w:tcPr>
          <w:p>
            <w:r>
              <w:rPr>
                <w:rFonts w:ascii="Times New Roman" w:hAnsi="Times New Roman"/>
              </w:rPr>
              <w:t>versicolor</w:t>
            </w:r>
          </w:p>
        </w:tc>
        <w:tc>
          <w:tcPr>
            <w:tcW w:type="dxa" w:w="1872"/>
          </w:tcPr>
          <w:p>
            <w:pPr>
              <w:jc w:val="center"/>
            </w:pPr>
            <w:r>
              <w:rPr>
                <w:rFonts w:ascii="Times New Roman" w:hAnsi="Times New Roman"/>
              </w:rPr>
              <w:t>1.0000</w:t>
            </w:r>
          </w:p>
        </w:tc>
        <w:tc>
          <w:tcPr>
            <w:tcW w:type="dxa" w:w="1872"/>
          </w:tcPr>
          <w:p>
            <w:pPr>
              <w:jc w:val="center"/>
            </w:pPr>
            <w:r>
              <w:rPr>
                <w:rFonts w:ascii="Times New Roman" w:hAnsi="Times New Roman"/>
              </w:rPr>
              <w:t>0.9000</w:t>
            </w:r>
          </w:p>
        </w:tc>
        <w:tc>
          <w:tcPr>
            <w:tcW w:type="dxa" w:w="1872"/>
          </w:tcPr>
          <w:p>
            <w:pPr>
              <w:jc w:val="center"/>
            </w:pPr>
            <w:r>
              <w:rPr>
                <w:rFonts w:ascii="Times New Roman" w:hAnsi="Times New Roman"/>
              </w:rPr>
              <w:t>0.9474</w:t>
            </w:r>
          </w:p>
        </w:tc>
        <w:tc>
          <w:tcPr>
            <w:tcW w:type="dxa" w:w="1872"/>
          </w:tcPr>
          <w:p>
            <w:pPr>
              <w:jc w:val="center"/>
            </w:pPr>
            <w:r>
              <w:rPr>
                <w:rFonts w:ascii="Times New Roman" w:hAnsi="Times New Roman"/>
              </w:rPr>
              <w:t>10</w:t>
            </w:r>
          </w:p>
        </w:tc>
      </w:tr>
      <w:tr>
        <w:tc>
          <w:tcPr>
            <w:tcW w:type="dxa" w:w="1872"/>
          </w:tcPr>
          <w:p>
            <w:r>
              <w:rPr>
                <w:rFonts w:ascii="Times New Roman" w:hAnsi="Times New Roman"/>
              </w:rPr>
              <w:t>virginica</w:t>
            </w:r>
          </w:p>
        </w:tc>
        <w:tc>
          <w:tcPr>
            <w:tcW w:type="dxa" w:w="1872"/>
          </w:tcPr>
          <w:p>
            <w:pPr>
              <w:jc w:val="center"/>
            </w:pPr>
            <w:r>
              <w:rPr>
                <w:rFonts w:ascii="Times New Roman" w:hAnsi="Times New Roman"/>
              </w:rPr>
              <w:t>0.9091</w:t>
            </w:r>
          </w:p>
        </w:tc>
        <w:tc>
          <w:tcPr>
            <w:tcW w:type="dxa" w:w="1872"/>
          </w:tcPr>
          <w:p>
            <w:pPr>
              <w:jc w:val="center"/>
            </w:pPr>
            <w:r>
              <w:rPr>
                <w:rFonts w:ascii="Times New Roman" w:hAnsi="Times New Roman"/>
              </w:rPr>
              <w:t>1.0000</w:t>
            </w:r>
          </w:p>
        </w:tc>
        <w:tc>
          <w:tcPr>
            <w:tcW w:type="dxa" w:w="1872"/>
          </w:tcPr>
          <w:p>
            <w:pPr>
              <w:jc w:val="center"/>
            </w:pPr>
            <w:r>
              <w:rPr>
                <w:rFonts w:ascii="Times New Roman" w:hAnsi="Times New Roman"/>
              </w:rPr>
              <w:t>0.9524</w:t>
            </w:r>
          </w:p>
        </w:tc>
        <w:tc>
          <w:tcPr>
            <w:tcW w:type="dxa" w:w="1872"/>
          </w:tcPr>
          <w:p>
            <w:pPr>
              <w:jc w:val="center"/>
            </w:pPr>
            <w:r>
              <w:rPr>
                <w:rFonts w:ascii="Times New Roman" w:hAnsi="Times New Roman"/>
              </w:rPr>
              <w:t>10</w:t>
            </w:r>
          </w:p>
        </w:tc>
      </w:tr>
    </w:tbl>
    <w:p/>
    <w:p>
      <w:pPr>
        <w:keepNext/>
        <w:spacing w:before="240" w:after="80"/>
      </w:pPr>
      <w:r>
        <w:rPr>
          <w:rFonts w:ascii="Times New Roman" w:hAnsi="Times New Roman"/>
          <w:b/>
          <w:color w:val="667EEA"/>
          <w:sz w:val="25"/>
        </w:rPr>
        <w:t>Confusion Matrix Analysis</w:t>
      </w:r>
    </w:p>
    <w:p>
      <w:pPr>
        <w:spacing w:line="276" w:lineRule="auto" w:after="160"/>
      </w:pPr>
      <w:r>
        <w:rPr>
          <w:rFonts w:ascii="Times New Roman" w:hAnsi="Times New Roman"/>
          <w:i w:val="0"/>
          <w:sz w:val="24"/>
        </w:rPr>
        <w:t>The confusion matrix diagram demonstrates that the setosa class (10 samples) and virginica class (10 samples) were classified with 100% precision. Only one versicolor sample was misclassified as virginica due to local proximity in the overlapping feature space.</w:t>
      </w:r>
    </w:p>
    <w:p>
      <w:pPr>
        <w:jc w:val="center"/>
      </w:pPr>
      <w:r>
        <w:drawing>
          <wp:inline xmlns:a="http://schemas.openxmlformats.org/drawingml/2006/main" xmlns:pic="http://schemas.openxmlformats.org/drawingml/2006/picture">
            <wp:extent cx="4114800" cy="3291840"/>
            <wp:docPr id="1" name="Picture 1"/>
            <wp:cNvGraphicFramePr>
              <a:graphicFrameLocks noChangeAspect="1"/>
            </wp:cNvGraphicFramePr>
            <a:graphic>
              <a:graphicData uri="http://schemas.openxmlformats.org/drawingml/2006/picture">
                <pic:pic>
                  <pic:nvPicPr>
                    <pic:cNvPr id="0" name="confusion_matrix_plot.png"/>
                    <pic:cNvPicPr/>
                  </pic:nvPicPr>
                  <pic:blipFill>
                    <a:blip r:embed="rId9"/>
                    <a:stretch>
                      <a:fillRect/>
                    </a:stretch>
                  </pic:blipFill>
                  <pic:spPr>
                    <a:xfrm>
                      <a:off x="0" y="0"/>
                      <a:ext cx="4114800" cy="3291840"/>
                    </a:xfrm>
                    <a:prstGeom prst="rect"/>
                  </pic:spPr>
                </pic:pic>
              </a:graphicData>
            </a:graphic>
          </wp:inline>
        </w:drawing>
      </w:r>
    </w:p>
    <w:p>
      <w:pPr>
        <w:spacing w:after="240"/>
        <w:jc w:val="center"/>
      </w:pPr>
      <w:r>
        <w:rPr>
          <w:rFonts w:ascii="Times New Roman" w:hAnsi="Times New Roman"/>
          <w:i/>
          <w:sz w:val="21"/>
        </w:rPr>
        <w:t>Figure 1: Confusion Matrix of the Stratified KNN Model Pipeline</w:t>
      </w:r>
    </w:p>
    <w:p>
      <w:pPr>
        <w:keepNext/>
        <w:spacing w:before="320" w:after="120"/>
        <w:pBdr>
          <w:bottom w:val="single" w:sz="6" w:space="4" w:color="764BA2"/>
        </w:pBdr>
      </w:pPr>
      <w:r>
        <w:rPr>
          <w:rFonts w:ascii="Times New Roman" w:hAnsi="Times New Roman"/>
          <w:b/>
          <w:color w:val="764BA2"/>
          <w:sz w:val="28"/>
        </w:rPr>
        <w:t>10. Explainable AI (XAI)</w:t>
      </w:r>
    </w:p>
    <w:p>
      <w:pPr>
        <w:keepNext/>
        <w:spacing w:before="240" w:after="80"/>
      </w:pPr>
      <w:r>
        <w:rPr>
          <w:rFonts w:ascii="Times New Roman" w:hAnsi="Times New Roman"/>
          <w:b/>
          <w:color w:val="667EEA"/>
          <w:sz w:val="25"/>
        </w:rPr>
        <w:t>What is LIME?</w:t>
      </w:r>
    </w:p>
    <w:p>
      <w:pPr>
        <w:spacing w:line="276" w:lineRule="auto" w:after="160"/>
      </w:pPr>
      <w:r>
        <w:rPr>
          <w:rFonts w:ascii="Times New Roman" w:hAnsi="Times New Roman"/>
          <w:i w:val="0"/>
          <w:sz w:val="24"/>
        </w:rPr>
        <w:t>LIME (Local Interpretable Model-agnostic Explanations) is a post-hoc explainability framework. It treats the machine learning model as a black box and evaluates how variations in the input features impact the model's predictions.</w:t>
      </w:r>
    </w:p>
    <w:p>
      <w:pPr>
        <w:keepNext/>
        <w:spacing w:before="240" w:after="80"/>
      </w:pPr>
      <w:r>
        <w:rPr>
          <w:rFonts w:ascii="Times New Roman" w:hAnsi="Times New Roman"/>
          <w:b/>
          <w:color w:val="667EEA"/>
          <w:sz w:val="25"/>
        </w:rPr>
        <w:t>Why LIME?</w:t>
      </w:r>
    </w:p>
    <w:p>
      <w:pPr>
        <w:spacing w:line="276" w:lineRule="auto" w:after="160"/>
      </w:pPr>
      <w:r>
        <w:rPr>
          <w:rFonts w:ascii="Times New Roman" w:hAnsi="Times New Roman"/>
          <w:i w:val="0"/>
          <w:sz w:val="24"/>
        </w:rPr>
        <w:t>We integrate LIME because it provides local, instanced-based explanations. While global methods identify general feature importances across the entire dataset, LIME focuses on explaining individual predictions. This makes it ideal for instance-based models like Weighted KNN, which lack a global decision boundary.</w:t>
      </w:r>
    </w:p>
    <w:p>
      <w:pPr>
        <w:keepNext/>
        <w:spacing w:before="240" w:after="80"/>
      </w:pPr>
      <w:r>
        <w:rPr>
          <w:rFonts w:ascii="Times New Roman" w:hAnsi="Times New Roman"/>
          <w:b/>
          <w:color w:val="667EEA"/>
          <w:sz w:val="25"/>
        </w:rPr>
        <w:t>How LIME Works?</w:t>
      </w:r>
    </w:p>
    <w:p>
      <w:pPr>
        <w:spacing w:line="276" w:lineRule="auto" w:after="160"/>
      </w:pPr>
      <w:r>
        <w:rPr>
          <w:rFonts w:ascii="Times New Roman" w:hAnsi="Times New Roman"/>
          <w:i w:val="0"/>
          <w:sz w:val="24"/>
        </w:rPr>
        <w:t>LIME creates local explanations by perturbing the target sample to generate new, synthetic data. It runs these perturbed points through the model and weights them by their distance to the original instance. Finally, it fits a simple, interpretable linear model (such as Ridge Regression) on the weighted perturbations. The coefficients of this linear model represent the local feature contributions.</w:t>
      </w:r>
    </w:p>
    <w:p>
      <w:pPr>
        <w:keepNext/>
        <w:spacing w:before="320" w:after="120"/>
        <w:pBdr>
          <w:bottom w:val="single" w:sz="6" w:space="4" w:color="764BA2"/>
        </w:pBdr>
      </w:pPr>
      <w:r>
        <w:rPr>
          <w:rFonts w:ascii="Times New Roman" w:hAnsi="Times New Roman"/>
          <w:b/>
          <w:color w:val="764BA2"/>
          <w:sz w:val="28"/>
        </w:rPr>
        <w:t>11. Results and Web Application Interface</w:t>
      </w:r>
    </w:p>
    <w:p>
      <w:pPr>
        <w:spacing w:line="276" w:lineRule="auto" w:after="160"/>
      </w:pPr>
      <w:r>
        <w:rPr>
          <w:rFonts w:ascii="Times New Roman" w:hAnsi="Times New Roman"/>
          <w:i w:val="0"/>
          <w:sz w:val="24"/>
        </w:rPr>
        <w:t>The project integrates these components into an interactive web application. When a user enters measurements and clicks 'Predict Flower', the application initiates the following workflow:</w:t>
      </w:r>
    </w:p>
    <w:p>
      <w:pPr>
        <w:spacing w:line="276" w:lineRule="auto" w:after="160"/>
      </w:pPr>
      <w:r>
        <w:rPr>
          <w:rFonts w:ascii="Times New Roman" w:hAnsi="Times New Roman"/>
          <w:b/>
          <w:sz w:val="24"/>
        </w:rPr>
        <w:t xml:space="preserve">1. Input Parsing: </w:t>
      </w:r>
      <w:r>
        <w:rPr>
          <w:rFonts w:ascii="Times New Roman" w:hAnsi="Times New Roman"/>
          <w:i w:val="0"/>
          <w:sz w:val="24"/>
        </w:rPr>
        <w:t>• The Flask backend captures the inputs and parses them into a NumPy feature array.</w:t>
      </w:r>
    </w:p>
    <w:p>
      <w:pPr>
        <w:spacing w:line="276" w:lineRule="auto" w:after="160"/>
      </w:pPr>
      <w:r>
        <w:rPr>
          <w:rFonts w:ascii="Times New Roman" w:hAnsi="Times New Roman"/>
          <w:b/>
          <w:sz w:val="24"/>
        </w:rPr>
        <w:t xml:space="preserve">2. Model Inference: </w:t>
      </w:r>
      <w:r>
        <w:rPr>
          <w:rFonts w:ascii="Times New Roman" w:hAnsi="Times New Roman"/>
          <w:i w:val="0"/>
          <w:sz w:val="24"/>
        </w:rPr>
        <w:t>• The StandardScaler standardizes the features, and the KNN model predicts the class and probabilities.</w:t>
      </w:r>
    </w:p>
    <w:p>
      <w:pPr>
        <w:spacing w:line="276" w:lineRule="auto" w:after="160"/>
      </w:pPr>
      <w:r>
        <w:rPr>
          <w:rFonts w:ascii="Times New Roman" w:hAnsi="Times New Roman"/>
          <w:b/>
          <w:sz w:val="24"/>
        </w:rPr>
        <w:t xml:space="preserve">3. Explanation Generation: </w:t>
      </w:r>
      <w:r>
        <w:rPr>
          <w:rFonts w:ascii="Times New Roman" w:hAnsi="Times New Roman"/>
          <w:i w:val="0"/>
          <w:sz w:val="24"/>
        </w:rPr>
        <w:t>• LIME perturbs the inputs, fits a local surrogate model, and saves a visual report to static/lime/explanation.html.</w:t>
      </w:r>
    </w:p>
    <w:p>
      <w:pPr>
        <w:spacing w:line="276" w:lineRule="auto" w:after="160"/>
      </w:pPr>
      <w:r>
        <w:rPr>
          <w:rFonts w:ascii="Times New Roman" w:hAnsi="Times New Roman"/>
          <w:b/>
          <w:sz w:val="24"/>
        </w:rPr>
        <w:t xml:space="preserve">4. Rule Extraction: </w:t>
      </w:r>
      <w:r>
        <w:rPr>
          <w:rFonts w:ascii="Times New Roman" w:hAnsi="Times New Roman"/>
          <w:i w:val="0"/>
          <w:sz w:val="24"/>
        </w:rPr>
        <w:t>• The narrative engine parses the positive and negative weights to build human-readable explanations.</w:t>
      </w:r>
    </w:p>
    <w:p>
      <w:pPr>
        <w:spacing w:line="276" w:lineRule="auto" w:after="160"/>
      </w:pPr>
      <w:r>
        <w:rPr>
          <w:rFonts w:ascii="Times New Roman" w:hAnsi="Times New Roman"/>
          <w:b/>
          <w:sz w:val="24"/>
        </w:rPr>
        <w:t xml:space="preserve">5. UI Rendering: </w:t>
      </w:r>
      <w:r>
        <w:rPr>
          <w:rFonts w:ascii="Times New Roman" w:hAnsi="Times New Roman"/>
          <w:i w:val="0"/>
          <w:sz w:val="24"/>
        </w:rPr>
        <w:t>• The UI renders a two-column dashboard showing prediction details, narrative interpretations, and LIME charts.</w:t>
      </w:r>
    </w:p>
    <w:p/>
    <w:p>
      <w:pPr>
        <w:jc w:val="center"/>
      </w:pPr>
      <w:r>
        <w:drawing>
          <wp:inline xmlns:a="http://schemas.openxmlformats.org/drawingml/2006/main" xmlns:pic="http://schemas.openxmlformats.org/drawingml/2006/picture">
            <wp:extent cx="5486400" cy="2508885"/>
            <wp:docPr id="2" name="Picture 2"/>
            <wp:cNvGraphicFramePr>
              <a:graphicFrameLocks noChangeAspect="1"/>
            </wp:cNvGraphicFramePr>
            <a:graphic>
              <a:graphicData uri="http://schemas.openxmlformats.org/drawingml/2006/picture">
                <pic:pic>
                  <pic:nvPicPr>
                    <pic:cNvPr id="0" name="prediction_result_interpretation_1785951207916.png"/>
                    <pic:cNvPicPr/>
                  </pic:nvPicPr>
                  <pic:blipFill>
                    <a:blip r:embed="rId10"/>
                    <a:stretch>
                      <a:fillRect/>
                    </a:stretch>
                  </pic:blipFill>
                  <pic:spPr>
                    <a:xfrm>
                      <a:off x="0" y="0"/>
                      <a:ext cx="5486400" cy="2508885"/>
                    </a:xfrm>
                    <a:prstGeom prst="rect"/>
                  </pic:spPr>
                </pic:pic>
              </a:graphicData>
            </a:graphic>
          </wp:inline>
        </w:drawing>
      </w:r>
    </w:p>
    <w:p>
      <w:pPr>
        <w:spacing w:after="240"/>
        <w:jc w:val="center"/>
      </w:pPr>
      <w:r>
        <w:rPr>
          <w:rFonts w:ascii="Times New Roman" w:hAnsi="Times New Roman"/>
          <w:i/>
          <w:sz w:val="21"/>
        </w:rPr>
        <w:t>Figure 2: Final Explainable AI Dashboard showing Virginica (Low Trust Prediction)</w:t>
      </w:r>
    </w:p>
    <w:p>
      <w:pPr>
        <w:keepNext/>
        <w:spacing w:before="320" w:after="120"/>
        <w:pBdr>
          <w:bottom w:val="single" w:sz="6" w:space="4" w:color="764BA2"/>
        </w:pBdr>
      </w:pPr>
      <w:r>
        <w:rPr>
          <w:rFonts w:ascii="Times New Roman" w:hAnsi="Times New Roman"/>
          <w:b/>
          <w:color w:val="764BA2"/>
          <w:sz w:val="28"/>
        </w:rPr>
        <w:t>12. Interpretative Analysis Case Study</w:t>
      </w:r>
    </w:p>
    <w:p>
      <w:pPr>
        <w:spacing w:line="276" w:lineRule="auto" w:after="160"/>
      </w:pPr>
      <w:r>
        <w:rPr>
          <w:rFonts w:ascii="Times New Roman" w:hAnsi="Times New Roman"/>
          <w:i w:val="0"/>
          <w:sz w:val="24"/>
        </w:rPr>
        <w:t>We present a case study using a sample with measurements: Sepal Length = 6.0cm, Sepal Width = 3.0cm, Petal Length = 4.8cm, and Petal Width = 1.8cm.</w:t>
      </w:r>
    </w:p>
    <w:p>
      <w:pPr>
        <w:spacing w:line="276" w:lineRule="auto" w:after="160"/>
      </w:pPr>
      <w:r>
        <w:rPr>
          <w:rFonts w:ascii="Times New Roman" w:hAnsi="Times New Roman"/>
          <w:b/>
          <w:sz w:val="24"/>
        </w:rPr>
        <w:t xml:space="preserve">• Why was the prediction made? </w:t>
      </w:r>
      <w:r>
        <w:rPr>
          <w:rFonts w:ascii="Times New Roman" w:hAnsi="Times New Roman"/>
          <w:i w:val="0"/>
          <w:sz w:val="24"/>
        </w:rPr>
        <w:t>The model predicts the sample as Iris virginica with 52.68% confidence, while Iris versicolor receives 47.32% confidence. This low margin shows that the sample is located in an overlapping region between the two classes. LIME explains the prediction by identifying the positive and negative feature contributions.</w:t>
      </w:r>
    </w:p>
    <w:p>
      <w:pPr>
        <w:spacing w:line="276" w:lineRule="auto" w:after="160"/>
      </w:pPr>
      <w:r>
        <w:rPr>
          <w:rFonts w:ascii="Times New Roman" w:hAnsi="Times New Roman"/>
          <w:b/>
          <w:sz w:val="24"/>
        </w:rPr>
        <w:t xml:space="preserve">• Strongest Impact Indicator: </w:t>
      </w:r>
      <w:r>
        <w:rPr>
          <w:rFonts w:ascii="Times New Roman" w:hAnsi="Times New Roman"/>
          <w:i w:val="0"/>
          <w:sz w:val="24"/>
        </w:rPr>
        <w:t>The feature rule '4.35 &lt; petal length (cm) &lt;= 5.10' is identified as the strongest positive indicator, contributing +0.0841 to the Virginica prediction.</w:t>
      </w:r>
    </w:p>
    <w:p>
      <w:pPr>
        <w:spacing w:line="276" w:lineRule="auto" w:after="160"/>
      </w:pPr>
      <w:r>
        <w:rPr>
          <w:rFonts w:ascii="Times New Roman" w:hAnsi="Times New Roman"/>
          <w:b/>
          <w:sz w:val="24"/>
        </w:rPr>
        <w:t xml:space="preserve">• Weakest Impact Indicator: </w:t>
      </w:r>
      <w:r>
        <w:rPr>
          <w:rFonts w:ascii="Times New Roman" w:hAnsi="Times New Roman"/>
          <w:i w:val="0"/>
          <w:sz w:val="24"/>
        </w:rPr>
        <w:t>The feature rule '2.80 &lt; sepal width (cm) &lt;= 3.00' is identified as the weakest indicator, contributing -0.0301 to the Virginica prediction.</w:t>
      </w:r>
    </w:p>
    <w:p>
      <w:pPr>
        <w:spacing w:line="276" w:lineRule="auto" w:after="160"/>
      </w:pPr>
      <w:r>
        <w:rPr>
          <w:rFonts w:ascii="Times New Roman" w:hAnsi="Times New Roman"/>
          <w:b/>
          <w:sz w:val="24"/>
        </w:rPr>
        <w:t xml:space="preserve">• Prediction Trustworthiness: </w:t>
      </w:r>
      <w:r>
        <w:rPr>
          <w:rFonts w:ascii="Times New Roman" w:hAnsi="Times New Roman"/>
          <w:i w:val="0"/>
          <w:sz w:val="24"/>
        </w:rPr>
        <w:t>Because the model's confidence is low (52.68%) and near the 50.00% threshold, the dynamic narrative engine rates the prediction's trustworthiness as 'Low.' This indicates potential misclassification and alerts users to proceed with caution.</w:t>
      </w:r>
    </w:p>
    <w:p>
      <w:pPr>
        <w:spacing w:line="276" w:lineRule="auto" w:after="160"/>
      </w:pPr>
      <w:r>
        <w:rPr>
          <w:rFonts w:ascii="Times New Roman" w:hAnsi="Times New Roman"/>
          <w:b/>
          <w:sz w:val="24"/>
        </w:rPr>
        <w:t xml:space="preserve">• Local vs. Global: </w:t>
      </w:r>
      <w:r>
        <w:rPr>
          <w:rFonts w:ascii="Times New Roman" w:hAnsi="Times New Roman"/>
          <w:i w:val="0"/>
          <w:sz w:val="24"/>
        </w:rPr>
        <w:t>LIME provides local explanations designed to represent the model's behavior around a specific sample. It does not describe the global classification rules across the entire dataset.</w:t>
      </w:r>
    </w:p>
    <w:p>
      <w:pPr>
        <w:spacing w:line="276" w:lineRule="auto" w:after="160"/>
      </w:pPr>
      <w:r>
        <w:rPr>
          <w:rFonts w:ascii="Times New Roman" w:hAnsi="Times New Roman"/>
          <w:b/>
          <w:sz w:val="24"/>
        </w:rPr>
        <w:t xml:space="preserve">• Limitations: </w:t>
      </w:r>
      <w:r>
        <w:rPr>
          <w:rFonts w:ascii="Times New Roman" w:hAnsi="Times New Roman"/>
          <w:i w:val="0"/>
          <w:sz w:val="24"/>
        </w:rPr>
        <w:t>A key limitation of LIME is instability, as the random perturbations can lead to minor variations in feature weights between runs on the same input.</w:t>
      </w:r>
    </w:p>
    <w:p/>
    <w:p>
      <w:pPr>
        <w:jc w:val="center"/>
      </w:pPr>
      <w:r>
        <w:drawing>
          <wp:inline xmlns:a="http://schemas.openxmlformats.org/drawingml/2006/main" xmlns:pic="http://schemas.openxmlformats.org/drawingml/2006/picture">
            <wp:extent cx="5303520" cy="2425256"/>
            <wp:docPr id="3" name="Picture 3"/>
            <wp:cNvGraphicFramePr>
              <a:graphicFrameLocks noChangeAspect="1"/>
            </wp:cNvGraphicFramePr>
            <a:graphic>
              <a:graphicData uri="http://schemas.openxmlformats.org/drawingml/2006/picture">
                <pic:pic>
                  <pic:nvPicPr>
                    <pic:cNvPr id="0" name="lime_explanation_1785952352698.png"/>
                    <pic:cNvPicPr/>
                  </pic:nvPicPr>
                  <pic:blipFill>
                    <a:blip r:embed="rId11"/>
                    <a:stretch>
                      <a:fillRect/>
                    </a:stretch>
                  </pic:blipFill>
                  <pic:spPr>
                    <a:xfrm>
                      <a:off x="0" y="0"/>
                      <a:ext cx="5303520" cy="2425256"/>
                    </a:xfrm>
                    <a:prstGeom prst="rect"/>
                  </pic:spPr>
                </pic:pic>
              </a:graphicData>
            </a:graphic>
          </wp:inline>
        </w:drawing>
      </w:r>
    </w:p>
    <w:p>
      <w:pPr>
        <w:spacing w:after="240"/>
        <w:jc w:val="center"/>
      </w:pPr>
      <w:r>
        <w:rPr>
          <w:rFonts w:ascii="Times New Roman" w:hAnsi="Times New Roman"/>
          <w:i/>
          <w:sz w:val="21"/>
        </w:rPr>
        <w:t>Figure 3: LIME Explanation Local Feature Contributions Chart</w:t>
      </w:r>
    </w:p>
    <w:p>
      <w:pPr>
        <w:keepNext/>
        <w:spacing w:before="320" w:after="120"/>
        <w:pBdr>
          <w:bottom w:val="single" w:sz="6" w:space="4" w:color="764BA2"/>
        </w:pBdr>
      </w:pPr>
      <w:r>
        <w:rPr>
          <w:rFonts w:ascii="Times New Roman" w:hAnsi="Times New Roman"/>
          <w:b/>
          <w:color w:val="764BA2"/>
          <w:sz w:val="28"/>
        </w:rPr>
        <w:t>13. Conclusion</w:t>
      </w:r>
    </w:p>
    <w:p>
      <w:pPr>
        <w:spacing w:line="276" w:lineRule="auto" w:after="160"/>
      </w:pPr>
      <w:r>
        <w:rPr>
          <w:rFonts w:ascii="Times New Roman" w:hAnsi="Times New Roman"/>
          <w:i w:val="0"/>
          <w:sz w:val="24"/>
        </w:rPr>
        <w:t>This project successfully builds an explainable machine learning pipeline. By combining a StandardScaler + Weighted KNN classifier with a post-hoc LIME explainer, we demonstrate that local surrogate explainability can accompany high classification performance. The dynamic rule-extraction engine translates complex numerical weights into readable narratives, helping users understand the reasoning behind the classifications. This work highlights that post-hoc explainability techniques can be implemented to decode individual predictions, providing a helpful auditing tool for machine learning models.</w:t>
      </w:r>
    </w:p>
    <w:p>
      <w:pPr>
        <w:keepNext/>
        <w:spacing w:before="240" w:after="80"/>
      </w:pPr>
      <w:r>
        <w:rPr>
          <w:rFonts w:ascii="Times New Roman" w:hAnsi="Times New Roman"/>
          <w:b/>
          <w:color w:val="667EEA"/>
          <w:sz w:val="25"/>
        </w:rPr>
        <w:t>GitHub Repository Location</w:t>
      </w:r>
    </w:p>
    <w:p>
      <w:pPr>
        <w:spacing w:line="276" w:lineRule="auto" w:after="160"/>
      </w:pPr>
      <w:r>
        <w:rPr>
          <w:rFonts w:ascii="Times New Roman" w:hAnsi="Times New Roman"/>
          <w:i w:val="0"/>
          <w:sz w:val="24"/>
        </w:rPr>
        <w:t>To support transparency and open science initiatives, the execution codebase, models, static configurations, and integration pipelines are versioned on GitHub:</w:t>
        <w:br/>
        <w:t>https://github.com/Nikshitha33/irisclassification-</w:t>
      </w:r>
    </w:p>
    <w:p>
      <w:pPr>
        <w:keepNext/>
        <w:spacing w:before="320" w:after="120"/>
        <w:pBdr>
          <w:bottom w:val="single" w:sz="6" w:space="4" w:color="764BA2"/>
        </w:pBdr>
      </w:pPr>
      <w:r>
        <w:rPr>
          <w:rFonts w:ascii="Times New Roman" w:hAnsi="Times New Roman"/>
          <w:b/>
          <w:color w:val="764BA2"/>
          <w:sz w:val="28"/>
        </w:rPr>
        <w:t>14. Future Scope</w:t>
      </w:r>
    </w:p>
    <w:p>
      <w:pPr>
        <w:spacing w:line="276" w:lineRule="auto" w:after="160"/>
      </w:pPr>
      <w:r>
        <w:rPr>
          <w:rFonts w:ascii="Times New Roman" w:hAnsi="Times New Roman"/>
          <w:i w:val="0"/>
          <w:sz w:val="24"/>
        </w:rPr>
        <w:t>Future research could explore several improvements, including: (1) integrating SHAP to compare local explanations with game theory-based attributions, (2) adding advanced validation metrics (such as ROC curves and ROC-AUC) to the evaluation suite, (3) extending the web application to support multi-model comparisons (e.g. comparing KNN with SVMs), and (4) improving the LIME perturbation step to ensure more stable explanations.</w:t>
      </w:r>
    </w:p>
    <w:p>
      <w:pPr>
        <w:keepNext/>
        <w:spacing w:before="320" w:after="120"/>
        <w:pBdr>
          <w:bottom w:val="single" w:sz="6" w:space="4" w:color="764BA2"/>
        </w:pBdr>
      </w:pPr>
      <w:r>
        <w:rPr>
          <w:rFonts w:ascii="Times New Roman" w:hAnsi="Times New Roman"/>
          <w:b/>
          <w:color w:val="764BA2"/>
          <w:sz w:val="28"/>
        </w:rPr>
        <w:t>15. References</w:t>
      </w:r>
    </w:p>
    <w:p>
      <w:pPr>
        <w:spacing w:line="276" w:lineRule="auto" w:after="160"/>
      </w:pPr>
      <w:r>
        <w:rPr>
          <w:rFonts w:ascii="Times New Roman" w:hAnsi="Times New Roman"/>
          <w:i w:val="0"/>
          <w:sz w:val="24"/>
        </w:rPr>
        <w:t>• Fisher, R. A. (1936). The use of multiple measurements in taxonomic problems. Annals of Eugenics, 7(2), 179-188.</w:t>
      </w:r>
    </w:p>
    <w:p>
      <w:pPr>
        <w:spacing w:line="276" w:lineRule="auto" w:after="160"/>
      </w:pPr>
      <w:r>
        <w:rPr>
          <w:rFonts w:ascii="Times New Roman" w:hAnsi="Times New Roman"/>
          <w:i w:val="0"/>
          <w:sz w:val="24"/>
        </w:rPr>
        <w:t>• Ribeiro, M. T., Singh, S., &amp; Guestrin, C. (2016). 'Why should I trust you?': Explaining the predictions of any classifier. Proceedings of the 22nd ACM SIGKDD International Conference on Knowledge Discovery and Data Mining.</w:t>
      </w:r>
    </w:p>
    <w:p>
      <w:pPr>
        <w:spacing w:line="276" w:lineRule="auto" w:after="160"/>
      </w:pPr>
      <w:r>
        <w:rPr>
          <w:rFonts w:ascii="Times New Roman" w:hAnsi="Times New Roman"/>
          <w:i w:val="0"/>
          <w:sz w:val="24"/>
        </w:rPr>
        <w:t>• Scikit-Learn documentation on KNeighborsClassifier: https://scikit-learn.org/stable/modules/generated/sklearn.neighbors.KNeighborsClassifier.html</w:t>
      </w:r>
    </w:p>
    <w:p>
      <w:pPr>
        <w:spacing w:line="276" w:lineRule="auto" w:after="160"/>
      </w:pPr>
      <w:r>
        <w:rPr>
          <w:rFonts w:ascii="Times New Roman" w:hAnsi="Times New Roman"/>
          <w:i w:val="0"/>
          <w:sz w:val="24"/>
        </w:rPr>
        <w:t>• LIME Project Repository: https://github.com/marcotcr/lime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