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A509" w14:textId="165300C7" w:rsidR="007862DF" w:rsidRPr="007D59E6" w:rsidRDefault="00CC1F17">
      <w:pPr>
        <w:rPr>
          <w:b/>
          <w:bCs/>
          <w:lang w:val="en-US"/>
        </w:rPr>
      </w:pPr>
      <w:r w:rsidRPr="007D59E6">
        <w:rPr>
          <w:b/>
          <w:bCs/>
          <w:lang w:val="en-US"/>
        </w:rPr>
        <w:t>CHARITY:</w:t>
      </w:r>
    </w:p>
    <w:p w14:paraId="09518EC4" w14:textId="18DE98B9" w:rsidR="00CC1F17" w:rsidRDefault="00CC1F17">
      <w:pPr>
        <w:rPr>
          <w:lang w:val="en-US"/>
        </w:rPr>
      </w:pPr>
    </w:p>
    <w:p w14:paraId="3116E060" w14:textId="0925C609" w:rsidR="00CC1F17" w:rsidRDefault="00CC1F17" w:rsidP="00CC1F17">
      <w:pPr>
        <w:pStyle w:val="Pa4"/>
        <w:spacing w:after="100"/>
        <w:rPr>
          <w:rFonts w:cs="Dax-Light"/>
          <w:color w:val="000000"/>
          <w:sz w:val="22"/>
          <w:szCs w:val="22"/>
        </w:rPr>
      </w:pPr>
      <w:r>
        <w:rPr>
          <w:rFonts w:cs="Dax-Light"/>
          <w:color w:val="000000"/>
          <w:sz w:val="22"/>
          <w:szCs w:val="22"/>
        </w:rPr>
        <w:t>A</w:t>
      </w:r>
      <w:r>
        <w:rPr>
          <w:rFonts w:cs="Dax-Light"/>
          <w:color w:val="000000"/>
          <w:sz w:val="22"/>
          <w:szCs w:val="22"/>
        </w:rPr>
        <w:t xml:space="preserve">ll charities, whether registered with the commission or not must prepare accounts and make them available on request. </w:t>
      </w:r>
    </w:p>
    <w:p w14:paraId="55AA95E5" w14:textId="52B3EE1B" w:rsidR="00CC1F17" w:rsidRDefault="00CC1F17" w:rsidP="00CC1F17">
      <w:pPr>
        <w:pStyle w:val="Pa4"/>
        <w:spacing w:after="100"/>
        <w:rPr>
          <w:rFonts w:cs="Dax-Light"/>
          <w:color w:val="000000"/>
          <w:sz w:val="22"/>
          <w:szCs w:val="22"/>
        </w:rPr>
      </w:pPr>
      <w:r>
        <w:rPr>
          <w:rFonts w:cs="Dax-Light"/>
          <w:color w:val="000000"/>
          <w:sz w:val="22"/>
          <w:szCs w:val="22"/>
        </w:rPr>
        <w:t>R</w:t>
      </w:r>
      <w:r>
        <w:rPr>
          <w:rFonts w:cs="Dax-Light"/>
          <w:color w:val="000000"/>
          <w:sz w:val="22"/>
          <w:szCs w:val="22"/>
        </w:rPr>
        <w:t xml:space="preserve">egistered charities must prepare a trustees’ annual report and make it available on request. </w:t>
      </w:r>
    </w:p>
    <w:p w14:paraId="0C4555ED" w14:textId="27D2B2AD" w:rsidR="00CC1F17" w:rsidRDefault="00CC1F17" w:rsidP="00CC1F17">
      <w:pPr>
        <w:pStyle w:val="Pa4"/>
        <w:spacing w:after="100"/>
        <w:rPr>
          <w:rFonts w:cs="Dax-Light"/>
          <w:color w:val="000000"/>
          <w:sz w:val="22"/>
          <w:szCs w:val="22"/>
        </w:rPr>
      </w:pPr>
      <w:r>
        <w:rPr>
          <w:rFonts w:cs="Dax-Light"/>
          <w:color w:val="000000"/>
          <w:sz w:val="22"/>
          <w:szCs w:val="22"/>
        </w:rPr>
        <w:t>T</w:t>
      </w:r>
      <w:r>
        <w:rPr>
          <w:rFonts w:cs="Dax-Light"/>
          <w:color w:val="000000"/>
          <w:sz w:val="22"/>
          <w:szCs w:val="22"/>
        </w:rPr>
        <w:t xml:space="preserve">he duty to file accounts and the trustees’ annual report with the commission applies to all CIOs irrespective of income and to all other registered charities whose gross yearly income exceeds £25,000. The trustees’ annual report and accounts should be filed online. </w:t>
      </w:r>
    </w:p>
    <w:p w14:paraId="5AFE0F81" w14:textId="3A8890F4" w:rsidR="00CC1F17" w:rsidRDefault="00CC1F17" w:rsidP="00CC1F17">
      <w:pPr>
        <w:pStyle w:val="Pa4"/>
        <w:spacing w:after="100"/>
        <w:rPr>
          <w:rFonts w:cs="Dax-Light"/>
          <w:color w:val="000000"/>
          <w:sz w:val="22"/>
          <w:szCs w:val="22"/>
        </w:rPr>
      </w:pPr>
      <w:r>
        <w:rPr>
          <w:rFonts w:cs="Dax-Light"/>
          <w:color w:val="000000"/>
          <w:sz w:val="22"/>
          <w:szCs w:val="22"/>
        </w:rPr>
        <w:t>T</w:t>
      </w:r>
      <w:r>
        <w:rPr>
          <w:rFonts w:cs="Dax-Light"/>
          <w:color w:val="000000"/>
          <w:sz w:val="22"/>
          <w:szCs w:val="22"/>
        </w:rPr>
        <w:t xml:space="preserve">he duty to complete and file the annual return with the commission applies to all CIOs, and to all other registered charities whose gross yearly income exceeds £10,000. Charities whose gross income is below £10,000 have an obligation to keep their registered details up to date – they can use the annual return to do this. </w:t>
      </w:r>
    </w:p>
    <w:p w14:paraId="5FA5C0B9" w14:textId="0AA5435B" w:rsidR="00CC1F17" w:rsidRDefault="00CC1F17" w:rsidP="00CC1F17">
      <w:pPr>
        <w:pStyle w:val="Pa4"/>
        <w:spacing w:after="100"/>
        <w:rPr>
          <w:rFonts w:cs="Dax-Light"/>
          <w:color w:val="000000"/>
          <w:sz w:val="18"/>
          <w:szCs w:val="18"/>
        </w:rPr>
      </w:pPr>
      <w:r>
        <w:rPr>
          <w:rFonts w:cs="Dax-Light"/>
          <w:color w:val="000000"/>
          <w:sz w:val="22"/>
          <w:szCs w:val="22"/>
        </w:rPr>
        <w:t>Each registered charity receives an annual return form from the commission shortly after its financial year end. In all cases the annual return should be completed online</w:t>
      </w:r>
      <w:r>
        <w:rPr>
          <w:rFonts w:cs="Dax-Light"/>
          <w:color w:val="000000"/>
          <w:sz w:val="22"/>
          <w:szCs w:val="22"/>
        </w:rPr>
        <w:t>.</w:t>
      </w:r>
      <w:r>
        <w:rPr>
          <w:rFonts w:cs="Dax-Light"/>
          <w:color w:val="000000"/>
          <w:sz w:val="18"/>
          <w:szCs w:val="18"/>
        </w:rPr>
        <w:t xml:space="preserve"> </w:t>
      </w:r>
    </w:p>
    <w:p w14:paraId="2E95A86E" w14:textId="0115C1C5" w:rsidR="00CC1F17" w:rsidRDefault="00CC1F17" w:rsidP="00CC1F17">
      <w:pPr>
        <w:rPr>
          <w:rFonts w:cs="Dax-Light"/>
          <w:color w:val="000000"/>
        </w:rPr>
      </w:pPr>
      <w:r>
        <w:rPr>
          <w:rFonts w:cs="Dax-Light"/>
          <w:color w:val="000000"/>
        </w:rPr>
        <w:t>The annual return form enables the commission to ensure that the details of every charity on the register of charities are as complete and accurate as possible. The annual return gives the commission basic financial details, and details of contacts, trustees, activities and of the charity’s classification.</w:t>
      </w:r>
    </w:p>
    <w:p w14:paraId="5FF5BC8A" w14:textId="7A0FF2C6" w:rsidR="00CC1F17" w:rsidRDefault="007D59E6" w:rsidP="00CC1F17">
      <w:pPr>
        <w:rPr>
          <w:rFonts w:cs="Dax-Light"/>
          <w:color w:val="000000"/>
        </w:rPr>
      </w:pPr>
      <w:r>
        <w:rPr>
          <w:rFonts w:cs="Dax-Light"/>
          <w:color w:val="000000"/>
        </w:rPr>
        <w:t xml:space="preserve">We believe that Trustees, employees and volunteers should spend their time towards the cause of the charity </w:t>
      </w:r>
      <w:r w:rsidR="00C1160F">
        <w:rPr>
          <w:rFonts w:cs="Dax-Light"/>
          <w:color w:val="000000"/>
        </w:rPr>
        <w:t>and</w:t>
      </w:r>
      <w:r>
        <w:rPr>
          <w:rFonts w:cs="Dax-Light"/>
          <w:color w:val="000000"/>
        </w:rPr>
        <w:t xml:space="preserve"> let us deal with the administration side of the charity, such as:</w:t>
      </w:r>
    </w:p>
    <w:tbl>
      <w:tblPr>
        <w:tblW w:w="9952" w:type="dxa"/>
        <w:tblLook w:val="04A0" w:firstRow="1" w:lastRow="0" w:firstColumn="1" w:lastColumn="0" w:noHBand="0" w:noVBand="1"/>
      </w:tblPr>
      <w:tblGrid>
        <w:gridCol w:w="9952"/>
      </w:tblGrid>
      <w:tr w:rsidR="00CC1F17" w:rsidRPr="00CC1F17" w14:paraId="03A08AAF" w14:textId="77777777" w:rsidTr="00CC1F17">
        <w:trPr>
          <w:trHeight w:val="525"/>
        </w:trPr>
        <w:tc>
          <w:tcPr>
            <w:tcW w:w="9952" w:type="dxa"/>
            <w:tcBorders>
              <w:top w:val="nil"/>
              <w:left w:val="nil"/>
              <w:bottom w:val="nil"/>
              <w:right w:val="nil"/>
            </w:tcBorders>
            <w:shd w:val="clear" w:color="000000" w:fill="DDD9C4"/>
            <w:noWrap/>
            <w:vAlign w:val="bottom"/>
            <w:hideMark/>
          </w:tcPr>
          <w:p w14:paraId="31181313" w14:textId="02E9F225" w:rsidR="00CC1F17" w:rsidRPr="00CC1F17" w:rsidRDefault="007D59E6" w:rsidP="00CC1F17">
            <w:pPr>
              <w:spacing w:after="0" w:line="240" w:lineRule="auto"/>
              <w:rPr>
                <w:rFonts w:cs="Dax-Light"/>
                <w:color w:val="000000"/>
              </w:rPr>
            </w:pPr>
            <w:r w:rsidRPr="007D59E6">
              <w:rPr>
                <w:rFonts w:cs="Dax-Light"/>
                <w:color w:val="000000"/>
              </w:rPr>
              <w:t>F</w:t>
            </w:r>
            <w:r w:rsidR="00CC1F17" w:rsidRPr="00CC1F17">
              <w:rPr>
                <w:rFonts w:cs="Dax-Light"/>
                <w:color w:val="000000"/>
              </w:rPr>
              <w:t>ile the accounts with the Charity Commission on your behalf</w:t>
            </w:r>
          </w:p>
        </w:tc>
      </w:tr>
      <w:tr w:rsidR="00CC1F17" w:rsidRPr="00CC1F17" w14:paraId="15E76508" w14:textId="77777777" w:rsidTr="00CC1F17">
        <w:trPr>
          <w:trHeight w:val="525"/>
        </w:trPr>
        <w:tc>
          <w:tcPr>
            <w:tcW w:w="9952" w:type="dxa"/>
            <w:tcBorders>
              <w:top w:val="nil"/>
              <w:left w:val="nil"/>
              <w:bottom w:val="nil"/>
              <w:right w:val="nil"/>
            </w:tcBorders>
            <w:shd w:val="clear" w:color="000000" w:fill="DDD9C4"/>
            <w:noWrap/>
            <w:vAlign w:val="bottom"/>
            <w:hideMark/>
          </w:tcPr>
          <w:p w14:paraId="40F519B1" w14:textId="00F96D45" w:rsidR="00CC1F17" w:rsidRPr="00CC1F17" w:rsidRDefault="007D59E6" w:rsidP="00CC1F17">
            <w:pPr>
              <w:spacing w:after="0" w:line="240" w:lineRule="auto"/>
              <w:rPr>
                <w:rFonts w:cs="Dax-Light"/>
                <w:color w:val="000000"/>
              </w:rPr>
            </w:pPr>
            <w:r w:rsidRPr="007D59E6">
              <w:rPr>
                <w:rFonts w:cs="Dax-Light"/>
                <w:color w:val="000000"/>
              </w:rPr>
              <w:t>P</w:t>
            </w:r>
            <w:r w:rsidR="00CC1F17" w:rsidRPr="00CC1F17">
              <w:rPr>
                <w:rFonts w:cs="Dax-Light"/>
                <w:color w:val="000000"/>
              </w:rPr>
              <w:t>repare the payroll if needed</w:t>
            </w:r>
          </w:p>
        </w:tc>
      </w:tr>
      <w:tr w:rsidR="00CC1F17" w:rsidRPr="00CC1F17" w14:paraId="66C42BA5" w14:textId="77777777" w:rsidTr="00CC1F17">
        <w:trPr>
          <w:trHeight w:val="525"/>
        </w:trPr>
        <w:tc>
          <w:tcPr>
            <w:tcW w:w="9952" w:type="dxa"/>
            <w:tcBorders>
              <w:top w:val="nil"/>
              <w:left w:val="nil"/>
              <w:bottom w:val="nil"/>
              <w:right w:val="nil"/>
            </w:tcBorders>
            <w:shd w:val="clear" w:color="000000" w:fill="DDD9C4"/>
            <w:noWrap/>
            <w:vAlign w:val="bottom"/>
            <w:hideMark/>
          </w:tcPr>
          <w:p w14:paraId="691BB38E" w14:textId="1A575CA8" w:rsidR="00CC1F17" w:rsidRPr="00CC1F17" w:rsidRDefault="007D59E6" w:rsidP="00CC1F17">
            <w:pPr>
              <w:spacing w:after="0" w:line="240" w:lineRule="auto"/>
              <w:rPr>
                <w:rFonts w:cs="Dax-Light"/>
                <w:color w:val="000000"/>
              </w:rPr>
            </w:pPr>
            <w:r w:rsidRPr="007D59E6">
              <w:rPr>
                <w:rFonts w:ascii="Calibri" w:hAnsi="Calibri" w:cs="Calibri"/>
                <w:color w:val="000000"/>
              </w:rPr>
              <w:t>P</w:t>
            </w:r>
            <w:r w:rsidR="00CC1F17" w:rsidRPr="00CC1F17">
              <w:rPr>
                <w:rFonts w:cs="Dax-Light"/>
                <w:color w:val="000000"/>
              </w:rPr>
              <w:t>repare the annual accounts (SORP)</w:t>
            </w:r>
          </w:p>
        </w:tc>
      </w:tr>
      <w:tr w:rsidR="00CC1F17" w:rsidRPr="00CC1F17" w14:paraId="27D78CC2" w14:textId="77777777" w:rsidTr="00CC1F17">
        <w:trPr>
          <w:trHeight w:val="525"/>
        </w:trPr>
        <w:tc>
          <w:tcPr>
            <w:tcW w:w="9952" w:type="dxa"/>
            <w:tcBorders>
              <w:top w:val="nil"/>
              <w:left w:val="nil"/>
              <w:bottom w:val="nil"/>
              <w:right w:val="nil"/>
            </w:tcBorders>
            <w:shd w:val="clear" w:color="000000" w:fill="DDD9C4"/>
            <w:noWrap/>
            <w:vAlign w:val="bottom"/>
            <w:hideMark/>
          </w:tcPr>
          <w:p w14:paraId="0ECB49B6" w14:textId="3C16D0D1" w:rsidR="00CC1F17" w:rsidRPr="00CC1F17" w:rsidRDefault="007D59E6" w:rsidP="00CC1F17">
            <w:pPr>
              <w:spacing w:after="0" w:line="240" w:lineRule="auto"/>
              <w:rPr>
                <w:rFonts w:cs="Dax-Light"/>
                <w:color w:val="000000"/>
              </w:rPr>
            </w:pPr>
            <w:r w:rsidRPr="007D59E6">
              <w:rPr>
                <w:rFonts w:cs="Dax-Light"/>
                <w:color w:val="000000"/>
              </w:rPr>
              <w:t>H</w:t>
            </w:r>
            <w:r w:rsidR="00CC1F17" w:rsidRPr="00CC1F17">
              <w:rPr>
                <w:rFonts w:cs="Dax-Light"/>
                <w:color w:val="000000"/>
              </w:rPr>
              <w:t>elp the charity to claim gift aids from HMRC</w:t>
            </w:r>
          </w:p>
        </w:tc>
      </w:tr>
      <w:tr w:rsidR="00CC1F17" w:rsidRPr="00CC1F17" w14:paraId="0BE1578E" w14:textId="77777777" w:rsidTr="00CC1F17">
        <w:trPr>
          <w:trHeight w:val="525"/>
        </w:trPr>
        <w:tc>
          <w:tcPr>
            <w:tcW w:w="9952" w:type="dxa"/>
            <w:tcBorders>
              <w:top w:val="nil"/>
              <w:left w:val="nil"/>
              <w:bottom w:val="nil"/>
              <w:right w:val="nil"/>
            </w:tcBorders>
            <w:shd w:val="clear" w:color="000000" w:fill="DDD9C4"/>
            <w:noWrap/>
            <w:vAlign w:val="bottom"/>
            <w:hideMark/>
          </w:tcPr>
          <w:p w14:paraId="133FA673" w14:textId="3E088043" w:rsidR="00CC1F17" w:rsidRPr="00CC1F17" w:rsidRDefault="007D59E6" w:rsidP="00CC1F17">
            <w:pPr>
              <w:spacing w:after="0" w:line="240" w:lineRule="auto"/>
              <w:rPr>
                <w:rFonts w:cs="Dax-Light"/>
                <w:color w:val="000000"/>
              </w:rPr>
            </w:pPr>
            <w:r w:rsidRPr="007D59E6">
              <w:rPr>
                <w:rFonts w:ascii="Calibri" w:hAnsi="Calibri" w:cs="Calibri"/>
                <w:color w:val="000000"/>
              </w:rPr>
              <w:t>L</w:t>
            </w:r>
            <w:r w:rsidR="00CC1F17" w:rsidRPr="00CC1F17">
              <w:rPr>
                <w:rFonts w:cs="Dax-Light"/>
                <w:color w:val="000000"/>
              </w:rPr>
              <w:t>iaise with your Independent Examiner</w:t>
            </w:r>
          </w:p>
        </w:tc>
      </w:tr>
      <w:tr w:rsidR="00CC1F17" w:rsidRPr="00CC1F17" w14:paraId="1EF0D189" w14:textId="77777777" w:rsidTr="00CC1F17">
        <w:trPr>
          <w:trHeight w:val="525"/>
        </w:trPr>
        <w:tc>
          <w:tcPr>
            <w:tcW w:w="9952" w:type="dxa"/>
            <w:tcBorders>
              <w:top w:val="nil"/>
              <w:left w:val="nil"/>
              <w:bottom w:val="nil"/>
              <w:right w:val="nil"/>
            </w:tcBorders>
            <w:shd w:val="clear" w:color="000000" w:fill="DDD9C4"/>
            <w:noWrap/>
            <w:vAlign w:val="bottom"/>
            <w:hideMark/>
          </w:tcPr>
          <w:p w14:paraId="5EE8AAE4" w14:textId="553215D2" w:rsidR="00CC1F17" w:rsidRPr="00CC1F17" w:rsidRDefault="007D59E6" w:rsidP="00CC1F17">
            <w:pPr>
              <w:spacing w:after="0" w:line="240" w:lineRule="auto"/>
              <w:rPr>
                <w:rFonts w:cs="Dax-Light"/>
                <w:color w:val="000000"/>
              </w:rPr>
            </w:pPr>
            <w:r w:rsidRPr="007D59E6">
              <w:rPr>
                <w:rFonts w:ascii="Calibri" w:hAnsi="Calibri" w:cs="Calibri"/>
                <w:color w:val="000000"/>
              </w:rPr>
              <w:t>R</w:t>
            </w:r>
            <w:r w:rsidR="00CC1F17" w:rsidRPr="00CC1F17">
              <w:rPr>
                <w:rFonts w:cs="Dax-Light"/>
                <w:color w:val="000000"/>
              </w:rPr>
              <w:t>epresent your charity with the authorities</w:t>
            </w:r>
          </w:p>
        </w:tc>
      </w:tr>
      <w:tr w:rsidR="00CC1F17" w:rsidRPr="00CC1F17" w14:paraId="6A03C248" w14:textId="77777777" w:rsidTr="00CC1F17">
        <w:trPr>
          <w:trHeight w:val="525"/>
        </w:trPr>
        <w:tc>
          <w:tcPr>
            <w:tcW w:w="9952" w:type="dxa"/>
            <w:tcBorders>
              <w:top w:val="nil"/>
              <w:left w:val="nil"/>
              <w:bottom w:val="nil"/>
              <w:right w:val="nil"/>
            </w:tcBorders>
            <w:shd w:val="clear" w:color="000000" w:fill="DDD9C4"/>
            <w:noWrap/>
            <w:vAlign w:val="bottom"/>
            <w:hideMark/>
          </w:tcPr>
          <w:p w14:paraId="17A32D0B" w14:textId="16A3F0BE" w:rsidR="00CC1F17" w:rsidRPr="00CC1F17" w:rsidRDefault="007D59E6" w:rsidP="00CC1F17">
            <w:pPr>
              <w:spacing w:after="0" w:line="240" w:lineRule="auto"/>
              <w:rPr>
                <w:rFonts w:cs="Dax-Light"/>
                <w:color w:val="000000"/>
              </w:rPr>
            </w:pPr>
            <w:r w:rsidRPr="007D59E6">
              <w:rPr>
                <w:rFonts w:ascii="Calibri" w:hAnsi="Calibri" w:cs="Calibri"/>
                <w:color w:val="000000"/>
              </w:rPr>
              <w:t>K</w:t>
            </w:r>
            <w:r w:rsidR="00CC1F17" w:rsidRPr="00CC1F17">
              <w:rPr>
                <w:rFonts w:cs="Dax-Light"/>
                <w:color w:val="000000"/>
              </w:rPr>
              <w:t>eep track of all the deadlines, so that you don't have to</w:t>
            </w:r>
          </w:p>
        </w:tc>
      </w:tr>
      <w:tr w:rsidR="00CC1F17" w:rsidRPr="00CC1F17" w14:paraId="36CF49CF" w14:textId="77777777" w:rsidTr="00CC1F17">
        <w:trPr>
          <w:trHeight w:val="525"/>
        </w:trPr>
        <w:tc>
          <w:tcPr>
            <w:tcW w:w="9952" w:type="dxa"/>
            <w:tcBorders>
              <w:top w:val="nil"/>
              <w:left w:val="nil"/>
              <w:bottom w:val="nil"/>
              <w:right w:val="nil"/>
            </w:tcBorders>
            <w:shd w:val="clear" w:color="000000" w:fill="DDD9C4"/>
            <w:noWrap/>
            <w:vAlign w:val="bottom"/>
            <w:hideMark/>
          </w:tcPr>
          <w:p w14:paraId="2D412258" w14:textId="2A575E00" w:rsidR="00CC1F17" w:rsidRPr="00CC1F17" w:rsidRDefault="00CC1F17" w:rsidP="00CC1F17">
            <w:pPr>
              <w:spacing w:after="0" w:line="240" w:lineRule="auto"/>
              <w:rPr>
                <w:rFonts w:cs="Dax-Light"/>
                <w:color w:val="000000"/>
              </w:rPr>
            </w:pPr>
            <w:r w:rsidRPr="00CC1F17">
              <w:rPr>
                <w:rFonts w:cs="Dax-Light"/>
                <w:color w:val="000000"/>
              </w:rPr>
              <w:t>We are flexible with any extra work you require from us</w:t>
            </w:r>
          </w:p>
        </w:tc>
      </w:tr>
    </w:tbl>
    <w:p w14:paraId="7CC1541A" w14:textId="2D6E3B87" w:rsidR="00CC1F17" w:rsidRDefault="00CC1F17" w:rsidP="00CC1F17">
      <w:pPr>
        <w:rPr>
          <w:lang w:val="en-US"/>
        </w:rPr>
      </w:pPr>
    </w:p>
    <w:p w14:paraId="1729AF3F" w14:textId="4FABBF59" w:rsidR="007D59E6" w:rsidRDefault="00550904" w:rsidP="00CC1F17">
      <w:pPr>
        <w:rPr>
          <w:b/>
          <w:bCs/>
          <w:lang w:val="en-US"/>
        </w:rPr>
      </w:pPr>
      <w:r>
        <w:rPr>
          <w:b/>
          <w:bCs/>
          <w:lang w:val="en-US"/>
        </w:rPr>
        <w:t>Independent Examination:</w:t>
      </w:r>
    </w:p>
    <w:p w14:paraId="0AD89C04" w14:textId="3CD06585" w:rsidR="00550904" w:rsidRDefault="00550904" w:rsidP="00CC1F17">
      <w:pPr>
        <w:rPr>
          <w:rFonts w:cs="Dax-Light"/>
          <w:color w:val="000000"/>
        </w:rPr>
      </w:pPr>
      <w:r>
        <w:rPr>
          <w:rFonts w:cs="Dax-Light"/>
          <w:color w:val="000000"/>
        </w:rPr>
        <w:t>There are statutory thresholds which determine the type of external scrutiny which is needed for a charity’s accounts.</w:t>
      </w:r>
    </w:p>
    <w:p w14:paraId="21D37363" w14:textId="741CBBE8" w:rsidR="00550904" w:rsidRPr="00C1160F" w:rsidRDefault="00550904" w:rsidP="00CC1F17">
      <w:pPr>
        <w:rPr>
          <w:rFonts w:cs="Dax-Light"/>
          <w:color w:val="000000"/>
        </w:rPr>
      </w:pPr>
      <w:r w:rsidRPr="00C1160F">
        <w:rPr>
          <w:rFonts w:cs="Dax-Light"/>
          <w:color w:val="000000"/>
        </w:rPr>
        <w:t xml:space="preserve">Where a charity’s annual income is over £25,000, the trustees must also arrange for an independent person or accountancy firm </w:t>
      </w:r>
      <w:r w:rsidR="00C1160F" w:rsidRPr="00C1160F">
        <w:rPr>
          <w:rFonts w:cs="Dax-Light"/>
          <w:color w:val="000000"/>
        </w:rPr>
        <w:t xml:space="preserve">holding a practising certificate </w:t>
      </w:r>
      <w:r w:rsidRPr="00C1160F">
        <w:rPr>
          <w:rFonts w:cs="Dax-Light"/>
          <w:color w:val="000000"/>
        </w:rPr>
        <w:t>to carry out either an audit or an independent examination of their charity’s accounts. The purpose of this is to give the charity’s trustees, supporters, beneficiaries and the wider public, some independent assurance that the charity’s money has been properly accounted for and accounting records kept.</w:t>
      </w:r>
    </w:p>
    <w:p w14:paraId="012D6B58" w14:textId="54E254AB" w:rsidR="00550904" w:rsidRPr="00C1160F" w:rsidRDefault="00550904" w:rsidP="00CC1F17">
      <w:pPr>
        <w:rPr>
          <w:rFonts w:cs="Dax-Light"/>
          <w:color w:val="000000"/>
        </w:rPr>
      </w:pPr>
      <w:r w:rsidRPr="00C1160F">
        <w:rPr>
          <w:rFonts w:cs="Dax-Light"/>
          <w:color w:val="000000"/>
        </w:rPr>
        <w:lastRenderedPageBreak/>
        <w:t>Independent examination is a ‘light touch’ scrutiny involving the examiner checking for specific matters only.</w:t>
      </w:r>
    </w:p>
    <w:p w14:paraId="5E175B1E" w14:textId="4C92AE20" w:rsidR="00550904" w:rsidRPr="00550904" w:rsidRDefault="00550904" w:rsidP="00550904">
      <w:pPr>
        <w:shd w:val="clear" w:color="auto" w:fill="FFFFFF"/>
        <w:spacing w:before="300" w:after="300" w:line="240" w:lineRule="auto"/>
        <w:rPr>
          <w:rFonts w:cs="Dax-Light"/>
          <w:color w:val="000000"/>
        </w:rPr>
      </w:pPr>
      <w:r w:rsidRPr="00550904">
        <w:rPr>
          <w:rFonts w:cs="Dax-Light"/>
          <w:color w:val="000000"/>
        </w:rPr>
        <w:t>The trustees will usually be able to choose an independent examination instead of an audit if your charity’s gross income is:</w:t>
      </w:r>
    </w:p>
    <w:p w14:paraId="410F6976" w14:textId="77777777" w:rsidR="00550904" w:rsidRPr="00550904" w:rsidRDefault="00550904" w:rsidP="00550904">
      <w:pPr>
        <w:numPr>
          <w:ilvl w:val="0"/>
          <w:numId w:val="1"/>
        </w:numPr>
        <w:shd w:val="clear" w:color="auto" w:fill="FFFFFF"/>
        <w:spacing w:after="75" w:line="240" w:lineRule="auto"/>
        <w:ind w:left="1020"/>
        <w:rPr>
          <w:rFonts w:cs="Dax-Light"/>
          <w:color w:val="000000"/>
        </w:rPr>
      </w:pPr>
      <w:r w:rsidRPr="00550904">
        <w:rPr>
          <w:rFonts w:cs="Dax-Light"/>
          <w:color w:val="000000"/>
        </w:rPr>
        <w:t>more than £25,000, but not more than £1 million, provided that</w:t>
      </w:r>
    </w:p>
    <w:p w14:paraId="074DB7D3" w14:textId="77777777" w:rsidR="00550904" w:rsidRPr="00550904" w:rsidRDefault="00550904" w:rsidP="00550904">
      <w:pPr>
        <w:numPr>
          <w:ilvl w:val="0"/>
          <w:numId w:val="1"/>
        </w:numPr>
        <w:shd w:val="clear" w:color="auto" w:fill="FFFFFF"/>
        <w:spacing w:after="75" w:line="240" w:lineRule="auto"/>
        <w:ind w:left="1020"/>
        <w:rPr>
          <w:rFonts w:cs="Dax-Light"/>
          <w:color w:val="000000"/>
        </w:rPr>
      </w:pPr>
      <w:r w:rsidRPr="00550904">
        <w:rPr>
          <w:rFonts w:cs="Dax-Light"/>
          <w:color w:val="000000"/>
        </w:rPr>
        <w:t>if its gross income is more than £250,000, its gross assets (fixed assets plus current assets) are £3.26 million or less</w:t>
      </w:r>
    </w:p>
    <w:p w14:paraId="66E4556C" w14:textId="50E184F9" w:rsidR="00550904" w:rsidRDefault="00550904" w:rsidP="00CC1F17">
      <w:pPr>
        <w:rPr>
          <w:rFonts w:cs="Dax-Light"/>
          <w:color w:val="000000"/>
        </w:rPr>
      </w:pPr>
    </w:p>
    <w:p w14:paraId="76B725C9" w14:textId="3207E2A5" w:rsidR="00C1160F" w:rsidRPr="00C1160F" w:rsidRDefault="00C1160F" w:rsidP="00CC1F17">
      <w:pPr>
        <w:rPr>
          <w:rFonts w:cs="Dax-Light"/>
          <w:color w:val="000000"/>
        </w:rPr>
      </w:pPr>
      <w:r>
        <w:rPr>
          <w:rFonts w:cs="Dax-Light"/>
          <w:color w:val="000000"/>
        </w:rPr>
        <w:t>At Venusia Ltd, we provide an independent examination of the Charity’s accounts. In particular we:</w:t>
      </w:r>
    </w:p>
    <w:tbl>
      <w:tblPr>
        <w:tblW w:w="10205" w:type="dxa"/>
        <w:tblLook w:val="04A0" w:firstRow="1" w:lastRow="0" w:firstColumn="1" w:lastColumn="0" w:noHBand="0" w:noVBand="1"/>
      </w:tblPr>
      <w:tblGrid>
        <w:gridCol w:w="266"/>
        <w:gridCol w:w="10121"/>
      </w:tblGrid>
      <w:tr w:rsidR="00C1160F" w:rsidRPr="00C1160F" w14:paraId="0D19BFD8" w14:textId="77777777" w:rsidTr="00C1160F">
        <w:trPr>
          <w:trHeight w:val="525"/>
        </w:trPr>
        <w:tc>
          <w:tcPr>
            <w:tcW w:w="10205" w:type="dxa"/>
            <w:gridSpan w:val="2"/>
            <w:tcBorders>
              <w:top w:val="nil"/>
              <w:left w:val="nil"/>
              <w:bottom w:val="nil"/>
              <w:right w:val="nil"/>
            </w:tcBorders>
            <w:shd w:val="clear" w:color="000000" w:fill="DDD9C4"/>
            <w:noWrap/>
            <w:vAlign w:val="bottom"/>
          </w:tcPr>
          <w:p w14:paraId="48C01CB2" w14:textId="738E9CEB" w:rsidR="00C1160F" w:rsidRPr="00C1160F" w:rsidRDefault="00C1160F" w:rsidP="00C1160F">
            <w:pPr>
              <w:spacing w:after="0" w:line="240" w:lineRule="auto"/>
              <w:rPr>
                <w:rFonts w:cs="Dax-Light"/>
                <w:color w:val="000000"/>
              </w:rPr>
            </w:pPr>
          </w:p>
        </w:tc>
      </w:tr>
      <w:tr w:rsidR="00C1160F" w:rsidRPr="00C1160F" w14:paraId="77FF91B2" w14:textId="77777777" w:rsidTr="00C1160F">
        <w:trPr>
          <w:trHeight w:val="525"/>
        </w:trPr>
        <w:tc>
          <w:tcPr>
            <w:tcW w:w="10205" w:type="dxa"/>
            <w:gridSpan w:val="2"/>
            <w:tcBorders>
              <w:top w:val="nil"/>
              <w:left w:val="nil"/>
              <w:bottom w:val="nil"/>
              <w:right w:val="nil"/>
            </w:tcBorders>
            <w:shd w:val="clear" w:color="000000" w:fill="DDD9C4"/>
            <w:noWrap/>
            <w:vAlign w:val="bottom"/>
            <w:hideMark/>
          </w:tcPr>
          <w:p w14:paraId="2FE17984" w14:textId="64407564" w:rsidR="00C1160F" w:rsidRPr="00C1160F" w:rsidRDefault="00C1160F" w:rsidP="00C1160F">
            <w:pPr>
              <w:spacing w:after="0" w:line="240" w:lineRule="auto"/>
              <w:rPr>
                <w:rFonts w:cs="Dax-Light"/>
                <w:color w:val="000000"/>
              </w:rPr>
            </w:pPr>
            <w:r w:rsidRPr="00C1160F">
              <w:rPr>
                <w:rFonts w:cs="Dax-Light"/>
                <w:color w:val="000000"/>
              </w:rPr>
              <w:t>Liais</w:t>
            </w:r>
            <w:r>
              <w:rPr>
                <w:rFonts w:cs="Dax-Light"/>
                <w:color w:val="000000"/>
              </w:rPr>
              <w:t>e</w:t>
            </w:r>
            <w:r w:rsidRPr="00C1160F">
              <w:rPr>
                <w:rFonts w:cs="Dax-Light"/>
                <w:color w:val="000000"/>
              </w:rPr>
              <w:t xml:space="preserve"> with the Charity accountant / bookkeeper to get the information required for the examination</w:t>
            </w:r>
          </w:p>
        </w:tc>
      </w:tr>
      <w:tr w:rsidR="00C1160F" w:rsidRPr="00C1160F" w14:paraId="490B3785" w14:textId="77777777" w:rsidTr="00C1160F">
        <w:trPr>
          <w:trHeight w:val="525"/>
        </w:trPr>
        <w:tc>
          <w:tcPr>
            <w:tcW w:w="84" w:type="dxa"/>
            <w:tcBorders>
              <w:top w:val="nil"/>
              <w:left w:val="nil"/>
              <w:bottom w:val="nil"/>
              <w:right w:val="nil"/>
            </w:tcBorders>
            <w:shd w:val="clear" w:color="000000" w:fill="DDD9C4"/>
            <w:noWrap/>
            <w:vAlign w:val="bottom"/>
            <w:hideMark/>
          </w:tcPr>
          <w:p w14:paraId="22854437" w14:textId="77777777" w:rsidR="00C1160F" w:rsidRPr="00C1160F" w:rsidRDefault="00C1160F" w:rsidP="00C1160F">
            <w:pPr>
              <w:spacing w:after="0" w:line="240" w:lineRule="auto"/>
              <w:rPr>
                <w:rFonts w:cs="Dax-Light"/>
                <w:color w:val="000000"/>
              </w:rPr>
            </w:pPr>
            <w:r w:rsidRPr="00C1160F">
              <w:rPr>
                <w:rFonts w:cs="Dax-Light"/>
                <w:color w:val="000000"/>
              </w:rPr>
              <w:t> </w:t>
            </w:r>
          </w:p>
        </w:tc>
        <w:tc>
          <w:tcPr>
            <w:tcW w:w="10121" w:type="dxa"/>
            <w:tcBorders>
              <w:top w:val="nil"/>
              <w:left w:val="nil"/>
              <w:bottom w:val="nil"/>
              <w:right w:val="nil"/>
            </w:tcBorders>
            <w:shd w:val="clear" w:color="000000" w:fill="DDD9C4"/>
            <w:noWrap/>
            <w:vAlign w:val="bottom"/>
            <w:hideMark/>
          </w:tcPr>
          <w:p w14:paraId="31BFCE61" w14:textId="77777777" w:rsidR="00707C18" w:rsidRDefault="00707C18" w:rsidP="00C1160F">
            <w:pPr>
              <w:spacing w:after="0" w:line="240" w:lineRule="auto"/>
              <w:rPr>
                <w:rFonts w:cs="Dax-Light"/>
                <w:color w:val="000000"/>
              </w:rPr>
            </w:pPr>
          </w:p>
          <w:p w14:paraId="6D96B0D8" w14:textId="1E515893" w:rsidR="00C1160F" w:rsidRPr="00C1160F" w:rsidRDefault="00C1160F" w:rsidP="00C1160F">
            <w:pPr>
              <w:spacing w:after="0" w:line="240" w:lineRule="auto"/>
              <w:rPr>
                <w:rFonts w:cs="Dax-Light"/>
                <w:color w:val="000000"/>
              </w:rPr>
            </w:pPr>
            <w:r w:rsidRPr="00C1160F">
              <w:rPr>
                <w:rFonts w:cs="Dax-Light"/>
                <w:color w:val="000000"/>
              </w:rPr>
              <w:t>All the accounts in the balance sheets are reviewed, especially the opening and closing balances of the bank accounts</w:t>
            </w:r>
          </w:p>
        </w:tc>
      </w:tr>
      <w:tr w:rsidR="00C1160F" w:rsidRPr="00C1160F" w14:paraId="62102A16" w14:textId="77777777" w:rsidTr="00C1160F">
        <w:trPr>
          <w:trHeight w:val="525"/>
        </w:trPr>
        <w:tc>
          <w:tcPr>
            <w:tcW w:w="84" w:type="dxa"/>
            <w:tcBorders>
              <w:top w:val="nil"/>
              <w:left w:val="nil"/>
              <w:bottom w:val="nil"/>
              <w:right w:val="nil"/>
            </w:tcBorders>
            <w:shd w:val="clear" w:color="000000" w:fill="DDD9C4"/>
            <w:noWrap/>
            <w:vAlign w:val="bottom"/>
            <w:hideMark/>
          </w:tcPr>
          <w:p w14:paraId="4E5DB644" w14:textId="77777777" w:rsidR="00C1160F" w:rsidRPr="00C1160F" w:rsidRDefault="00C1160F" w:rsidP="00C1160F">
            <w:pPr>
              <w:spacing w:after="0" w:line="240" w:lineRule="auto"/>
              <w:rPr>
                <w:rFonts w:cs="Dax-Light"/>
                <w:color w:val="000000"/>
              </w:rPr>
            </w:pPr>
            <w:r w:rsidRPr="00C1160F">
              <w:rPr>
                <w:rFonts w:cs="Dax-Light"/>
                <w:color w:val="000000"/>
              </w:rPr>
              <w:t> </w:t>
            </w:r>
          </w:p>
        </w:tc>
        <w:tc>
          <w:tcPr>
            <w:tcW w:w="10121" w:type="dxa"/>
            <w:tcBorders>
              <w:top w:val="nil"/>
              <w:left w:val="nil"/>
              <w:bottom w:val="nil"/>
              <w:right w:val="nil"/>
            </w:tcBorders>
            <w:shd w:val="clear" w:color="000000" w:fill="DDD9C4"/>
            <w:noWrap/>
            <w:vAlign w:val="bottom"/>
            <w:hideMark/>
          </w:tcPr>
          <w:p w14:paraId="7C263D72" w14:textId="265D23F3" w:rsidR="00C1160F" w:rsidRPr="00C1160F" w:rsidRDefault="00C1160F" w:rsidP="00C1160F">
            <w:pPr>
              <w:spacing w:after="0" w:line="240" w:lineRule="auto"/>
              <w:rPr>
                <w:rFonts w:cs="Dax-Light"/>
                <w:color w:val="000000"/>
              </w:rPr>
            </w:pPr>
            <w:r w:rsidRPr="00C1160F">
              <w:rPr>
                <w:rFonts w:cs="Dax-Light"/>
                <w:color w:val="000000"/>
              </w:rPr>
              <w:t>The revenue is checked against the relevant grants applications and paperwork</w:t>
            </w:r>
          </w:p>
        </w:tc>
      </w:tr>
      <w:tr w:rsidR="00C1160F" w:rsidRPr="00C1160F" w14:paraId="5C3C7704" w14:textId="77777777" w:rsidTr="00C1160F">
        <w:trPr>
          <w:trHeight w:val="525"/>
        </w:trPr>
        <w:tc>
          <w:tcPr>
            <w:tcW w:w="84" w:type="dxa"/>
            <w:tcBorders>
              <w:top w:val="nil"/>
              <w:left w:val="nil"/>
              <w:bottom w:val="nil"/>
              <w:right w:val="nil"/>
            </w:tcBorders>
            <w:shd w:val="clear" w:color="000000" w:fill="DDD9C4"/>
            <w:noWrap/>
            <w:vAlign w:val="bottom"/>
            <w:hideMark/>
          </w:tcPr>
          <w:p w14:paraId="212B6895" w14:textId="77777777" w:rsidR="00C1160F" w:rsidRPr="00C1160F" w:rsidRDefault="00C1160F" w:rsidP="00C1160F">
            <w:pPr>
              <w:spacing w:after="0" w:line="240" w:lineRule="auto"/>
              <w:rPr>
                <w:rFonts w:cs="Dax-Light"/>
                <w:color w:val="000000"/>
              </w:rPr>
            </w:pPr>
            <w:r w:rsidRPr="00C1160F">
              <w:rPr>
                <w:rFonts w:cs="Dax-Light"/>
                <w:color w:val="000000"/>
              </w:rPr>
              <w:t> </w:t>
            </w:r>
          </w:p>
        </w:tc>
        <w:tc>
          <w:tcPr>
            <w:tcW w:w="10121" w:type="dxa"/>
            <w:tcBorders>
              <w:top w:val="nil"/>
              <w:left w:val="nil"/>
              <w:bottom w:val="nil"/>
              <w:right w:val="nil"/>
            </w:tcBorders>
            <w:shd w:val="clear" w:color="000000" w:fill="DDD9C4"/>
            <w:noWrap/>
            <w:vAlign w:val="bottom"/>
            <w:hideMark/>
          </w:tcPr>
          <w:p w14:paraId="1957E6C3" w14:textId="5E38EA68" w:rsidR="00C1160F" w:rsidRPr="00C1160F" w:rsidRDefault="00C1160F" w:rsidP="00C1160F">
            <w:pPr>
              <w:spacing w:after="0" w:line="240" w:lineRule="auto"/>
              <w:rPr>
                <w:rFonts w:cs="Dax-Light"/>
                <w:color w:val="000000"/>
              </w:rPr>
            </w:pPr>
            <w:r w:rsidRPr="00C1160F">
              <w:rPr>
                <w:rFonts w:cs="Dax-Light"/>
                <w:color w:val="000000"/>
              </w:rPr>
              <w:t>The expenses are reviewed based on invoices and receipts</w:t>
            </w:r>
          </w:p>
        </w:tc>
      </w:tr>
      <w:tr w:rsidR="00C1160F" w:rsidRPr="00C1160F" w14:paraId="6E901E42" w14:textId="77777777" w:rsidTr="00C1160F">
        <w:trPr>
          <w:trHeight w:val="525"/>
        </w:trPr>
        <w:tc>
          <w:tcPr>
            <w:tcW w:w="84" w:type="dxa"/>
            <w:tcBorders>
              <w:top w:val="nil"/>
              <w:left w:val="nil"/>
              <w:bottom w:val="nil"/>
              <w:right w:val="nil"/>
            </w:tcBorders>
            <w:shd w:val="clear" w:color="000000" w:fill="DDD9C4"/>
            <w:noWrap/>
            <w:vAlign w:val="bottom"/>
            <w:hideMark/>
          </w:tcPr>
          <w:p w14:paraId="16AECCCA" w14:textId="77777777" w:rsidR="00C1160F" w:rsidRPr="00C1160F" w:rsidRDefault="00C1160F" w:rsidP="00C1160F">
            <w:pPr>
              <w:spacing w:after="0" w:line="240" w:lineRule="auto"/>
              <w:rPr>
                <w:rFonts w:cs="Dax-Light"/>
                <w:color w:val="000000"/>
              </w:rPr>
            </w:pPr>
            <w:r w:rsidRPr="00C1160F">
              <w:rPr>
                <w:rFonts w:cs="Dax-Light"/>
                <w:color w:val="000000"/>
              </w:rPr>
              <w:t> </w:t>
            </w:r>
          </w:p>
        </w:tc>
        <w:tc>
          <w:tcPr>
            <w:tcW w:w="10121" w:type="dxa"/>
            <w:tcBorders>
              <w:top w:val="nil"/>
              <w:left w:val="nil"/>
              <w:bottom w:val="nil"/>
              <w:right w:val="nil"/>
            </w:tcBorders>
            <w:shd w:val="clear" w:color="000000" w:fill="DDD9C4"/>
            <w:noWrap/>
            <w:vAlign w:val="bottom"/>
            <w:hideMark/>
          </w:tcPr>
          <w:p w14:paraId="4AF33048" w14:textId="48857C69" w:rsidR="00C1160F" w:rsidRPr="00C1160F" w:rsidRDefault="00C1160F" w:rsidP="00C1160F">
            <w:pPr>
              <w:spacing w:after="0" w:line="240" w:lineRule="auto"/>
              <w:rPr>
                <w:rFonts w:cs="Dax-Light"/>
                <w:color w:val="000000"/>
              </w:rPr>
            </w:pPr>
            <w:r w:rsidRPr="00C1160F">
              <w:rPr>
                <w:rFonts w:cs="Dax-Light"/>
                <w:color w:val="000000"/>
              </w:rPr>
              <w:t>The materiality of the transactions are appreciated</w:t>
            </w:r>
          </w:p>
        </w:tc>
      </w:tr>
      <w:tr w:rsidR="00C1160F" w:rsidRPr="00C1160F" w14:paraId="6DA72E2F" w14:textId="77777777" w:rsidTr="00C1160F">
        <w:trPr>
          <w:trHeight w:val="570"/>
        </w:trPr>
        <w:tc>
          <w:tcPr>
            <w:tcW w:w="10205" w:type="dxa"/>
            <w:gridSpan w:val="2"/>
            <w:tcBorders>
              <w:top w:val="nil"/>
              <w:left w:val="nil"/>
              <w:bottom w:val="nil"/>
              <w:right w:val="nil"/>
            </w:tcBorders>
            <w:shd w:val="clear" w:color="000000" w:fill="DDD9C4"/>
            <w:noWrap/>
            <w:vAlign w:val="bottom"/>
            <w:hideMark/>
          </w:tcPr>
          <w:p w14:paraId="33B9B5F8" w14:textId="77777777" w:rsidR="00707C18" w:rsidRDefault="00707C18" w:rsidP="00C1160F">
            <w:pPr>
              <w:spacing w:after="0" w:line="240" w:lineRule="auto"/>
              <w:rPr>
                <w:rFonts w:ascii="Calibri" w:hAnsi="Calibri" w:cs="Calibri"/>
                <w:color w:val="000000"/>
              </w:rPr>
            </w:pPr>
          </w:p>
          <w:p w14:paraId="29E5BD98" w14:textId="7686C8E7" w:rsidR="00C1160F" w:rsidRPr="00C1160F" w:rsidRDefault="00C1160F" w:rsidP="00C1160F">
            <w:pPr>
              <w:spacing w:after="0" w:line="240" w:lineRule="auto"/>
              <w:rPr>
                <w:rFonts w:cs="Dax-Light"/>
                <w:color w:val="000000"/>
              </w:rPr>
            </w:pPr>
            <w:r w:rsidRPr="00C1160F">
              <w:rPr>
                <w:rFonts w:cs="Dax-Light"/>
                <w:color w:val="000000"/>
              </w:rPr>
              <w:t>The Independent Examination is sanctioned with a report submitted to the Trustees to be included in the Trustees Annual Report</w:t>
            </w:r>
          </w:p>
        </w:tc>
      </w:tr>
    </w:tbl>
    <w:p w14:paraId="1C08F8CE" w14:textId="1F3DAA04" w:rsidR="00C1160F" w:rsidRPr="00C1160F" w:rsidRDefault="00C1160F" w:rsidP="00CC1F17">
      <w:pPr>
        <w:rPr>
          <w:rFonts w:cs="Dax-Light"/>
          <w:color w:val="000000"/>
        </w:rPr>
      </w:pPr>
    </w:p>
    <w:p w14:paraId="1BB01141" w14:textId="1AA9F483" w:rsidR="00C1160F" w:rsidRDefault="00707C18" w:rsidP="00CC1F17">
      <w:pPr>
        <w:rPr>
          <w:rFonts w:cs="Dax-Light"/>
          <w:b/>
          <w:bCs/>
          <w:color w:val="000000"/>
        </w:rPr>
      </w:pPr>
      <w:r w:rsidRPr="00707C18">
        <w:rPr>
          <w:rFonts w:cs="Dax-Light"/>
          <w:b/>
          <w:bCs/>
          <w:color w:val="000000"/>
        </w:rPr>
        <w:t>CIC:</w:t>
      </w:r>
    </w:p>
    <w:p w14:paraId="05161325" w14:textId="5BE99A9C" w:rsidR="00707C18" w:rsidRPr="00D22885" w:rsidRDefault="00D22885" w:rsidP="00CC1F17">
      <w:pPr>
        <w:rPr>
          <w:rFonts w:cs="Dax-Light"/>
          <w:color w:val="000000"/>
        </w:rPr>
      </w:pPr>
      <w:r w:rsidRPr="00D22885">
        <w:rPr>
          <w:rFonts w:cs="Dax-Light"/>
          <w:color w:val="000000"/>
        </w:rPr>
        <w:t>A CIC is a special type of limited company which exists to benefit the community rather than private shareholders</w:t>
      </w:r>
      <w:r w:rsidRPr="00D22885">
        <w:rPr>
          <w:rFonts w:cs="Dax-Light"/>
          <w:color w:val="000000"/>
        </w:rPr>
        <w:t xml:space="preserve"> and is regulated by:</w:t>
      </w:r>
    </w:p>
    <w:p w14:paraId="0E83E0A6" w14:textId="77777777" w:rsidR="00D22885" w:rsidRPr="00D22885" w:rsidRDefault="00D22885" w:rsidP="00D22885">
      <w:pPr>
        <w:pStyle w:val="NormalWeb"/>
        <w:numPr>
          <w:ilvl w:val="0"/>
          <w:numId w:val="2"/>
        </w:numPr>
        <w:shd w:val="clear" w:color="auto" w:fill="FFFFFF"/>
        <w:spacing w:before="0" w:beforeAutospacing="0" w:after="0" w:afterAutospacing="0"/>
        <w:ind w:left="1020"/>
        <w:rPr>
          <w:rFonts w:asciiTheme="minorHAnsi" w:eastAsiaTheme="minorHAnsi" w:hAnsiTheme="minorHAnsi" w:cs="Dax-Light"/>
          <w:color w:val="000000"/>
          <w:sz w:val="22"/>
          <w:szCs w:val="22"/>
          <w:lang w:eastAsia="en-US"/>
        </w:rPr>
      </w:pPr>
      <w:r w:rsidRPr="00D22885">
        <w:rPr>
          <w:rFonts w:asciiTheme="minorHAnsi" w:eastAsiaTheme="minorHAnsi" w:hAnsiTheme="minorHAnsi" w:cs="Dax-Light"/>
          <w:color w:val="000000"/>
          <w:sz w:val="22"/>
          <w:szCs w:val="22"/>
          <w:lang w:eastAsia="en-US"/>
        </w:rPr>
        <w:t>Companies House</w:t>
      </w:r>
    </w:p>
    <w:p w14:paraId="744DFB32" w14:textId="77777777" w:rsidR="00D22885" w:rsidRPr="00D22885" w:rsidRDefault="00D22885" w:rsidP="00D22885">
      <w:pPr>
        <w:pStyle w:val="NormalWeb"/>
        <w:numPr>
          <w:ilvl w:val="0"/>
          <w:numId w:val="2"/>
        </w:numPr>
        <w:shd w:val="clear" w:color="auto" w:fill="FFFFFF"/>
        <w:spacing w:before="0" w:beforeAutospacing="0" w:after="0" w:afterAutospacing="0"/>
        <w:ind w:left="1020"/>
        <w:rPr>
          <w:rFonts w:asciiTheme="minorHAnsi" w:eastAsiaTheme="minorHAnsi" w:hAnsiTheme="minorHAnsi" w:cs="Dax-Light"/>
          <w:color w:val="000000"/>
          <w:sz w:val="22"/>
          <w:szCs w:val="22"/>
          <w:lang w:eastAsia="en-US"/>
        </w:rPr>
      </w:pPr>
      <w:r w:rsidRPr="00D22885">
        <w:rPr>
          <w:rFonts w:asciiTheme="minorHAnsi" w:eastAsiaTheme="minorHAnsi" w:hAnsiTheme="minorHAnsi" w:cs="Dax-Light"/>
          <w:color w:val="000000"/>
          <w:sz w:val="22"/>
          <w:szCs w:val="22"/>
          <w:lang w:eastAsia="en-US"/>
        </w:rPr>
        <w:t>HMRC</w:t>
      </w:r>
    </w:p>
    <w:p w14:paraId="6EAAA486" w14:textId="77777777" w:rsidR="00D22885" w:rsidRPr="00D22885" w:rsidRDefault="00D22885" w:rsidP="00D22885">
      <w:pPr>
        <w:pStyle w:val="NormalWeb"/>
        <w:numPr>
          <w:ilvl w:val="0"/>
          <w:numId w:val="2"/>
        </w:numPr>
        <w:shd w:val="clear" w:color="auto" w:fill="FFFFFF"/>
        <w:spacing w:before="0" w:beforeAutospacing="0" w:after="0" w:afterAutospacing="0"/>
        <w:ind w:left="1020"/>
        <w:rPr>
          <w:rFonts w:asciiTheme="minorHAnsi" w:eastAsiaTheme="minorHAnsi" w:hAnsiTheme="minorHAnsi" w:cs="Dax-Light"/>
          <w:color w:val="000000"/>
          <w:sz w:val="22"/>
          <w:szCs w:val="22"/>
          <w:lang w:eastAsia="en-US"/>
        </w:rPr>
      </w:pPr>
      <w:r w:rsidRPr="00D22885">
        <w:rPr>
          <w:rFonts w:asciiTheme="minorHAnsi" w:eastAsiaTheme="minorHAnsi" w:hAnsiTheme="minorHAnsi" w:cs="Dax-Light"/>
          <w:color w:val="000000"/>
          <w:sz w:val="22"/>
          <w:szCs w:val="22"/>
          <w:lang w:eastAsia="en-US"/>
        </w:rPr>
        <w:t>The Office of the Regulator of Community Interest Companies</w:t>
      </w:r>
    </w:p>
    <w:p w14:paraId="2BDD3355" w14:textId="30E2378F" w:rsidR="00D22885" w:rsidRPr="00D22885" w:rsidRDefault="00D22885" w:rsidP="00CC1F17">
      <w:pPr>
        <w:rPr>
          <w:rFonts w:cs="Dax-Light"/>
          <w:color w:val="000000"/>
        </w:rPr>
      </w:pPr>
    </w:p>
    <w:p w14:paraId="7943C254" w14:textId="77777777" w:rsidR="00D22885" w:rsidRDefault="00D22885" w:rsidP="00CC1F17">
      <w:pPr>
        <w:rPr>
          <w:rFonts w:cs="Dax-Light"/>
          <w:color w:val="000000"/>
        </w:rPr>
      </w:pPr>
      <w:r w:rsidRPr="00D22885">
        <w:rPr>
          <w:rFonts w:cs="Dax-Light"/>
          <w:color w:val="000000"/>
        </w:rPr>
        <w:t>Although a CIC is a social enterprise, the reporting and filing follow the same principal as a Limited company. A members’ report also needs to be provided.</w:t>
      </w:r>
    </w:p>
    <w:p w14:paraId="717A3A05" w14:textId="05CC1170" w:rsidR="00D22885" w:rsidRPr="00D22885" w:rsidRDefault="00D22885" w:rsidP="00CC1F17">
      <w:pPr>
        <w:rPr>
          <w:rFonts w:cs="Dax-Light"/>
          <w:color w:val="000000"/>
        </w:rPr>
      </w:pPr>
      <w:r>
        <w:rPr>
          <w:rFonts w:cs="Dax-Light"/>
          <w:color w:val="000000"/>
        </w:rPr>
        <w:t xml:space="preserve">As such we can help </w:t>
      </w:r>
      <w:r w:rsidR="006C56BF">
        <w:rPr>
          <w:rFonts w:cs="Dax-Light"/>
          <w:color w:val="000000"/>
        </w:rPr>
        <w:t>your</w:t>
      </w:r>
      <w:r>
        <w:rPr>
          <w:rFonts w:cs="Dax-Light"/>
          <w:color w:val="000000"/>
        </w:rPr>
        <w:t xml:space="preserve"> Community Interest Company by: </w:t>
      </w:r>
    </w:p>
    <w:tbl>
      <w:tblPr>
        <w:tblW w:w="9952" w:type="dxa"/>
        <w:tblLook w:val="04A0" w:firstRow="1" w:lastRow="0" w:firstColumn="1" w:lastColumn="0" w:noHBand="0" w:noVBand="1"/>
      </w:tblPr>
      <w:tblGrid>
        <w:gridCol w:w="9952"/>
      </w:tblGrid>
      <w:tr w:rsidR="00D22885" w:rsidRPr="00D22885" w14:paraId="31BB020B" w14:textId="77777777" w:rsidTr="00D22885">
        <w:trPr>
          <w:trHeight w:val="525"/>
        </w:trPr>
        <w:tc>
          <w:tcPr>
            <w:tcW w:w="9952" w:type="dxa"/>
            <w:tcBorders>
              <w:top w:val="nil"/>
              <w:left w:val="nil"/>
              <w:bottom w:val="nil"/>
              <w:right w:val="nil"/>
            </w:tcBorders>
            <w:shd w:val="clear" w:color="000000" w:fill="DDD9C4"/>
            <w:noWrap/>
            <w:vAlign w:val="bottom"/>
            <w:hideMark/>
          </w:tcPr>
          <w:p w14:paraId="67AB4D22" w14:textId="47A9665E" w:rsidR="00D22885" w:rsidRPr="00D22885" w:rsidRDefault="00D22885" w:rsidP="00D22885">
            <w:pPr>
              <w:spacing w:after="0" w:line="240" w:lineRule="auto"/>
              <w:rPr>
                <w:rFonts w:cs="Dax-Light"/>
                <w:color w:val="000000"/>
              </w:rPr>
            </w:pPr>
            <w:r>
              <w:rPr>
                <w:rFonts w:ascii="Calibri" w:hAnsi="Calibri" w:cs="Calibri"/>
                <w:color w:val="000000"/>
              </w:rPr>
              <w:t>F</w:t>
            </w:r>
            <w:r w:rsidRPr="00D22885">
              <w:rPr>
                <w:rFonts w:cs="Dax-Light"/>
                <w:color w:val="000000"/>
              </w:rPr>
              <w:t>il</w:t>
            </w:r>
            <w:r>
              <w:rPr>
                <w:rFonts w:cs="Dax-Light"/>
                <w:color w:val="000000"/>
              </w:rPr>
              <w:t>ing</w:t>
            </w:r>
            <w:r w:rsidRPr="00D22885">
              <w:rPr>
                <w:rFonts w:cs="Dax-Light"/>
                <w:color w:val="000000"/>
              </w:rPr>
              <w:t xml:space="preserve"> the Confirmation Statement </w:t>
            </w:r>
            <w:r>
              <w:rPr>
                <w:rFonts w:cs="Dax-Light"/>
                <w:color w:val="000000"/>
              </w:rPr>
              <w:t>with</w:t>
            </w:r>
            <w:r w:rsidRPr="00D22885">
              <w:rPr>
                <w:rFonts w:cs="Dax-Light"/>
                <w:color w:val="000000"/>
              </w:rPr>
              <w:t xml:space="preserve"> Companies House on your behalf</w:t>
            </w:r>
          </w:p>
        </w:tc>
      </w:tr>
      <w:tr w:rsidR="00D22885" w:rsidRPr="00D22885" w14:paraId="31AD8C00" w14:textId="77777777" w:rsidTr="00D22885">
        <w:trPr>
          <w:trHeight w:val="525"/>
        </w:trPr>
        <w:tc>
          <w:tcPr>
            <w:tcW w:w="9952" w:type="dxa"/>
            <w:tcBorders>
              <w:top w:val="nil"/>
              <w:left w:val="nil"/>
              <w:bottom w:val="nil"/>
              <w:right w:val="nil"/>
            </w:tcBorders>
            <w:shd w:val="clear" w:color="000000" w:fill="DDD9C4"/>
            <w:noWrap/>
            <w:vAlign w:val="bottom"/>
            <w:hideMark/>
          </w:tcPr>
          <w:p w14:paraId="6E4A4107" w14:textId="6A949327" w:rsidR="00D22885" w:rsidRPr="00D22885" w:rsidRDefault="00D22885" w:rsidP="00D22885">
            <w:pPr>
              <w:spacing w:after="0" w:line="240" w:lineRule="auto"/>
              <w:rPr>
                <w:rFonts w:cs="Dax-Light"/>
                <w:color w:val="000000"/>
              </w:rPr>
            </w:pPr>
            <w:r>
              <w:rPr>
                <w:rFonts w:cs="Dax-Light"/>
                <w:color w:val="000000"/>
              </w:rPr>
              <w:t>P</w:t>
            </w:r>
            <w:r w:rsidRPr="00D22885">
              <w:rPr>
                <w:rFonts w:cs="Dax-Light"/>
                <w:color w:val="000000"/>
              </w:rPr>
              <w:t>repar</w:t>
            </w:r>
            <w:r>
              <w:rPr>
                <w:rFonts w:cs="Dax-Light"/>
                <w:color w:val="000000"/>
              </w:rPr>
              <w:t>ing</w:t>
            </w:r>
            <w:r w:rsidRPr="00D22885">
              <w:rPr>
                <w:rFonts w:cs="Dax-Light"/>
                <w:color w:val="000000"/>
              </w:rPr>
              <w:t xml:space="preserve"> the payroll if needed</w:t>
            </w:r>
          </w:p>
        </w:tc>
      </w:tr>
      <w:tr w:rsidR="00D22885" w:rsidRPr="00D22885" w14:paraId="6AD55FFC" w14:textId="77777777" w:rsidTr="00D22885">
        <w:trPr>
          <w:trHeight w:val="525"/>
        </w:trPr>
        <w:tc>
          <w:tcPr>
            <w:tcW w:w="9952" w:type="dxa"/>
            <w:tcBorders>
              <w:top w:val="nil"/>
              <w:left w:val="nil"/>
              <w:bottom w:val="nil"/>
              <w:right w:val="nil"/>
            </w:tcBorders>
            <w:shd w:val="clear" w:color="000000" w:fill="DDD9C4"/>
            <w:noWrap/>
            <w:vAlign w:val="bottom"/>
            <w:hideMark/>
          </w:tcPr>
          <w:p w14:paraId="69E0A98C" w14:textId="2E1A6745" w:rsidR="00D22885" w:rsidRPr="00D22885" w:rsidRDefault="00D22885" w:rsidP="00D22885">
            <w:pPr>
              <w:spacing w:after="0" w:line="240" w:lineRule="auto"/>
              <w:rPr>
                <w:rFonts w:cs="Dax-Light"/>
                <w:color w:val="000000"/>
              </w:rPr>
            </w:pPr>
            <w:r>
              <w:rPr>
                <w:rFonts w:cs="Dax-Light"/>
                <w:color w:val="000000"/>
              </w:rPr>
              <w:t>F</w:t>
            </w:r>
            <w:r w:rsidRPr="00D22885">
              <w:rPr>
                <w:rFonts w:cs="Dax-Light"/>
                <w:color w:val="000000"/>
              </w:rPr>
              <w:t>il</w:t>
            </w:r>
            <w:r>
              <w:rPr>
                <w:rFonts w:cs="Dax-Light"/>
                <w:color w:val="000000"/>
              </w:rPr>
              <w:t>ing</w:t>
            </w:r>
            <w:r w:rsidRPr="00D22885">
              <w:rPr>
                <w:rFonts w:cs="Dax-Light"/>
                <w:color w:val="000000"/>
              </w:rPr>
              <w:t xml:space="preserve"> the accounts with HMRC and Companies House</w:t>
            </w:r>
          </w:p>
        </w:tc>
      </w:tr>
      <w:tr w:rsidR="00D22885" w:rsidRPr="00D22885" w14:paraId="4CF25F9F" w14:textId="77777777" w:rsidTr="00D22885">
        <w:trPr>
          <w:trHeight w:val="525"/>
        </w:trPr>
        <w:tc>
          <w:tcPr>
            <w:tcW w:w="9952" w:type="dxa"/>
            <w:tcBorders>
              <w:top w:val="nil"/>
              <w:left w:val="nil"/>
              <w:bottom w:val="nil"/>
              <w:right w:val="nil"/>
            </w:tcBorders>
            <w:shd w:val="clear" w:color="000000" w:fill="DDD9C4"/>
            <w:noWrap/>
            <w:vAlign w:val="bottom"/>
            <w:hideMark/>
          </w:tcPr>
          <w:p w14:paraId="16D0379E" w14:textId="5EB2F27A" w:rsidR="00D22885" w:rsidRPr="00D22885" w:rsidRDefault="00D22885" w:rsidP="00D22885">
            <w:pPr>
              <w:spacing w:after="0" w:line="240" w:lineRule="auto"/>
              <w:rPr>
                <w:rFonts w:cs="Dax-Light"/>
                <w:color w:val="000000"/>
              </w:rPr>
            </w:pPr>
            <w:r w:rsidRPr="00D22885">
              <w:rPr>
                <w:rFonts w:cs="Dax-Light"/>
                <w:color w:val="000000"/>
              </w:rPr>
              <w:lastRenderedPageBreak/>
              <w:t>We pre-populate form CIC34 for ease of use</w:t>
            </w:r>
          </w:p>
        </w:tc>
      </w:tr>
      <w:tr w:rsidR="00D22885" w:rsidRPr="00D22885" w14:paraId="23D3BE49" w14:textId="77777777" w:rsidTr="00D22885">
        <w:trPr>
          <w:trHeight w:val="525"/>
        </w:trPr>
        <w:tc>
          <w:tcPr>
            <w:tcW w:w="9952" w:type="dxa"/>
            <w:tcBorders>
              <w:top w:val="nil"/>
              <w:left w:val="nil"/>
              <w:bottom w:val="nil"/>
              <w:right w:val="nil"/>
            </w:tcBorders>
            <w:shd w:val="clear" w:color="000000" w:fill="DDD9C4"/>
            <w:noWrap/>
            <w:vAlign w:val="bottom"/>
            <w:hideMark/>
          </w:tcPr>
          <w:p w14:paraId="094B2B96" w14:textId="120D22DE" w:rsidR="00D22885" w:rsidRPr="00D22885" w:rsidRDefault="00D22885" w:rsidP="00D22885">
            <w:pPr>
              <w:spacing w:after="0" w:line="240" w:lineRule="auto"/>
              <w:rPr>
                <w:rFonts w:cs="Dax-Light"/>
                <w:color w:val="000000"/>
              </w:rPr>
            </w:pPr>
            <w:r w:rsidRPr="00D22885">
              <w:rPr>
                <w:rFonts w:cs="Dax-Light"/>
                <w:color w:val="000000"/>
              </w:rPr>
              <w:t xml:space="preserve">We </w:t>
            </w:r>
            <w:r>
              <w:rPr>
                <w:rFonts w:cs="Dax-Light"/>
                <w:color w:val="000000"/>
              </w:rPr>
              <w:t xml:space="preserve">also </w:t>
            </w:r>
            <w:r w:rsidRPr="00D22885">
              <w:rPr>
                <w:rFonts w:cs="Dax-Light"/>
                <w:color w:val="000000"/>
              </w:rPr>
              <w:t>represent your company with the authorities</w:t>
            </w:r>
          </w:p>
        </w:tc>
      </w:tr>
      <w:tr w:rsidR="00D22885" w:rsidRPr="00D22885" w14:paraId="2C928106" w14:textId="77777777" w:rsidTr="00D22885">
        <w:trPr>
          <w:trHeight w:val="525"/>
        </w:trPr>
        <w:tc>
          <w:tcPr>
            <w:tcW w:w="9952" w:type="dxa"/>
            <w:tcBorders>
              <w:top w:val="nil"/>
              <w:left w:val="nil"/>
              <w:bottom w:val="nil"/>
              <w:right w:val="nil"/>
            </w:tcBorders>
            <w:shd w:val="clear" w:color="000000" w:fill="DDD9C4"/>
            <w:noWrap/>
            <w:vAlign w:val="bottom"/>
            <w:hideMark/>
          </w:tcPr>
          <w:p w14:paraId="0D37B11E" w14:textId="1CFF4B62" w:rsidR="00D22885" w:rsidRPr="00D22885" w:rsidRDefault="00D22885" w:rsidP="00D22885">
            <w:pPr>
              <w:spacing w:after="0" w:line="240" w:lineRule="auto"/>
              <w:rPr>
                <w:rFonts w:cs="Dax-Light"/>
                <w:color w:val="000000"/>
              </w:rPr>
            </w:pPr>
            <w:r w:rsidRPr="00D22885">
              <w:rPr>
                <w:rFonts w:cs="Dax-Light"/>
                <w:color w:val="000000"/>
              </w:rPr>
              <w:t>We keep track of all the deadlines, so that you don't have to</w:t>
            </w:r>
          </w:p>
        </w:tc>
      </w:tr>
      <w:tr w:rsidR="00D22885" w:rsidRPr="00D22885" w14:paraId="5F9188D8" w14:textId="77777777" w:rsidTr="00D22885">
        <w:trPr>
          <w:trHeight w:val="525"/>
        </w:trPr>
        <w:tc>
          <w:tcPr>
            <w:tcW w:w="9952" w:type="dxa"/>
            <w:tcBorders>
              <w:top w:val="nil"/>
              <w:left w:val="nil"/>
              <w:bottom w:val="nil"/>
              <w:right w:val="nil"/>
            </w:tcBorders>
            <w:shd w:val="clear" w:color="000000" w:fill="DDD9C4"/>
            <w:noWrap/>
            <w:vAlign w:val="bottom"/>
            <w:hideMark/>
          </w:tcPr>
          <w:p w14:paraId="25ACC3BA" w14:textId="77777777" w:rsidR="006C56BF" w:rsidRDefault="006C56BF" w:rsidP="00D22885">
            <w:pPr>
              <w:spacing w:after="0" w:line="240" w:lineRule="auto"/>
              <w:rPr>
                <w:rFonts w:cs="Dax-Light"/>
                <w:color w:val="000000"/>
              </w:rPr>
            </w:pPr>
          </w:p>
          <w:p w14:paraId="3C8F840E" w14:textId="68C9ED98" w:rsidR="00D22885" w:rsidRDefault="00D22885" w:rsidP="00D22885">
            <w:pPr>
              <w:spacing w:after="0" w:line="240" w:lineRule="auto"/>
              <w:rPr>
                <w:rFonts w:cs="Dax-Light"/>
                <w:color w:val="000000"/>
              </w:rPr>
            </w:pPr>
            <w:r w:rsidRPr="00D22885">
              <w:rPr>
                <w:rFonts w:cs="Dax-Light"/>
                <w:color w:val="000000"/>
              </w:rPr>
              <w:t>We are flexible with any extra work you require from us</w:t>
            </w:r>
          </w:p>
          <w:p w14:paraId="0B6C94B5" w14:textId="00C5BA7A" w:rsidR="006C56BF" w:rsidRPr="00D22885" w:rsidRDefault="006C56BF" w:rsidP="00D22885">
            <w:pPr>
              <w:spacing w:after="0" w:line="240" w:lineRule="auto"/>
              <w:rPr>
                <w:rFonts w:cs="Dax-Light"/>
                <w:color w:val="000000"/>
              </w:rPr>
            </w:pPr>
          </w:p>
        </w:tc>
      </w:tr>
    </w:tbl>
    <w:p w14:paraId="1BC8692C" w14:textId="3B0C6DD7" w:rsidR="00D22885" w:rsidRDefault="00D22885" w:rsidP="00CC1F17">
      <w:pPr>
        <w:rPr>
          <w:rFonts w:cs="Dax-Light"/>
          <w:color w:val="000000"/>
        </w:rPr>
      </w:pPr>
    </w:p>
    <w:p w14:paraId="66DEA3F9" w14:textId="507D9CB7" w:rsidR="00D22885" w:rsidRPr="00D22885" w:rsidRDefault="006C56BF" w:rsidP="00CC1F17">
      <w:pPr>
        <w:rPr>
          <w:rFonts w:cs="Dax-Light"/>
          <w:color w:val="000000"/>
        </w:rPr>
      </w:pPr>
      <w:r>
        <w:rPr>
          <w:rFonts w:cs="Dax-Light"/>
          <w:color w:val="000000"/>
        </w:rPr>
        <w:t>Our affordable fees reflect our contributions to your projects.</w:t>
      </w:r>
    </w:p>
    <w:sectPr w:rsidR="00D22885" w:rsidRPr="00D22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x-Light">
    <w:altName w:val="Dax-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17"/>
    <w:multiLevelType w:val="multilevel"/>
    <w:tmpl w:val="2AE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5D61DA"/>
    <w:multiLevelType w:val="multilevel"/>
    <w:tmpl w:val="4C6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17"/>
    <w:rsid w:val="0050748F"/>
    <w:rsid w:val="00550904"/>
    <w:rsid w:val="006C56BF"/>
    <w:rsid w:val="00707C18"/>
    <w:rsid w:val="00796306"/>
    <w:rsid w:val="007D59E6"/>
    <w:rsid w:val="00C1160F"/>
    <w:rsid w:val="00CC1F17"/>
    <w:rsid w:val="00D22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2662"/>
  <w15:chartTrackingRefBased/>
  <w15:docId w15:val="{4FE25A72-1712-47A9-877A-E850CB1D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
    <w:name w:val="Pa4"/>
    <w:basedOn w:val="Normal"/>
    <w:next w:val="Normal"/>
    <w:uiPriority w:val="99"/>
    <w:rsid w:val="00CC1F17"/>
    <w:pPr>
      <w:autoSpaceDE w:val="0"/>
      <w:autoSpaceDN w:val="0"/>
      <w:adjustRightInd w:val="0"/>
      <w:spacing w:after="0" w:line="221" w:lineRule="atLeast"/>
    </w:pPr>
    <w:rPr>
      <w:rFonts w:ascii="Dax-Light" w:hAnsi="Dax-Light"/>
      <w:sz w:val="24"/>
      <w:szCs w:val="24"/>
    </w:rPr>
  </w:style>
  <w:style w:type="paragraph" w:styleId="NormalWeb">
    <w:name w:val="Normal (Web)"/>
    <w:basedOn w:val="Normal"/>
    <w:uiPriority w:val="99"/>
    <w:semiHidden/>
    <w:unhideWhenUsed/>
    <w:rsid w:val="005509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2545">
      <w:bodyDiv w:val="1"/>
      <w:marLeft w:val="0"/>
      <w:marRight w:val="0"/>
      <w:marTop w:val="0"/>
      <w:marBottom w:val="0"/>
      <w:divBdr>
        <w:top w:val="none" w:sz="0" w:space="0" w:color="auto"/>
        <w:left w:val="none" w:sz="0" w:space="0" w:color="auto"/>
        <w:bottom w:val="none" w:sz="0" w:space="0" w:color="auto"/>
        <w:right w:val="none" w:sz="0" w:space="0" w:color="auto"/>
      </w:divBdr>
    </w:div>
    <w:div w:id="434717925">
      <w:bodyDiv w:val="1"/>
      <w:marLeft w:val="0"/>
      <w:marRight w:val="0"/>
      <w:marTop w:val="0"/>
      <w:marBottom w:val="0"/>
      <w:divBdr>
        <w:top w:val="none" w:sz="0" w:space="0" w:color="auto"/>
        <w:left w:val="none" w:sz="0" w:space="0" w:color="auto"/>
        <w:bottom w:val="none" w:sz="0" w:space="0" w:color="auto"/>
        <w:right w:val="none" w:sz="0" w:space="0" w:color="auto"/>
      </w:divBdr>
    </w:div>
    <w:div w:id="816456712">
      <w:bodyDiv w:val="1"/>
      <w:marLeft w:val="0"/>
      <w:marRight w:val="0"/>
      <w:marTop w:val="0"/>
      <w:marBottom w:val="0"/>
      <w:divBdr>
        <w:top w:val="none" w:sz="0" w:space="0" w:color="auto"/>
        <w:left w:val="none" w:sz="0" w:space="0" w:color="auto"/>
        <w:bottom w:val="none" w:sz="0" w:space="0" w:color="auto"/>
        <w:right w:val="none" w:sz="0" w:space="0" w:color="auto"/>
      </w:divBdr>
    </w:div>
    <w:div w:id="1345093544">
      <w:bodyDiv w:val="1"/>
      <w:marLeft w:val="0"/>
      <w:marRight w:val="0"/>
      <w:marTop w:val="0"/>
      <w:marBottom w:val="0"/>
      <w:divBdr>
        <w:top w:val="none" w:sz="0" w:space="0" w:color="auto"/>
        <w:left w:val="none" w:sz="0" w:space="0" w:color="auto"/>
        <w:bottom w:val="none" w:sz="0" w:space="0" w:color="auto"/>
        <w:right w:val="none" w:sz="0" w:space="0" w:color="auto"/>
      </w:divBdr>
    </w:div>
    <w:div w:id="1758162983">
      <w:bodyDiv w:val="1"/>
      <w:marLeft w:val="0"/>
      <w:marRight w:val="0"/>
      <w:marTop w:val="0"/>
      <w:marBottom w:val="0"/>
      <w:divBdr>
        <w:top w:val="none" w:sz="0" w:space="0" w:color="auto"/>
        <w:left w:val="none" w:sz="0" w:space="0" w:color="auto"/>
        <w:bottom w:val="none" w:sz="0" w:space="0" w:color="auto"/>
        <w:right w:val="none" w:sz="0" w:space="0" w:color="auto"/>
      </w:divBdr>
    </w:div>
    <w:div w:id="20708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cp:lastModifiedBy>
  <cp:revision>4</cp:revision>
  <dcterms:created xsi:type="dcterms:W3CDTF">2022-02-09T08:58:00Z</dcterms:created>
  <dcterms:modified xsi:type="dcterms:W3CDTF">2022-02-09T10:23:00Z</dcterms:modified>
</cp:coreProperties>
</file>